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0"/>
          <w:szCs w:val="30"/>
        </w:rPr>
        <w:t xml:space="preserve">IE 5311-001 (D01)  Principles of Optimization</w:t>
      </w:r>
    </w:p>
    <w:p>
      <w:pPr>
        <w:spacing w:after="60"/>
        <w:jc w:val="center"/>
      </w:pPr>
      <w:r>
        <w:rPr>
          <w:rFonts w:ascii="Times New Roman" w:cs="Times New Roman" w:eastAsia="Times New Roman" w:hAnsi="Times New Roman"/>
          <w:color w:val="000000"/>
          <w:sz w:val="26"/>
          <w:szCs w:val="26"/>
        </w:rPr>
        <w:t xml:space="preserve">Part 1, Problem 1: The Diet Problem (Stigler Diet)</w:t>
      </w:r>
    </w:p>
    <w:p>
      <w:pPr>
        <w:spacing w:after="40"/>
        <w:jc w:val="center"/>
      </w:pPr>
      <w:r>
        <w:rPr>
          <w:rFonts w:ascii="Times New Roman" w:cs="Times New Roman" w:eastAsia="Times New Roman" w:hAnsi="Times New Roman"/>
          <w:color w:val="000000"/>
          <w:sz w:val="22"/>
          <w:szCs w:val="22"/>
        </w:rPr>
        <w:t xml:space="preserve">Lidivine Kengne</w:t>
      </w:r>
    </w:p>
    <w:p>
      <w:pPr>
        <w:pBdr>
          <w:bottom w:val="single" w:color="000000" w:sz="6" w:space="8"/>
        </w:pBdr>
        <w:spacing w:after="240"/>
        <w:jc w:val="center"/>
      </w:pPr>
      <w:r>
        <w:rPr>
          <w:rFonts w:ascii="Times New Roman" w:cs="Times New Roman" w:eastAsia="Times New Roman" w:hAnsi="Times New Roman"/>
          <w:color w:val="000000"/>
          <w:sz w:val="22"/>
          <w:szCs w:val="22"/>
        </w:rPr>
        <w:t xml:space="preserve">Fall 2026</w:t>
      </w:r>
    </w:p>
    <w:p>
      <w:pPr>
        <w:pStyle w:val="Heading1"/>
        <w:spacing w:after="160" w:before="320"/>
      </w:pPr>
      <w:r>
        <w:rPr>
          <w:rFonts w:ascii="Times New Roman" w:cs="Times New Roman" w:eastAsia="Times New Roman" w:hAnsi="Times New Roman"/>
          <w:b/>
          <w:bCs/>
          <w:color w:val="000000"/>
          <w:sz w:val="26"/>
          <w:szCs w:val="26"/>
        </w:rPr>
        <w:t xml:space="preserve">1.  Problem Statement</w:t>
      </w:r>
    </w:p>
    <w:p>
      <w:pPr>
        <w:spacing w:after="120"/>
      </w:pPr>
      <w:r>
        <w:rPr>
          <w:rFonts w:ascii="Times New Roman" w:cs="Times New Roman" w:eastAsia="Times New Roman" w:hAnsi="Times New Roman"/>
          <w:color w:val="000000"/>
          <w:sz w:val="22"/>
          <w:szCs w:val="22"/>
        </w:rPr>
        <w:t xml:space="preserve">Slide 15 gives the original 1945 version. For a moderately active man weighing 154 pounds, how much of each of 77 foods should be eaten daily so that his intake of nine nutrients is at least the recommended dietary allowances suggested by the National Research Council in 1943, at minimum cost?</w:t>
      </w:r>
    </w:p>
    <w:p>
      <w:pPr>
        <w:spacing w:after="120"/>
      </w:pPr>
      <w:r>
        <w:rPr>
          <w:rFonts w:ascii="Times New Roman" w:cs="Times New Roman" w:eastAsia="Times New Roman" w:hAnsi="Times New Roman"/>
          <w:color w:val="000000"/>
          <w:sz w:val="22"/>
          <w:szCs w:val="22"/>
        </w:rPr>
        <w:t xml:space="preserve">Stigler's heuristic eliminated 62 foods and reached $39.93. Dantzig later solved the same instance to optimality at $39.69 using linear programming and the simplex method (slide 16).</w:t>
      </w:r>
    </w:p>
    <w:p>
      <w:pPr>
        <w:spacing w:after="120"/>
      </w:pPr>
      <w:r>
        <w:rPr>
          <w:rFonts w:ascii="Times New Roman" w:cs="Times New Roman" w:eastAsia="Times New Roman" w:hAnsi="Times New Roman"/>
          <w:color w:val="000000"/>
          <w:sz w:val="22"/>
          <w:szCs w:val="22"/>
        </w:rPr>
        <w:t xml:space="preserve">The formulation below is written for arbitrary food and nutrient sets. Substituting the full 77 foods and 9 nutrients requires changing data only, never the model.</w:t>
      </w:r>
    </w:p>
    <w:p>
      <w:pPr>
        <w:pStyle w:val="Heading1"/>
        <w:spacing w:after="160" w:before="320"/>
      </w:pPr>
      <w:r>
        <w:rPr>
          <w:rFonts w:ascii="Times New Roman" w:cs="Times New Roman" w:eastAsia="Times New Roman" w:hAnsi="Times New Roman"/>
          <w:b/>
          <w:bCs/>
          <w:color w:val="000000"/>
          <w:sz w:val="26"/>
          <w:szCs w:val="26"/>
        </w:rPr>
        <w:t xml:space="preserve">2.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00"/>
        <w:gridCol w:w="6480"/>
      </w:tblGrid>
      <w:tr>
        <w:trPr>
          <w:tblHeader/>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I</w:t>
            </w:r>
          </w:p>
        </w:tc>
        <w:tc>
          <w:tcPr>
            <w:tcW w:type="dxa" w:w="64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available foods, indexed by i</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J</w:t>
            </w:r>
          </w:p>
        </w:tc>
        <w:tc>
          <w:tcPr>
            <w:tcW w:type="dxa" w:w="64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nutrients under control, indexed by j</w:t>
            </w:r>
          </w:p>
        </w:tc>
      </w:tr>
    </w:tbl>
    <w:p>
      <w:pPr>
        <w:spacing w:after="120"/>
      </w:pPr>
      <w:r>
        <w:rPr>
          <w:rFonts w:ascii="Times New Roman" w:cs="Times New Roman" w:eastAsia="Times New Roman" w:hAnsi="Times New Roman"/>
          <w:color w:val="000000"/>
          <w:sz w:val="22"/>
          <w:szCs w:val="22"/>
        </w:rPr>
        <w:t xml:space="preserve"/>
      </w:r>
    </w:p>
    <w:p>
      <w:pPr>
        <w:pStyle w:val="Heading1"/>
        <w:spacing w:after="160" w:before="320"/>
      </w:pPr>
      <w:r>
        <w:rPr>
          <w:rFonts w:ascii="Times New Roman" w:cs="Times New Roman" w:eastAsia="Times New Roman" w:hAnsi="Times New Roman"/>
          <w:b/>
          <w:bCs/>
          <w:color w:val="000000"/>
          <w:sz w:val="26"/>
          <w:szCs w:val="26"/>
        </w:rPr>
        <w:t xml:space="preserve">3.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00"/>
        <w:gridCol w:w="4600"/>
        <w:gridCol w:w="1880"/>
      </w:tblGrid>
      <w:tr>
        <w:trPr>
          <w:tblHeader/>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Units</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Cost per unit of food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 unit</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aᵢⱼ</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Amount of nutrient j per unit of food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 / unit</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ℓⱼ</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Minimum required daily level of nutrient j</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 / day</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uⱼ</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Maximum allowed daily level of nutrient j</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 / day</w:t>
            </w:r>
          </w:p>
        </w:tc>
      </w:tr>
      <w:tr>
        <w:trPr>
          <w:tblHeader w:val="false"/>
        </w:trPr>
        <w:tc>
          <w:tcPr>
            <w:tcW w:type="dxa" w:w="12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fᵢ</w:t>
            </w:r>
          </w:p>
        </w:tc>
        <w:tc>
          <w:tcPr>
            <w:tcW w:type="dxa" w:w="4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Maximum daily servings of food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unit / day</w:t>
            </w:r>
          </w:p>
        </w:tc>
      </w:tr>
    </w:tbl>
    <w:p>
      <w:pPr>
        <w:spacing w:after="120"/>
      </w:pPr>
      <w:r>
        <w:rPr>
          <w:rFonts w:ascii="Times New Roman" w:cs="Times New Roman" w:eastAsia="Times New Roman" w:hAnsi="Times New Roman"/>
          <w:color w:val="000000"/>
          <w:sz w:val="22"/>
          <w:szCs w:val="22"/>
        </w:rPr>
        <w:t xml:space="preserve"/>
      </w:r>
    </w:p>
    <w:p>
      <w:pPr>
        <w:spacing w:after="120"/>
      </w:pPr>
      <w:r>
        <w:rPr>
          <w:rFonts w:ascii="Times New Roman" w:cs="Times New Roman" w:eastAsia="Times New Roman" w:hAnsi="Times New Roman"/>
          <w:color w:val="000000"/>
          <w:sz w:val="22"/>
          <w:szCs w:val="22"/>
        </w:rPr>
        <w:t xml:space="preserve">All parameters are known constants. For every i in I and j in J the data satisfy cᵢ ≥ 0, aᵢⱼ ≥ 0, and 0 ≤ ℓⱼ ≤ uⱼ.</w:t>
      </w:r>
    </w:p>
    <w:p>
      <w:pPr>
        <w:pStyle w:val="Heading1"/>
        <w:spacing w:after="160" w:before="320"/>
      </w:pPr>
      <w:r>
        <w:rPr>
          <w:rFonts w:ascii="Times New Roman" w:cs="Times New Roman" w:eastAsia="Times New Roman" w:hAnsi="Times New Roman"/>
          <w:b/>
          <w:bCs/>
          <w:color w:val="000000"/>
          <w:sz w:val="26"/>
          <w:szCs w:val="26"/>
        </w:rPr>
        <w:t xml:space="preserve">4.  Decision Variables</w:t>
      </w:r>
    </w:p>
    <w:p>
      <w:pPr>
        <w:spacing w:after="120"/>
      </w:pPr>
      <w:r>
        <w:rPr>
          <w:rFonts w:ascii="Times New Roman" w:cs="Times New Roman" w:eastAsia="Times New Roman" w:hAnsi="Times New Roman"/>
          <w:color w:val="000000"/>
          <w:sz w:val="22"/>
          <w:szCs w:val="22"/>
        </w:rPr>
        <w:t xml:space="preserve">One variable per food. Nothing else is under the decision maker's control.</w:t>
      </w:r>
    </w:p>
    <w:p>
      <w:pPr>
        <w:spacing w:after="140" w:before="140"/>
        <w:jc w:val="center"/>
      </w:pPr>
      <m:oMath>
        <m:sSub>
          <m:sSubPr/>
          <m:e>
            <m:r>
              <m:t>x</m:t>
            </m:r>
          </m:e>
          <m:sub>
            <m:r>
              <m:t>i</m:t>
            </m:r>
          </m:sub>
        </m:sSub>
        <m:r>
          <m:t> = units of food </m:t>
        </m:r>
        <m:r>
          <m:t>i</m:t>
        </m:r>
        <m:r>
          <m:t> consumed per day,      </m:t>
        </m:r>
        <m:sSub>
          <m:sSubPr/>
          <m:e>
            <m:r>
              <m:t>x</m:t>
            </m:r>
          </m:e>
          <m:sub>
            <m:r>
              <m:t>i</m:t>
            </m:r>
          </m:sub>
        </m:sSub>
        <m:r>
          <m:t> ∈ </m:t>
        </m:r>
        <m:sSup>
          <m:sSupPr/>
          <m:e>
            <m:r>
              <m:t>ℝ</m:t>
            </m:r>
          </m:e>
          <m:sup>
            <m:r>
              <m:t>+</m:t>
            </m:r>
          </m:sup>
        </m:sSup>
        <m:r>
          <m:t>,   i ∈ I</m:t>
        </m:r>
      </m:oMath>
    </w:p>
    <w:p>
      <w:pPr>
        <w:pStyle w:val="Heading1"/>
        <w:spacing w:after="160" w:before="320"/>
      </w:pPr>
      <w:r>
        <w:rPr>
          <w:rFonts w:ascii="Times New Roman" w:cs="Times New Roman" w:eastAsia="Times New Roman" w:hAnsi="Times New Roman"/>
          <w:b/>
          <w:bCs/>
          <w:color w:val="000000"/>
          <w:sz w:val="26"/>
          <w:szCs w:val="26"/>
        </w:rPr>
        <w:t xml:space="preserve">5.  Model</w:t>
      </w:r>
    </w:p>
    <w:p>
      <w:pPr>
        <w:spacing w:after="140" w:before="140"/>
        <w:jc w:val="center"/>
      </w:pPr>
      <m:oMath>
        <m:r>
          <m:t>min </m:t>
        </m:r>
        <m:nary>
          <m:naryPr>
            <m:chr m:val="∑"/>
            <m:limLoc m:val="undOvr"/>
            <m:supHide m:val="1"/>
          </m:naryPr>
          <m:sub>
            <m:r>
              <m:t>i ∈ I</m:t>
            </m:r>
          </m:sub>
          <m:e>
            <m:sSub>
              <m:sSubPr/>
              <m:e>
                <m:r>
                  <m:t>c</m:t>
                </m:r>
              </m:e>
              <m:sub>
                <m:r>
                  <m:t>i</m:t>
                </m:r>
              </m:sub>
            </m:sSub>
            <m:sSub>
              <m:sSubPr/>
              <m:e>
                <m:r>
                  <m:t>x</m:t>
                </m:r>
              </m:e>
              <m:sub>
                <m:r>
                  <m:t>i</m:t>
                </m:r>
              </m:sub>
            </m:sSub>
          </m:e>
        </m:nary>
      </m:oMath>
    </w:p>
    <w:p>
      <w:pPr>
        <w:spacing w:after="120"/>
      </w:pPr>
      <w:r>
        <w:rPr>
          <w:rFonts w:ascii="Times New Roman" w:cs="Times New Roman" w:eastAsia="Times New Roman" w:hAnsi="Times New Roman"/>
          <w:color w:val="000000"/>
          <w:sz w:val="22"/>
          <w:szCs w:val="22"/>
        </w:rPr>
        <w:t xml:space="preserve">subject to</w:t>
      </w:r>
    </w:p>
    <w:p>
      <w:pPr>
        <w:spacing w:after="140" w:before="140"/>
        <w:jc w:val="center"/>
      </w:pPr>
      <m:oMath>
        <m:nary>
          <m:naryPr>
            <m:chr m:val="∑"/>
            <m:limLoc m:val="undOvr"/>
            <m:supHide m:val="1"/>
          </m:naryPr>
          <m:sub>
            <m:r>
              <m:t>i ∈ I</m:t>
            </m:r>
          </m:sub>
          <m:e>
            <m:sSub>
              <m:sSubPr/>
              <m:e>
                <m:r>
                  <m:t>a</m:t>
                </m:r>
              </m:e>
              <m:sub>
                <m:r>
                  <m:t>ij</m:t>
                </m:r>
              </m:sub>
            </m:sSub>
            <m:sSub>
              <m:sSubPr/>
              <m:e>
                <m:r>
                  <m:t>x</m:t>
                </m:r>
              </m:e>
              <m:sub>
                <m:r>
                  <m:t>i</m:t>
                </m:r>
              </m:sub>
            </m:sSub>
          </m:e>
        </m:nary>
        <m:r>
          <m:t> ≥ </m:t>
        </m:r>
        <m:sSub>
          <m:sSubPr/>
          <m:e>
            <m:r>
              <m:t>ℓ</m:t>
            </m:r>
          </m:e>
          <m:sub>
            <m:r>
              <m:t>j</m:t>
            </m:r>
          </m:sub>
        </m:sSub>
      </m:oMath>
      <w:r>
        <w:rPr>
          <w:rFonts w:ascii="Times New Roman" w:cs="Times New Roman" w:eastAsia="Times New Roman" w:hAnsi="Times New Roman"/>
          <w:color w:val="000000"/>
          <w:sz w:val="22"/>
          <w:szCs w:val="22"/>
        </w:rPr>
        <w:t xml:space="preserve">        for all j ∈ J</w:t>
      </w:r>
    </w:p>
    <w:p>
      <w:pPr>
        <w:spacing w:after="140" w:before="140"/>
        <w:jc w:val="center"/>
      </w:pPr>
      <m:oMath>
        <m:nary>
          <m:naryPr>
            <m:chr m:val="∑"/>
            <m:limLoc m:val="undOvr"/>
            <m:supHide m:val="1"/>
          </m:naryPr>
          <m:sub>
            <m:r>
              <m:t>i ∈ I</m:t>
            </m:r>
          </m:sub>
          <m:e>
            <m:sSub>
              <m:sSubPr/>
              <m:e>
                <m:r>
                  <m:t>a</m:t>
                </m:r>
              </m:e>
              <m:sub>
                <m:r>
                  <m:t>ij</m:t>
                </m:r>
              </m:sub>
            </m:sSub>
            <m:sSub>
              <m:sSubPr/>
              <m:e>
                <m:r>
                  <m:t>x</m:t>
                </m:r>
              </m:e>
              <m:sub>
                <m:r>
                  <m:t>i</m:t>
                </m:r>
              </m:sub>
            </m:sSub>
          </m:e>
        </m:nary>
        <m:r>
          <m:t> ≤ </m:t>
        </m:r>
        <m:sSub>
          <m:sSubPr/>
          <m:e>
            <m:r>
              <m:t>u</m:t>
            </m:r>
          </m:e>
          <m:sub>
            <m:r>
              <m:t>j</m:t>
            </m:r>
          </m:sub>
        </m:sSub>
      </m:oMath>
      <w:r>
        <w:rPr>
          <w:rFonts w:ascii="Times New Roman" w:cs="Times New Roman" w:eastAsia="Times New Roman" w:hAnsi="Times New Roman"/>
          <w:color w:val="000000"/>
          <w:sz w:val="22"/>
          <w:szCs w:val="22"/>
        </w:rPr>
        <w:t xml:space="preserve">        for all j ∈ J</w:t>
      </w:r>
    </w:p>
    <w:p>
      <w:pPr>
        <w:spacing w:after="140" w:before="140"/>
        <w:jc w:val="center"/>
      </w:pPr>
      <m:oMath>
        <m:r>
          <m:t>0 ≤ </m:t>
        </m:r>
        <m:sSub>
          <m:sSubPr/>
          <m:e>
            <m:r>
              <m:t>x</m:t>
            </m:r>
          </m:e>
          <m:sub>
            <m:r>
              <m:t>i</m:t>
            </m:r>
          </m:sub>
        </m:sSub>
        <m:r>
          <m:t> ≤ </m:t>
        </m:r>
        <m:sSub>
          <m:sSubPr/>
          <m:e>
            <m:r>
              <m:t>f</m:t>
            </m:r>
          </m:e>
          <m:sub>
            <m:r>
              <m:t>i</m:t>
            </m:r>
          </m:sub>
        </m:sSub>
      </m:oMath>
      <w:r>
        <w:rPr>
          <w:rFonts w:ascii="Times New Roman" w:cs="Times New Roman" w:eastAsia="Times New Roman" w:hAnsi="Times New Roman"/>
          <w:color w:val="000000"/>
          <w:sz w:val="22"/>
          <w:szCs w:val="22"/>
        </w:rPr>
        <w:t xml:space="preserve">        for all i ∈ I</w:t>
      </w:r>
    </w:p>
    <w:p>
      <w:pPr>
        <w:spacing w:after="120"/>
      </w:pPr>
      <w:r>
        <w:rPr>
          <w:rFonts w:ascii="Times New Roman" w:cs="Times New Roman" w:eastAsia="Times New Roman" w:hAnsi="Times New Roman"/>
          <w:color w:val="000000"/>
          <w:sz w:val="22"/>
          <w:szCs w:val="22"/>
        </w:rPr>
        <w:t xml:space="preserve">The objective minimizes total daily cost. The first constraint family enforces the recommended minimum for every nutrient, the second the corresponding maximum. The bounds keep consumption nonnegative and cap the servings of any single food.</w:t>
      </w:r>
    </w:p>
    <w:p>
      <w:pPr>
        <w:pStyle w:val="Heading1"/>
        <w:spacing w:after="160" w:before="320"/>
      </w:pPr>
      <w:r>
        <w:rPr>
          <w:rFonts w:ascii="Times New Roman" w:cs="Times New Roman" w:eastAsia="Times New Roman" w:hAnsi="Times New Roman"/>
          <w:b/>
          <w:bCs/>
          <w:color w:val="000000"/>
          <w:sz w:val="26"/>
          <w:szCs w:val="26"/>
        </w:rPr>
        <w:t xml:space="preserve">6.  Compact Matrix Form</w:t>
      </w:r>
    </w:p>
    <w:p>
      <w:pPr>
        <w:spacing w:after="120"/>
      </w:pPr>
      <w:r>
        <w:rPr>
          <w:rFonts w:ascii="Times New Roman" w:cs="Times New Roman" w:eastAsia="Times New Roman" w:hAnsi="Times New Roman"/>
          <w:color w:val="000000"/>
          <w:sz w:val="22"/>
          <w:szCs w:val="22"/>
        </w:rPr>
        <w:t xml:space="preserve">Let x collect the decision variables, c the costs and f the serving caps, each a vector of length |I|. Let ℓ and u collect the nutrient bounds, each of length |J|. Define the nutrient matrix A of size |J| by |I| with entry Aⱼᵢ = aᵢⱼ, so that Ax is the vector of daily intakes. The model becomes:</w:t>
      </w:r>
    </w:p>
    <w:p>
      <w:pPr>
        <w:spacing w:after="140" w:before="140"/>
        <w:jc w:val="center"/>
      </w:pPr>
      <m:oMath>
        <m:r>
          <m:t>min </m:t>
        </m:r>
        <m:sSup>
          <m:sSupPr/>
          <m:e>
            <m:r>
              <m:t>c</m:t>
            </m:r>
          </m:e>
          <m:sup>
            <m:r>
              <m:t>⊤</m:t>
            </m:r>
          </m:sup>
        </m:sSup>
        <m:r>
          <m:t>x</m:t>
        </m:r>
        <m:r>
          <m:t>      subject to      ℓ ≤ Ax ≤ u,      0 ≤ x ≤ f</m:t>
        </m:r>
      </m:oMath>
    </w:p>
    <w:p>
      <w:pPr>
        <w:pStyle w:val="Heading1"/>
        <w:spacing w:after="160" w:before="320"/>
      </w:pPr>
      <w:r>
        <w:rPr>
          <w:rFonts w:ascii="Times New Roman" w:cs="Times New Roman" w:eastAsia="Times New Roman" w:hAnsi="Times New Roman"/>
          <w:b/>
          <w:bCs/>
          <w:color w:val="000000"/>
          <w:sz w:val="26"/>
          <w:szCs w:val="26"/>
        </w:rPr>
        <w:t xml:space="preserve">7.  Classification (slide 18 taxonomy)</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3600"/>
        <w:gridCol w:w="4080"/>
      </w:tblGrid>
      <w:tr>
        <w:trPr>
          <w:tblHeader/>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Axis</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This formulation</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 or unconstrained</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type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Continuous</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size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|I| variables</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type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type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size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2|J| + 2|I| inequalities</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size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 objective</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Parameters</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Deterministic</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Decision stage</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One-stage</w:t>
            </w:r>
          </w:p>
        </w:tc>
      </w:tr>
      <w:tr>
        <w:trPr>
          <w:tblHeader w:val="false"/>
        </w:trPr>
        <w:tc>
          <w:tcPr>
            <w:tcW w:type="dxa" w:w="36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Number of players</w:t>
            </w:r>
          </w:p>
        </w:tc>
        <w:tc>
          <w:tcPr>
            <w:tcW w:type="dxa" w:w="40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w:t>
            </w:r>
          </w:p>
        </w:tc>
      </w:tr>
    </w:tbl>
    <w:p>
      <w:pPr>
        <w:spacing w:after="120"/>
      </w:pPr>
      <w:r>
        <w:rPr>
          <w:rFonts w:ascii="Times New Roman" w:cs="Times New Roman" w:eastAsia="Times New Roman" w:hAnsi="Times New Roman"/>
          <w:color w:val="000000"/>
          <w:sz w:val="22"/>
          <w:szCs w:val="22"/>
        </w:rPr>
        <w:t xml:space="preserve"/>
      </w:r>
    </w:p>
    <w:p>
      <w:pPr>
        <w:spacing w:after="120"/>
      </w:pPr>
      <w:r>
        <w:rPr>
          <w:rFonts w:ascii="Times New Roman" w:cs="Times New Roman" w:eastAsia="Times New Roman" w:hAnsi="Times New Roman"/>
          <w:color w:val="000000"/>
          <w:sz w:val="22"/>
          <w:szCs w:val="22"/>
        </w:rPr>
        <w:t xml:space="preserve">Every entry is linear with compact size, which places this problem squarely in Part 2 of the course.</w:t>
      </w:r>
    </w:p>
    <w:p>
      <w:pPr>
        <w:pStyle w:val="Heading1"/>
        <w:spacing w:after="160" w:before="320"/>
      </w:pPr>
      <w:r>
        <w:rPr>
          <w:rFonts w:ascii="Times New Roman" w:cs="Times New Roman" w:eastAsia="Times New Roman" w:hAnsi="Times New Roman"/>
          <w:b/>
          <w:bCs/>
          <w:color w:val="000000"/>
          <w:sz w:val="26"/>
          <w:szCs w:val="26"/>
        </w:rPr>
        <w:t xml:space="preserve">8.  Geometry (slide 19)</w:t>
      </w:r>
    </w:p>
    <w:p>
      <w:pPr>
        <w:spacing w:after="120"/>
      </w:pPr>
      <w:r>
        <w:rPr>
          <w:rFonts w:ascii="Times New Roman" w:cs="Times New Roman" w:eastAsia="Times New Roman" w:hAnsi="Times New Roman"/>
          <w:color w:val="000000"/>
          <w:sz w:val="22"/>
          <w:szCs w:val="22"/>
        </w:rPr>
        <w:t xml:space="preserve">Each constraint is a linear inequality in x, so each defines a half-space in |I|-dimensional space, and the boundary of each is a hyperplane. For nutrient j the equation below is the hyperplane on which the minimum requirement is met exactly.</w:t>
      </w:r>
    </w:p>
    <w:p>
      <w:pPr>
        <w:spacing w:after="140" w:before="140"/>
        <w:jc w:val="center"/>
      </w:pPr>
      <m:oMath>
        <m:nary>
          <m:naryPr>
            <m:chr m:val="∑"/>
            <m:limLoc m:val="undOvr"/>
            <m:supHide m:val="1"/>
          </m:naryPr>
          <m:sub>
            <m:r>
              <m:t>i ∈ I</m:t>
            </m:r>
          </m:sub>
          <m:e>
            <m:sSub>
              <m:sSubPr/>
              <m:e>
                <m:r>
                  <m:t>a</m:t>
                </m:r>
              </m:e>
              <m:sub>
                <m:r>
                  <m:t>ij</m:t>
                </m:r>
              </m:sub>
            </m:sSub>
            <m:sSub>
              <m:sSubPr/>
              <m:e>
                <m:r>
                  <m:t>x</m:t>
                </m:r>
              </m:e>
              <m:sub>
                <m:r>
                  <m:t>i</m:t>
                </m:r>
              </m:sub>
            </m:sSub>
          </m:e>
        </m:nary>
        <m:r>
          <m:t> = </m:t>
        </m:r>
        <m:sSub>
          <m:sSubPr/>
          <m:e>
            <m:r>
              <m:t>ℓ</m:t>
            </m:r>
          </m:e>
          <m:sub>
            <m:r>
              <m:t>j</m:t>
            </m:r>
          </m:sub>
        </m:sSub>
      </m:oMath>
    </w:p>
    <w:p>
      <w:pPr>
        <w:spacing w:after="120"/>
      </w:pPr>
      <w:r>
        <w:rPr>
          <w:rFonts w:ascii="Times New Roman" w:cs="Times New Roman" w:eastAsia="Times New Roman" w:hAnsi="Times New Roman"/>
          <w:color w:val="000000"/>
          <w:sz w:val="22"/>
          <w:szCs w:val="22"/>
        </w:rPr>
        <w:t xml:space="preserve">The feasible region is the intersection of 2|J| + 2|I| half-spaces, therefore a polyhedron. Since the bounds 0 ≤ x ≤ f restrict every coordinate, the region is a polytope: bounded, closed and convex.</w:t>
      </w:r>
    </w:p>
    <w:p>
      <w:pPr>
        <w:pStyle w:val="Heading1"/>
        <w:spacing w:after="160" w:before="320"/>
      </w:pPr>
      <w:r>
        <w:rPr>
          <w:rFonts w:ascii="Times New Roman" w:cs="Times New Roman" w:eastAsia="Times New Roman" w:hAnsi="Times New Roman"/>
          <w:b/>
          <w:bCs/>
          <w:color w:val="000000"/>
          <w:sz w:val="26"/>
          <w:szCs w:val="26"/>
        </w:rPr>
        <w:t xml:space="preserve">9.  Notes</w:t>
      </w:r>
    </w:p>
    <w:p>
      <w:pPr>
        <w:spacing w:after="120"/>
      </w:pPr>
      <w:r>
        <w:rPr>
          <w:rFonts w:ascii="Times New Roman" w:cs="Times New Roman" w:eastAsia="Times New Roman" w:hAnsi="Times New Roman"/>
          <w:color w:val="000000"/>
          <w:sz w:val="22"/>
          <w:szCs w:val="22"/>
        </w:rPr>
        <w:t xml:space="preserve">Why the serving caps matter.</w:t>
      </w:r>
    </w:p>
    <w:p>
      <w:pPr>
        <w:spacing w:after="120"/>
      </w:pPr>
      <w:r>
        <w:rPr>
          <w:rFonts w:ascii="Times New Roman" w:cs="Times New Roman" w:eastAsia="Times New Roman" w:hAnsi="Times New Roman"/>
          <w:color w:val="000000"/>
          <w:sz w:val="22"/>
          <w:szCs w:val="22"/>
        </w:rPr>
        <w:t xml:space="preserve">Stigler's original model carried no upper bounds fᵢ on servings and no upper bounds uⱼ on nutrients. With cost minimization as the only pressure, the optimum concentrates on whichever few foods deliver nutrients most cheaply, producing the monotonous diets the problem became known for. A solved instance of the formulation above shows the same effect: the optimum loads onto two foods and leaves the rest at zero. Adding fᵢ and uⱼ changes the data of the model, not its structure.</w:t>
      </w:r>
    </w:p>
    <w:p>
      <w:pPr>
        <w:spacing w:after="120"/>
      </w:pPr>
      <w:r>
        <w:rPr>
          <w:rFonts w:ascii="Times New Roman" w:cs="Times New Roman" w:eastAsia="Times New Roman" w:hAnsi="Times New Roman"/>
          <w:color w:val="000000"/>
          <w:sz w:val="22"/>
          <w:szCs w:val="22"/>
        </w:rPr>
        <w:t xml:space="preserve">Reading the dual.</w:t>
      </w:r>
    </w:p>
    <w:p>
      <w:pPr>
        <w:spacing w:after="120"/>
      </w:pPr>
      <w:r>
        <w:rPr>
          <w:rFonts w:ascii="Times New Roman" w:cs="Times New Roman" w:eastAsia="Times New Roman" w:hAnsi="Times New Roman"/>
          <w:color w:val="000000"/>
          <w:sz w:val="22"/>
          <w:szCs w:val="22"/>
        </w:rPr>
        <w:t xml:space="preserve">Each minimum-intake constraint carries a shadow price, the increase in minimum daily cost caused by raising ℓⱼ by one gram. Nutrients whose constraints are slack at the optimum carry a shadow price of zero. This is the dual information that slide 52 generalizes as expectation written through dual pairing, and that Part 2 formalizes as linear programming duality.</w:t>
      </w:r>
    </w:p>
    <w:p>
      <w:pPr>
        <w:spacing w:after="120"/>
      </w:pPr>
      <w:r>
        <w:rPr>
          <w:rFonts w:ascii="Times New Roman" w:cs="Times New Roman" w:eastAsia="Times New Roman" w:hAnsi="Times New Roman"/>
          <w:color w:val="000000"/>
          <w:sz w:val="22"/>
          <w:szCs w:val="22"/>
        </w:rPr>
        <w:t xml:space="preserve">Solved instance.</w:t>
      </w:r>
    </w:p>
    <w:p>
      <w:pPr>
        <w:spacing w:after="120"/>
      </w:pPr>
      <w:r>
        <w:rPr>
          <w:rFonts w:ascii="Times New Roman" w:cs="Times New Roman" w:eastAsia="Times New Roman" w:hAnsi="Times New Roman"/>
          <w:color w:val="000000"/>
          <w:sz w:val="22"/>
          <w:szCs w:val="22"/>
        </w:rPr>
        <w:t xml:space="preserve">With six foods and three nutrients the minimum daily cost is $7.8169, achieved with 268.3 g of beef and 316.9 g of noodles. The fat and carbohydrate minimums bind, with shadow prices 0.1667 and 0.0014 respectively. The protein minimum is slack at 111.0 g against a floor of 56 g, so its shadow price is zero. Two independent solvers, CBC through PuLP and Gurobi, agree on every one of these figures.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5311 Diet Problem Formulation</dc:title>
  <dc:creator>Lidivine Kengne</dc:creator>
  <cp:lastModifiedBy>Un-named</cp:lastModifiedBy>
  <cp:revision>1</cp:revision>
  <dcterms:created xsi:type="dcterms:W3CDTF">2026-09-16T19:20:27.316Z</dcterms:created>
  <dcterms:modified xsi:type="dcterms:W3CDTF">2026-09-16T19:20:27.316Z</dcterms:modified>
</cp:coreProperties>
</file>

<file path=docProps/custom.xml><?xml version="1.0" encoding="utf-8"?>
<Properties xmlns="http://schemas.openxmlformats.org/officeDocument/2006/custom-properties" xmlns:vt="http://schemas.openxmlformats.org/officeDocument/2006/docPropsVTypes"/>
</file>