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5B6F3" w14:textId="77777777" w:rsidR="00DB338A" w:rsidRPr="00241930" w:rsidRDefault="00000000">
      <w:pPr>
        <w:pStyle w:val="Ttulo1"/>
        <w:spacing w:after="200"/>
        <w:jc w:val="center"/>
      </w:pPr>
      <w:r w:rsidRPr="00241930">
        <w:t>Informe de Registro de Visión: Registro 22042026</w:t>
      </w:r>
    </w:p>
    <w:p w14:paraId="62685933" w14:textId="77777777" w:rsidR="00DB338A" w:rsidRPr="00241930" w:rsidRDefault="00000000">
      <w:pPr>
        <w:spacing w:after="120"/>
      </w:pPr>
      <w:r w:rsidRPr="00241930">
        <w:rPr>
          <w:b/>
          <w:bCs/>
        </w:rPr>
        <w:t>Ubicación de origen:</w:t>
      </w:r>
      <w:r w:rsidRPr="00241930">
        <w:t xml:space="preserve"> Porlamar, Venezuela</w:t>
      </w:r>
      <w:r w:rsidRPr="00241930">
        <w:br/>
      </w:r>
      <w:r w:rsidRPr="00241930">
        <w:rPr>
          <w:b/>
          <w:bCs/>
        </w:rPr>
        <w:t>Fecha de registro:</w:t>
      </w:r>
      <w:r w:rsidRPr="00241930">
        <w:t xml:space="preserve"> 22 de abril de 2026</w:t>
      </w:r>
      <w:r w:rsidRPr="00241930">
        <w:br/>
      </w:r>
      <w:r w:rsidRPr="00241930">
        <w:rPr>
          <w:b/>
          <w:bCs/>
        </w:rPr>
        <w:t>Estado del sujeto:</w:t>
      </w:r>
      <w:r w:rsidRPr="00241930">
        <w:t xml:space="preserve"> Cuerpo yacente / Visión forzada</w:t>
      </w:r>
      <w:r w:rsidRPr="00241930">
        <w:br/>
      </w:r>
      <w:r w:rsidRPr="00241930">
        <w:rPr>
          <w:b/>
          <w:bCs/>
        </w:rPr>
        <w:t>Naturaleza del evento:</w:t>
      </w:r>
      <w:r w:rsidRPr="00241930">
        <w:t xml:space="preserve"> Registro de memoria vívida (No corresponde a pesadilla ni parálisis del sueño convencional).</w:t>
      </w:r>
    </w:p>
    <w:p w14:paraId="0D1F4E0F" w14:textId="2A30CD70" w:rsidR="00DB338A" w:rsidRPr="00241930" w:rsidRDefault="00000000">
      <w:pPr>
        <w:spacing w:after="200"/>
      </w:pPr>
      <w:r w:rsidRPr="00241930">
        <w:t xml:space="preserve"> </w:t>
      </w:r>
    </w:p>
    <w:p w14:paraId="05025E49" w14:textId="77777777" w:rsidR="00DB338A" w:rsidRPr="00241930" w:rsidRDefault="00000000">
      <w:pPr>
        <w:pStyle w:val="Ttulo2"/>
        <w:spacing w:after="200"/>
      </w:pPr>
      <w:r w:rsidRPr="00241930">
        <w:t>1. Especificaciones de la Estructura (Arquitectura)</w:t>
      </w:r>
    </w:p>
    <w:p w14:paraId="42ADAACC" w14:textId="74A96693" w:rsidR="00DB338A" w:rsidRPr="00241930" w:rsidRDefault="00000000" w:rsidP="00241930">
      <w:pPr>
        <w:spacing w:after="120"/>
      </w:pPr>
      <w:r w:rsidRPr="00241930">
        <w:t>La edificación presenta una geometría que desafía las proporciones convencionales, caracterizada por los siguientes atributos:</w:t>
      </w:r>
    </w:p>
    <w:p w14:paraId="1B7E1A05" w14:textId="799B1D80" w:rsidR="00DB338A" w:rsidRPr="00241930" w:rsidRDefault="00000000">
      <w:pPr>
        <w:pStyle w:val="Prrafodelista"/>
        <w:numPr>
          <w:ilvl w:val="0"/>
          <w:numId w:val="2"/>
        </w:numPr>
        <w:spacing w:after="100"/>
      </w:pPr>
      <w:r w:rsidRPr="00241930">
        <w:rPr>
          <w:b/>
          <w:bCs/>
        </w:rPr>
        <w:t>Tipología:</w:t>
      </w:r>
      <w:r w:rsidRPr="00241930">
        <w:t xml:space="preserve"> Construcción longitudinal de extensión horizontal</w:t>
      </w:r>
      <w:r w:rsidR="00241930" w:rsidRPr="00241930">
        <w:t xml:space="preserve"> justa y pequeña</w:t>
      </w:r>
      <w:r w:rsidRPr="00241930">
        <w:t>, desafiando la perspectiva lógica.</w:t>
      </w:r>
    </w:p>
    <w:p w14:paraId="4FB8F759" w14:textId="77777777" w:rsidR="00DB338A" w:rsidRPr="00241930" w:rsidRDefault="00000000">
      <w:pPr>
        <w:pStyle w:val="Prrafodelista"/>
        <w:numPr>
          <w:ilvl w:val="0"/>
          <w:numId w:val="2"/>
        </w:numPr>
        <w:spacing w:after="100"/>
      </w:pPr>
      <w:r w:rsidRPr="00241930">
        <w:rPr>
          <w:b/>
          <w:bCs/>
        </w:rPr>
        <w:t>Altura:</w:t>
      </w:r>
      <w:r w:rsidRPr="00241930">
        <w:t xml:space="preserve"> Irregular y asimétrica; la estructura alcanza los </w:t>
      </w:r>
      <w:r w:rsidRPr="00241930">
        <w:rPr>
          <w:b/>
          <w:bCs/>
        </w:rPr>
        <w:t>dos pisos y medio</w:t>
      </w:r>
      <w:r w:rsidRPr="00241930">
        <w:t>, presentando un nivel superior truncado que le otorga una silueta deforme.</w:t>
      </w:r>
    </w:p>
    <w:p w14:paraId="05F600C1" w14:textId="77777777" w:rsidR="00DB338A" w:rsidRPr="00241930" w:rsidRDefault="00000000">
      <w:pPr>
        <w:pStyle w:val="Prrafodelista"/>
        <w:numPr>
          <w:ilvl w:val="0"/>
          <w:numId w:val="2"/>
        </w:numPr>
        <w:spacing w:after="100"/>
      </w:pPr>
      <w:r w:rsidRPr="00241930">
        <w:rPr>
          <w:b/>
          <w:bCs/>
        </w:rPr>
        <w:t>Revestimiento:</w:t>
      </w:r>
      <w:r w:rsidRPr="00241930">
        <w:t xml:space="preserve"> Piel de </w:t>
      </w:r>
      <w:r w:rsidRPr="00241930">
        <w:rPr>
          <w:b/>
          <w:bCs/>
        </w:rPr>
        <w:t>piedra lisa</w:t>
      </w:r>
      <w:r w:rsidRPr="00241930">
        <w:t>, fracturada en fragmentos irregulares que cubren la totalidad de la estructura, proyectando una frialdad mineral táctil.</w:t>
      </w:r>
    </w:p>
    <w:p w14:paraId="4987A369" w14:textId="77777777" w:rsidR="00DB338A" w:rsidRPr="00241930" w:rsidRDefault="00000000">
      <w:pPr>
        <w:pStyle w:val="Prrafodelista"/>
        <w:numPr>
          <w:ilvl w:val="0"/>
          <w:numId w:val="2"/>
        </w:numPr>
        <w:spacing w:after="100"/>
      </w:pPr>
      <w:r w:rsidRPr="00241930">
        <w:rPr>
          <w:b/>
          <w:bCs/>
        </w:rPr>
        <w:t>Puntos de Acceso:</w:t>
      </w:r>
      <w:r w:rsidRPr="00241930">
        <w:t xml:space="preserve"> Ausencia total de puertas o cerramientos; solo existen huecos negros y umbrales vacíos (fauces) que sugieren una exposición absoluta al vacío.</w:t>
      </w:r>
    </w:p>
    <w:p w14:paraId="7394CEEE" w14:textId="77777777" w:rsidR="00DB338A" w:rsidRPr="00241930" w:rsidRDefault="00000000">
      <w:pPr>
        <w:spacing w:after="200"/>
      </w:pPr>
      <w:r w:rsidRPr="00241930">
        <w:t xml:space="preserve"> </w:t>
      </w:r>
    </w:p>
    <w:p w14:paraId="2ED36DDC" w14:textId="77777777" w:rsidR="00DB338A" w:rsidRPr="00241930" w:rsidRDefault="00000000">
      <w:pPr>
        <w:pStyle w:val="Ttulo2"/>
        <w:spacing w:after="200"/>
      </w:pPr>
      <w:r w:rsidRPr="00241930">
        <w:t>2. Anomalías Perceptuales y Ópticas</w:t>
      </w:r>
    </w:p>
    <w:p w14:paraId="71AE41CB" w14:textId="6D47EC47" w:rsidR="00DB338A" w:rsidRPr="00241930" w:rsidRDefault="00000000" w:rsidP="00241930">
      <w:pPr>
        <w:spacing w:after="120"/>
      </w:pPr>
      <w:r w:rsidRPr="00241930">
        <w:t>La visión no se rinde bajo leyes físicas estándar, presentando distorsiones técnicas específicas: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52"/>
        <w:gridCol w:w="6564"/>
      </w:tblGrid>
      <w:tr w:rsidR="00DB338A" w:rsidRPr="00241930" w14:paraId="2D1A17EA" w14:textId="77777777">
        <w:trPr>
          <w:tblHeader/>
        </w:trPr>
        <w:tc>
          <w:tcPr>
            <w:tcW w:w="2541" w:type="dxa"/>
          </w:tcPr>
          <w:p w14:paraId="451EEC07" w14:textId="77777777" w:rsidR="00DB338A" w:rsidRPr="00241930" w:rsidRDefault="00000000">
            <w:r w:rsidRPr="00241930">
              <w:rPr>
                <w:b/>
                <w:bCs/>
              </w:rPr>
              <w:t>Parámetro</w:t>
            </w:r>
          </w:p>
        </w:tc>
        <w:tc>
          <w:tcPr>
            <w:tcW w:w="6819" w:type="dxa"/>
          </w:tcPr>
          <w:p w14:paraId="4E51A454" w14:textId="77777777" w:rsidR="00DB338A" w:rsidRPr="00241930" w:rsidRDefault="00000000">
            <w:r w:rsidRPr="00241930">
              <w:rPr>
                <w:b/>
                <w:bCs/>
              </w:rPr>
              <w:t>Descripción de la Anomalía</w:t>
            </w:r>
          </w:p>
        </w:tc>
      </w:tr>
      <w:tr w:rsidR="00DB338A" w:rsidRPr="00241930" w14:paraId="42E52E4D" w14:textId="77777777">
        <w:tc>
          <w:tcPr>
            <w:tcW w:w="2541" w:type="dxa"/>
          </w:tcPr>
          <w:p w14:paraId="5D1426FA" w14:textId="77777777" w:rsidR="00DB338A" w:rsidRPr="00241930" w:rsidRDefault="00000000">
            <w:r w:rsidRPr="00241930">
              <w:rPr>
                <w:b/>
                <w:bCs/>
              </w:rPr>
              <w:t>Rotación Espacial</w:t>
            </w:r>
          </w:p>
        </w:tc>
        <w:tc>
          <w:tcPr>
            <w:tcW w:w="6819" w:type="dxa"/>
          </w:tcPr>
          <w:p w14:paraId="69281CC9" w14:textId="77777777" w:rsidR="00DB338A" w:rsidRPr="00241930" w:rsidRDefault="00000000">
            <w:r w:rsidRPr="00241930">
              <w:t xml:space="preserve">Imagen rotada a </w:t>
            </w:r>
            <w:r w:rsidRPr="00241930">
              <w:rPr>
                <w:b/>
                <w:bCs/>
              </w:rPr>
              <w:t>90 grados hacia la izquierda</w:t>
            </w:r>
            <w:r w:rsidRPr="00241930">
              <w:t>. El observador percibe el entorno de forma vertical desde una posición de reposo absoluto.</w:t>
            </w:r>
          </w:p>
        </w:tc>
      </w:tr>
      <w:tr w:rsidR="00DB338A" w:rsidRPr="00241930" w14:paraId="7A564D84" w14:textId="77777777">
        <w:tc>
          <w:tcPr>
            <w:tcW w:w="2541" w:type="dxa"/>
          </w:tcPr>
          <w:p w14:paraId="6D2E0D4C" w14:textId="77777777" w:rsidR="00DB338A" w:rsidRPr="00241930" w:rsidRDefault="00000000">
            <w:r w:rsidRPr="00241930">
              <w:rPr>
                <w:b/>
                <w:bCs/>
              </w:rPr>
              <w:t>Superposición</w:t>
            </w:r>
          </w:p>
        </w:tc>
        <w:tc>
          <w:tcPr>
            <w:tcW w:w="6819" w:type="dxa"/>
          </w:tcPr>
          <w:p w14:paraId="1AC107D6" w14:textId="77777777" w:rsidR="00DB338A" w:rsidRPr="00241930" w:rsidRDefault="00000000">
            <w:r w:rsidRPr="00241930">
              <w:t xml:space="preserve">Efecto de capa al </w:t>
            </w:r>
            <w:r w:rsidRPr="00241930">
              <w:rPr>
                <w:b/>
                <w:bCs/>
              </w:rPr>
              <w:t>50% de opacidad</w:t>
            </w:r>
            <w:r w:rsidRPr="00241930">
              <w:t>. Un blanco semitransparente se funde con la imagen real, creando un estado de coexistencia entre lo sólido y lo etéreo.</w:t>
            </w:r>
          </w:p>
        </w:tc>
      </w:tr>
      <w:tr w:rsidR="00DB338A" w:rsidRPr="00241930" w14:paraId="6FFB0522" w14:textId="77777777">
        <w:tc>
          <w:tcPr>
            <w:tcW w:w="2541" w:type="dxa"/>
          </w:tcPr>
          <w:p w14:paraId="5BE8CAAC" w14:textId="77777777" w:rsidR="00DB338A" w:rsidRPr="00241930" w:rsidRDefault="00000000">
            <w:r w:rsidRPr="00241930">
              <w:rPr>
                <w:b/>
                <w:bCs/>
              </w:rPr>
              <w:t>Renderizado</w:t>
            </w:r>
          </w:p>
        </w:tc>
        <w:tc>
          <w:tcPr>
            <w:tcW w:w="6819" w:type="dxa"/>
          </w:tcPr>
          <w:p w14:paraId="0CB3FCEF" w14:textId="77777777" w:rsidR="00DB338A" w:rsidRPr="00241930" w:rsidRDefault="00000000">
            <w:r w:rsidRPr="00241930">
              <w:t xml:space="preserve">Alternancia errática entre una neblina blanca y una </w:t>
            </w:r>
            <w:r w:rsidRPr="00241930">
              <w:rPr>
                <w:b/>
                <w:bCs/>
              </w:rPr>
              <w:t>alta definición absoluta</w:t>
            </w:r>
            <w:r w:rsidRPr="00241930">
              <w:t>. La nitidez es tan agresiva que permite percibir texturas con realismo físico.</w:t>
            </w:r>
          </w:p>
        </w:tc>
      </w:tr>
      <w:tr w:rsidR="00DB338A" w:rsidRPr="00241930" w14:paraId="4ADFE6C3" w14:textId="77777777">
        <w:tc>
          <w:tcPr>
            <w:tcW w:w="2541" w:type="dxa"/>
          </w:tcPr>
          <w:p w14:paraId="0C00DEEB" w14:textId="77777777" w:rsidR="00DB338A" w:rsidRPr="00241930" w:rsidRDefault="00000000">
            <w:r w:rsidRPr="00241930">
              <w:rPr>
                <w:b/>
                <w:bCs/>
              </w:rPr>
              <w:t>Control Visual</w:t>
            </w:r>
          </w:p>
        </w:tc>
        <w:tc>
          <w:tcPr>
            <w:tcW w:w="6819" w:type="dxa"/>
          </w:tcPr>
          <w:p w14:paraId="187490B3" w14:textId="77777777" w:rsidR="00DB338A" w:rsidRPr="00241930" w:rsidRDefault="00000000">
            <w:r w:rsidRPr="00241930">
              <w:rPr>
                <w:b/>
                <w:bCs/>
              </w:rPr>
              <w:t>Visión forzada e implacable</w:t>
            </w:r>
            <w:r w:rsidRPr="00241930">
              <w:t>; la imagen persiste con nitidez incluso al intentar cerrar los párpados, anulando el refugio de la oscuridad.</w:t>
            </w:r>
          </w:p>
        </w:tc>
      </w:tr>
    </w:tbl>
    <w:p w14:paraId="0AA4A87A" w14:textId="77777777" w:rsidR="00DB338A" w:rsidRPr="00241930" w:rsidRDefault="00000000">
      <w:pPr>
        <w:spacing w:before="240"/>
      </w:pPr>
      <w:r w:rsidRPr="00241930">
        <w:t xml:space="preserve"> </w:t>
      </w:r>
    </w:p>
    <w:p w14:paraId="6CF50ABB" w14:textId="77777777" w:rsidR="00241930" w:rsidRPr="00241930" w:rsidRDefault="00241930">
      <w:pPr>
        <w:spacing w:before="240"/>
      </w:pPr>
    </w:p>
    <w:p w14:paraId="69DFF76E" w14:textId="77777777" w:rsidR="00DB338A" w:rsidRPr="00241930" w:rsidRDefault="00000000">
      <w:pPr>
        <w:pStyle w:val="Ttulo2"/>
        <w:spacing w:after="200"/>
      </w:pPr>
      <w:r w:rsidRPr="00241930">
        <w:lastRenderedPageBreak/>
        <w:t>3. Elementos del Entorno Inmediato</w:t>
      </w:r>
    </w:p>
    <w:p w14:paraId="5024301F" w14:textId="77777777" w:rsidR="00DB338A" w:rsidRPr="00241930" w:rsidRDefault="00000000">
      <w:pPr>
        <w:pStyle w:val="Prrafodelista"/>
        <w:numPr>
          <w:ilvl w:val="0"/>
          <w:numId w:val="2"/>
        </w:numPr>
        <w:spacing w:after="100"/>
      </w:pPr>
      <w:r w:rsidRPr="00241930">
        <w:rPr>
          <w:b/>
          <w:bCs/>
        </w:rPr>
        <w:t>Instalación Eléctrica/Lineal:</w:t>
      </w:r>
      <w:r w:rsidRPr="00241930">
        <w:t xml:space="preserve"> Un conjunto denso de aproximadamente </w:t>
      </w:r>
      <w:r w:rsidRPr="00241930">
        <w:rPr>
          <w:b/>
          <w:bCs/>
        </w:rPr>
        <w:t>50 cables negros</w:t>
      </w:r>
      <w:r w:rsidRPr="00241930">
        <w:t xml:space="preserve"> masivos, agrupados en una formación casi circular (maraña). Este manojo vibra con una tensión silenciosa junto al flanco izquierdo.</w:t>
      </w:r>
    </w:p>
    <w:p w14:paraId="1756E417" w14:textId="696A046A" w:rsidR="00DB338A" w:rsidRPr="00241930" w:rsidRDefault="00000000">
      <w:pPr>
        <w:pStyle w:val="Prrafodelista"/>
        <w:numPr>
          <w:ilvl w:val="0"/>
          <w:numId w:val="2"/>
        </w:numPr>
        <w:spacing w:after="100"/>
      </w:pPr>
      <w:r w:rsidRPr="00241930">
        <w:rPr>
          <w:b/>
          <w:bCs/>
        </w:rPr>
        <w:t>Zona del Patio:</w:t>
      </w:r>
      <w:r w:rsidRPr="00241930">
        <w:t xml:space="preserve"> Espacio diminuto, claustrofóbico y asfixiante situado al flanco izquierdo de la </w:t>
      </w:r>
      <w:r w:rsidR="00241930" w:rsidRPr="00241930">
        <w:t>estructura, pero abierto sin techos.</w:t>
      </w:r>
    </w:p>
    <w:p w14:paraId="7B78FD20" w14:textId="04F0485B" w:rsidR="00DB338A" w:rsidRPr="00241930" w:rsidRDefault="00000000">
      <w:pPr>
        <w:pStyle w:val="Prrafodelista"/>
        <w:numPr>
          <w:ilvl w:val="0"/>
          <w:numId w:val="2"/>
        </w:numPr>
        <w:spacing w:after="100"/>
      </w:pPr>
      <w:r w:rsidRPr="00241930">
        <w:rPr>
          <w:b/>
          <w:bCs/>
        </w:rPr>
        <w:t>Superficie:</w:t>
      </w:r>
      <w:r w:rsidRPr="00241930">
        <w:t xml:space="preserve"> Suelo de </w:t>
      </w:r>
      <w:r w:rsidRPr="00241930">
        <w:rPr>
          <w:b/>
          <w:bCs/>
        </w:rPr>
        <w:t>cerámicas rojas rústicas</w:t>
      </w:r>
      <w:r w:rsidRPr="00241930">
        <w:t xml:space="preserve">, completamente fracturadas. Los fragmentos de arcilla picada se encuentran esparcidos como restos </w:t>
      </w:r>
      <w:r w:rsidR="00241930" w:rsidRPr="00241930">
        <w:t>manchados de sangre</w:t>
      </w:r>
      <w:r w:rsidRPr="00241930">
        <w:t>.</w:t>
      </w:r>
    </w:p>
    <w:p w14:paraId="6B93AC5C" w14:textId="77777777" w:rsidR="00DB338A" w:rsidRPr="00241930" w:rsidRDefault="00000000">
      <w:pPr>
        <w:spacing w:after="200"/>
      </w:pPr>
      <w:r w:rsidRPr="00241930">
        <w:t xml:space="preserve"> </w:t>
      </w:r>
    </w:p>
    <w:p w14:paraId="1B482974" w14:textId="77777777" w:rsidR="00DB338A" w:rsidRPr="00241930" w:rsidRDefault="00000000">
      <w:pPr>
        <w:pStyle w:val="Ttulo2"/>
        <w:spacing w:after="200"/>
      </w:pPr>
      <w:r w:rsidRPr="00241930">
        <w:t>4. Análisis Atmosférico y Psicológico</w:t>
      </w:r>
    </w:p>
    <w:p w14:paraId="3A6B0D80" w14:textId="77777777" w:rsidR="00DB338A" w:rsidRPr="00241930" w:rsidRDefault="00000000">
      <w:pPr>
        <w:spacing w:after="120"/>
      </w:pPr>
      <w:r w:rsidRPr="00241930">
        <w:t>El registro trasciende lo visual para convertirse en una carga sensorial de alta intensidad basada en la certeza.</w:t>
      </w:r>
    </w:p>
    <w:p w14:paraId="37F1B07B" w14:textId="77777777" w:rsidR="00DB338A" w:rsidRPr="00241930" w:rsidRDefault="00000000">
      <w:pPr>
        <w:spacing w:after="200"/>
      </w:pPr>
      <w:r w:rsidRPr="00241930">
        <w:t xml:space="preserve"> </w:t>
      </w:r>
    </w:p>
    <w:p w14:paraId="4E0C3560" w14:textId="1806F335" w:rsidR="00DB338A" w:rsidRPr="00241930" w:rsidRDefault="00000000">
      <w:pPr>
        <w:pBdr>
          <w:left w:val="single" w:sz="12" w:space="8" w:color="BFBFBF"/>
        </w:pBdr>
        <w:spacing w:after="120"/>
        <w:ind w:left="300"/>
      </w:pPr>
      <w:r w:rsidRPr="00241930">
        <w:rPr>
          <w:b/>
          <w:bCs/>
        </w:rPr>
        <w:t>Nota de Campo:</w:t>
      </w:r>
      <w:r w:rsidRPr="00241930">
        <w:t xml:space="preserve"> La atmósfera está saturada por una "certeza de lo vivido". No se percibe una entidad externa o amenaza observando al sujeto; el horror emana de la propia arquitectura y su historia silenciosa. Es una </w:t>
      </w:r>
      <w:r w:rsidRPr="00241930">
        <w:rPr>
          <w:b/>
          <w:bCs/>
        </w:rPr>
        <w:t>escena del crimen de la memoria</w:t>
      </w:r>
      <w:r w:rsidR="00241930" w:rsidRPr="00241930">
        <w:rPr>
          <w:b/>
          <w:bCs/>
        </w:rPr>
        <w:t xml:space="preserve"> y una amenaza una adventicia y un grito desparado por informar, por notificarlo</w:t>
      </w:r>
      <w:r w:rsidRPr="00241930">
        <w:t>. La ausencia de puertas y el estado del suelo generan la sensación ineludible de que un evento trágico e infecto ocurrió en ese lugar</w:t>
      </w:r>
      <w:r w:rsidR="00241930" w:rsidRPr="00241930">
        <w:t>.</w:t>
      </w:r>
    </w:p>
    <w:p w14:paraId="456883C9" w14:textId="77777777" w:rsidR="00DB338A" w:rsidRPr="00241930" w:rsidRDefault="00000000">
      <w:pPr>
        <w:spacing w:after="200"/>
      </w:pPr>
      <w:r w:rsidRPr="00241930">
        <w:t xml:space="preserve"> </w:t>
      </w:r>
    </w:p>
    <w:p w14:paraId="3C7FDDB4" w14:textId="4C8A75CE" w:rsidR="00DB338A" w:rsidRPr="00241930" w:rsidRDefault="00DB338A">
      <w:pPr>
        <w:spacing w:after="200"/>
      </w:pPr>
    </w:p>
    <w:p w14:paraId="1069089A" w14:textId="77777777" w:rsidR="00DB338A" w:rsidRPr="00241930" w:rsidRDefault="00000000">
      <w:pPr>
        <w:pStyle w:val="Ttulo2"/>
        <w:spacing w:after="200"/>
      </w:pPr>
      <w:r w:rsidRPr="00241930">
        <w:t>Resumen Ejecutivo</w:t>
      </w:r>
    </w:p>
    <w:p w14:paraId="287BB6FE" w14:textId="65E45DEE" w:rsidR="00DB338A" w:rsidRDefault="00000000">
      <w:pPr>
        <w:spacing w:after="120"/>
      </w:pPr>
      <w:r w:rsidRPr="00241930">
        <w:t>La visión del 22 de abril representa una fractura en la percepción donde una arquitectura de piedra deforme funciona como contenedor de un evento latente. Se descarta la patología del sueño común debido a la lucidez y la naturaleza "forzada" de la alta definición. La imposibilidad de interrumpir la visión confirma que la escena posee una relevancia crítica y real en el sistema de memoria y vivencias del sujeto.</w:t>
      </w:r>
      <w:r w:rsidR="00241930" w:rsidRPr="00241930">
        <w:t xml:space="preserve"> Además de que se ha sido posible leer en este mismo se ha viso la realización de un informe y la generación de una imagen describiendo esto mismo para Google: Gemini  </w:t>
      </w:r>
    </w:p>
    <w:sectPr w:rsidR="00DB33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CC4"/>
    <w:multiLevelType w:val="hybridMultilevel"/>
    <w:tmpl w:val="444CA140"/>
    <w:lvl w:ilvl="0" w:tplc="BF583F10">
      <w:start w:val="1"/>
      <w:numFmt w:val="bullet"/>
      <w:lvlText w:val="●"/>
      <w:lvlJc w:val="left"/>
      <w:pPr>
        <w:ind w:left="720" w:hanging="360"/>
      </w:pPr>
    </w:lvl>
    <w:lvl w:ilvl="1" w:tplc="C62656A4">
      <w:start w:val="1"/>
      <w:numFmt w:val="bullet"/>
      <w:lvlText w:val="○"/>
      <w:lvlJc w:val="left"/>
      <w:pPr>
        <w:ind w:left="1440" w:hanging="360"/>
      </w:pPr>
    </w:lvl>
    <w:lvl w:ilvl="2" w:tplc="351017B0">
      <w:start w:val="1"/>
      <w:numFmt w:val="bullet"/>
      <w:lvlText w:val="■"/>
      <w:lvlJc w:val="left"/>
      <w:pPr>
        <w:ind w:left="2160" w:hanging="360"/>
      </w:pPr>
    </w:lvl>
    <w:lvl w:ilvl="3" w:tplc="02FCD3F8">
      <w:start w:val="1"/>
      <w:numFmt w:val="bullet"/>
      <w:lvlText w:val="●"/>
      <w:lvlJc w:val="left"/>
      <w:pPr>
        <w:ind w:left="2880" w:hanging="360"/>
      </w:pPr>
    </w:lvl>
    <w:lvl w:ilvl="4" w:tplc="68F855E6">
      <w:start w:val="1"/>
      <w:numFmt w:val="bullet"/>
      <w:lvlText w:val="○"/>
      <w:lvlJc w:val="left"/>
      <w:pPr>
        <w:ind w:left="3600" w:hanging="360"/>
      </w:pPr>
    </w:lvl>
    <w:lvl w:ilvl="5" w:tplc="B8B44844">
      <w:start w:val="1"/>
      <w:numFmt w:val="bullet"/>
      <w:lvlText w:val="■"/>
      <w:lvlJc w:val="left"/>
      <w:pPr>
        <w:ind w:left="4320" w:hanging="360"/>
      </w:pPr>
    </w:lvl>
    <w:lvl w:ilvl="6" w:tplc="C6565E86">
      <w:start w:val="1"/>
      <w:numFmt w:val="bullet"/>
      <w:lvlText w:val="●"/>
      <w:lvlJc w:val="left"/>
      <w:pPr>
        <w:ind w:left="5040" w:hanging="360"/>
      </w:pPr>
    </w:lvl>
    <w:lvl w:ilvl="7" w:tplc="B5F88E7C">
      <w:start w:val="1"/>
      <w:numFmt w:val="bullet"/>
      <w:lvlText w:val="●"/>
      <w:lvlJc w:val="left"/>
      <w:pPr>
        <w:ind w:left="5760" w:hanging="360"/>
      </w:pPr>
    </w:lvl>
    <w:lvl w:ilvl="8" w:tplc="B6AA2D08">
      <w:start w:val="1"/>
      <w:numFmt w:val="bullet"/>
      <w:lvlText w:val="●"/>
      <w:lvlJc w:val="left"/>
      <w:pPr>
        <w:ind w:left="6480" w:hanging="360"/>
      </w:pPr>
    </w:lvl>
  </w:abstractNum>
  <w:abstractNum w:abstractNumId="1" w15:restartNumberingAfterBreak="0">
    <w:nsid w:val="4A7F2174"/>
    <w:multiLevelType w:val="hybridMultilevel"/>
    <w:tmpl w:val="225C6FEC"/>
    <w:lvl w:ilvl="0" w:tplc="16E6E380">
      <w:start w:val="1"/>
      <w:numFmt w:val="bullet"/>
      <w:suff w:val="space"/>
      <w:lvlText w:val="●"/>
      <w:lvlJc w:val="left"/>
      <w:pPr>
        <w:ind w:left="240" w:hanging="180"/>
      </w:pPr>
    </w:lvl>
    <w:lvl w:ilvl="1" w:tplc="646A92A2">
      <w:start w:val="1"/>
      <w:numFmt w:val="bullet"/>
      <w:suff w:val="space"/>
      <w:lvlText w:val="○"/>
      <w:lvlJc w:val="left"/>
      <w:pPr>
        <w:ind w:left="660" w:hanging="180"/>
      </w:pPr>
    </w:lvl>
    <w:lvl w:ilvl="2" w:tplc="B71C3874">
      <w:start w:val="1"/>
      <w:numFmt w:val="bullet"/>
      <w:suff w:val="space"/>
      <w:lvlText w:val="■"/>
      <w:lvlJc w:val="left"/>
      <w:pPr>
        <w:ind w:left="1080" w:hanging="180"/>
      </w:pPr>
    </w:lvl>
    <w:lvl w:ilvl="3" w:tplc="063A2F5C">
      <w:start w:val="1"/>
      <w:numFmt w:val="bullet"/>
      <w:suff w:val="space"/>
      <w:lvlText w:val="●"/>
      <w:lvlJc w:val="left"/>
      <w:pPr>
        <w:ind w:left="1500" w:hanging="180"/>
      </w:pPr>
    </w:lvl>
    <w:lvl w:ilvl="4" w:tplc="34E235DA">
      <w:start w:val="1"/>
      <w:numFmt w:val="bullet"/>
      <w:suff w:val="space"/>
      <w:lvlText w:val="○"/>
      <w:lvlJc w:val="left"/>
      <w:pPr>
        <w:ind w:left="1920" w:hanging="180"/>
      </w:pPr>
    </w:lvl>
    <w:lvl w:ilvl="5" w:tplc="49B05650">
      <w:start w:val="1"/>
      <w:numFmt w:val="bullet"/>
      <w:suff w:val="space"/>
      <w:lvlText w:val="■"/>
      <w:lvlJc w:val="left"/>
      <w:pPr>
        <w:ind w:left="2340" w:hanging="180"/>
      </w:pPr>
    </w:lvl>
    <w:lvl w:ilvl="6" w:tplc="AF62AF4C">
      <w:start w:val="1"/>
      <w:numFmt w:val="bullet"/>
      <w:suff w:val="space"/>
      <w:lvlText w:val="●"/>
      <w:lvlJc w:val="left"/>
      <w:pPr>
        <w:ind w:left="2760" w:hanging="180"/>
      </w:pPr>
    </w:lvl>
    <w:lvl w:ilvl="7" w:tplc="910C20A6">
      <w:start w:val="1"/>
      <w:numFmt w:val="bullet"/>
      <w:suff w:val="space"/>
      <w:lvlText w:val="○"/>
      <w:lvlJc w:val="left"/>
      <w:pPr>
        <w:ind w:left="3180" w:hanging="180"/>
      </w:pPr>
    </w:lvl>
    <w:lvl w:ilvl="8" w:tplc="E51ABD1A">
      <w:start w:val="1"/>
      <w:numFmt w:val="bullet"/>
      <w:suff w:val="space"/>
      <w:lvlText w:val="■"/>
      <w:lvlJc w:val="left"/>
      <w:pPr>
        <w:ind w:left="3600" w:hanging="180"/>
      </w:pPr>
    </w:lvl>
  </w:abstractNum>
  <w:num w:numId="1" w16cid:durableId="143669627">
    <w:abstractNumId w:val="0"/>
    <w:lvlOverride w:ilvl="0">
      <w:startOverride w:val="1"/>
    </w:lvlOverride>
  </w:num>
  <w:num w:numId="2" w16cid:durableId="1583758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8A"/>
    <w:rsid w:val="00241930"/>
    <w:rsid w:val="00C12A55"/>
    <w:rsid w:val="00DB338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7F236"/>
  <w15:docId w15:val="{DA6D3A99-4078-4ECB-B13B-0EC7F81F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40"/>
      <w:szCs w:val="40"/>
    </w:rPr>
  </w:style>
  <w:style w:type="paragraph" w:styleId="Ttulo2">
    <w:name w:val="heading 2"/>
    <w:uiPriority w:val="9"/>
    <w:unhideWhenUsed/>
    <w:qFormat/>
    <w:pPr>
      <w:outlineLvl w:val="1"/>
    </w:pPr>
    <w:rPr>
      <w:b/>
      <w:bCs/>
      <w:color w:val="000000"/>
      <w:sz w:val="36"/>
      <w:szCs w:val="36"/>
    </w:rPr>
  </w:style>
  <w:style w:type="paragraph" w:styleId="Ttulo3">
    <w:name w:val="heading 3"/>
    <w:uiPriority w:val="9"/>
    <w:semiHidden/>
    <w:unhideWhenUsed/>
    <w:qFormat/>
    <w:pPr>
      <w:outlineLvl w:val="2"/>
    </w:pPr>
    <w:rPr>
      <w:b/>
      <w:bCs/>
      <w:color w:val="000000"/>
      <w:sz w:val="32"/>
      <w:szCs w:val="32"/>
    </w:rPr>
  </w:style>
  <w:style w:type="paragraph" w:styleId="Ttulo4">
    <w:name w:val="heading 4"/>
    <w:uiPriority w:val="9"/>
    <w:semiHidden/>
    <w:unhideWhenUsed/>
    <w:qFormat/>
    <w:pPr>
      <w:outlineLvl w:val="3"/>
    </w:pPr>
    <w:rPr>
      <w:b/>
      <w:bCs/>
      <w:color w:val="000000"/>
      <w:sz w:val="28"/>
      <w:szCs w:val="28"/>
    </w:rPr>
  </w:style>
  <w:style w:type="paragraph" w:styleId="Ttulo5">
    <w:name w:val="heading 5"/>
    <w:uiPriority w:val="9"/>
    <w:semiHidden/>
    <w:unhideWhenUsed/>
    <w:qFormat/>
    <w:pPr>
      <w:outlineLvl w:val="4"/>
    </w:pPr>
    <w:rPr>
      <w:b/>
      <w:bCs/>
      <w:color w:val="000000"/>
    </w:rPr>
  </w:style>
  <w:style w:type="paragraph" w:styleId="Ttulo6">
    <w:name w:val="heading 6"/>
    <w:uiPriority w:val="9"/>
    <w:semiHidden/>
    <w:unhideWhenUsed/>
    <w:qFormat/>
    <w:pPr>
      <w:outlineLvl w:val="5"/>
    </w:pPr>
    <w:rPr>
      <w:b/>
      <w:b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561</Words>
  <Characters>3091</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Yolanda Gómez</cp:lastModifiedBy>
  <cp:revision>2</cp:revision>
  <dcterms:created xsi:type="dcterms:W3CDTF">2026-04-22T10:42:00Z</dcterms:created>
  <dcterms:modified xsi:type="dcterms:W3CDTF">2026-04-22T10:51:00Z</dcterms:modified>
</cp:coreProperties>
</file>