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Total Wrist Arthroplasty: State of the Art in Biomechanical Modelling and Patient-Specific Design</w:t>
      </w:r>
    </w:p>
    <w:p>
      <w:pPr>
        <w:spacing w:after="160"/>
      </w:pPr>
      <w:r>
        <w:rPr>
          <w:rFonts w:ascii="Arial" w:hAnsi="Arial" w:eastAsia="Arial"/>
          <w:color w:val="465056"/>
          <w:sz w:val="18"/>
        </w:rPr>
        <w:t>State-of-the-art narrative review | Literature coverage through September 2026</w:t>
      </w:r>
    </w:p>
    <w:p>
      <w:pPr>
        <w:spacing w:after="160"/>
        <w:pBdr>
          <w:bottom w:val="single" w:sz="12" w:space="1" w:color="1F4E79"/>
        </w:pBdr>
      </w:pPr>
    </w:p>
    <w:tbl>
      <w:tblPr>
        <w:tblW w:type="auto" w:w="0"/>
        <w:tblLayout w:type="fixed"/>
        <w:tblLook w:firstColumn="1" w:firstRow="1" w:lastColumn="0" w:lastRow="0" w:noHBand="0" w:noVBand="1" w:val="04A0"/>
      </w:tblPr>
      <w:tblGrid>
        <w:gridCol w:w="4781"/>
        <w:gridCol w:w="4781"/>
      </w:tblGrid>
      <w:tr>
        <w:tc>
          <w:tcPr>
            <w:tcW w:type="dxa" w:w="4773"/>
            <w:shd w:fill="E8EEF2"/>
            <w:tcMar>
              <w:top w:w="70" w:type="dxa"/>
              <w:start w:w="90" w:type="dxa"/>
              <w:bottom w:w="70" w:type="dxa"/>
              <w:end w:w="90" w:type="dxa"/>
            </w:tcMar>
          </w:tcPr>
          <w:p>
            <w:r>
              <w:rPr>
                <w:rFonts w:ascii="Arial" w:hAnsi="Arial" w:eastAsia="Arial"/>
                <w:b/>
                <w:color w:val="223A49"/>
                <w:sz w:val="15"/>
              </w:rPr>
              <w:t>MAIN TEXT</w:t>
            </w:r>
          </w:p>
        </w:tc>
        <w:tc>
          <w:tcPr>
            <w:tcW w:type="dxa" w:w="4773"/>
            <w:shd w:fill="E8EEF2"/>
            <w:tcMar>
              <w:top w:w="70" w:type="dxa"/>
              <w:start w:w="90" w:type="dxa"/>
              <w:bottom w:w="70" w:type="dxa"/>
              <w:end w:w="90" w:type="dxa"/>
            </w:tcMar>
          </w:tcPr>
          <w:p>
            <w:r>
              <w:rPr>
                <w:rFonts w:ascii="Arial" w:hAnsi="Arial" w:eastAsia="Arial"/>
                <w:b/>
                <w:color w:val="223A49"/>
                <w:sz w:val="15"/>
              </w:rPr>
              <w:t>REFERENCES</w:t>
            </w:r>
          </w:p>
        </w:tc>
      </w:tr>
      <w:tr>
        <w:tc>
          <w:tcPr>
            <w:tcW w:type="dxa" w:w="4773"/>
            <w:tcMar>
              <w:top w:w="70" w:type="dxa"/>
              <w:start w:w="90" w:type="dxa"/>
              <w:bottom w:w="70" w:type="dxa"/>
              <w:end w:w="90" w:type="dxa"/>
            </w:tcMar>
          </w:tcPr>
          <w:p>
            <w:r>
              <w:rPr>
                <w:rFonts w:ascii="Arial" w:hAnsi="Arial" w:eastAsia="Arial"/>
                <w:b/>
                <w:color w:val="141414"/>
                <w:sz w:val="20"/>
              </w:rPr>
              <w:t>7,075 words</w:t>
            </w:r>
          </w:p>
        </w:tc>
        <w:tc>
          <w:tcPr>
            <w:tcW w:type="dxa" w:w="4773"/>
            <w:tcMar>
              <w:top w:w="70" w:type="dxa"/>
              <w:start w:w="90" w:type="dxa"/>
              <w:bottom w:w="70" w:type="dxa"/>
              <w:end w:w="90" w:type="dxa"/>
            </w:tcMar>
          </w:tcPr>
          <w:p>
            <w:r>
              <w:rPr>
                <w:rFonts w:ascii="Arial" w:hAnsi="Arial" w:eastAsia="Arial"/>
                <w:b/>
                <w:color w:val="141414"/>
                <w:sz w:val="20"/>
              </w:rPr>
              <w:t>63</w:t>
            </w:r>
          </w:p>
        </w:tc>
      </w:tr>
    </w:tbl>
    <w:p>
      <w:pPr>
        <w:spacing w:after="0"/>
      </w:pPr>
    </w:p>
    <w:p>
      <w:pPr>
        <w:pStyle w:val="Heading1"/>
        <w:spacing w:before="100"/>
      </w:pPr>
      <w:r>
        <w:t>Abstract</w:t>
      </w:r>
    </w:p>
    <w:p>
      <w:pPr>
        <w:pStyle w:val="AbstractText"/>
      </w:pPr>
      <w:r>
        <w:rPr>
          <w:rFonts w:ascii="Times New Roman" w:hAnsi="Times New Roman" w:eastAsia="Times New Roman"/>
          <w:b/>
          <w:sz w:val="19"/>
        </w:rPr>
        <w:t xml:space="preserve">Objective: </w:t>
      </w:r>
      <w:r>
        <w:t>Total wrist arthroplasty is a motion-preserving treatment for painful end-stage wrist arthritis, although its survivorship and complication profile remain less predictable than those of large-joint arthroplasty [1,2,3]. This review examines how anatomical reconstruction, kinematic description, computational mechanics, materials, and manufacturing can be integrated into the design of contemporary and patient-specific wrist prostheses [11,21,33].</w:t>
      </w:r>
    </w:p>
    <w:p>
      <w:pPr>
        <w:pStyle w:val="AbstractText"/>
      </w:pPr>
      <w:r>
        <w:rPr>
          <w:rFonts w:ascii="Times New Roman" w:hAnsi="Times New Roman" w:eastAsia="Times New Roman"/>
          <w:b/>
          <w:sz w:val="19"/>
        </w:rPr>
        <w:t xml:space="preserve">Methods: </w:t>
      </w:r>
      <w:r>
        <w:t>A narrative synthesis was structured according to the principal stages of an image-to-implant workflow: medical image acquisition and processing, bone-model reconstruction, quantitative morphology and motion analysis, multibody and finite element modelling, implant optimization, material selection, manufacturing, and verification [13,17,32]. Particular attention was directed to bone-centroid trajectories, complete three-dimensional orientation, instantaneous helical axes, external cortical contours, articular curvature, and contact migration because these variables connect reconstructed anatomy with implant function [11,24,25].</w:t>
      </w:r>
    </w:p>
    <w:p>
      <w:pPr>
        <w:pStyle w:val="AbstractText"/>
      </w:pPr>
      <w:r>
        <w:rPr>
          <w:rFonts w:ascii="Times New Roman" w:hAnsi="Times New Roman" w:eastAsia="Times New Roman"/>
          <w:b/>
          <w:sz w:val="19"/>
        </w:rPr>
        <w:t xml:space="preserve">Results: </w:t>
      </w:r>
      <w:r>
        <w:t>Available studies indicate that total wrist replacement cannot be reduced to the reproduction of flexion-extension and radial-ulnar deviation because the native joint exhibits coupled rotations, translations, moving axes, muscle-dependent stability, and position-dependent load transfer [7,11,21]. CT, MRI, time-resolved imaging, automated segmentation, contralateral mirroring, and statistical shape models provide complementary inputs, but acquisition, reconstruction, registration, material, loading, and boundary-condition assumptions remain incompletely standardized [13,50,55]. Customized systems appear feasible for severe deformity and bone loss; however, current clinical series are small and do not yet establish long-term superiority over modular implants [32,33,60].</w:t>
      </w:r>
    </w:p>
    <w:p>
      <w:pPr>
        <w:pStyle w:val="AbstractText"/>
      </w:pPr>
      <w:r>
        <w:rPr>
          <w:rFonts w:ascii="Times New Roman" w:hAnsi="Times New Roman" w:eastAsia="Times New Roman"/>
          <w:b/>
          <w:sz w:val="19"/>
        </w:rPr>
        <w:t xml:space="preserve">Significance: </w:t>
      </w:r>
      <w:r>
        <w:t>The evidence supports restoration of a physiological motion-and-load envelope, rather than maximization of unconstrained angular range, as the principal design objective [24,29,30]. A credible development process should therefore link patient anatomy, population variability, multibody-derived loads, local finite element outcomes, manufacturing tolerances, experimental validation, and postoperative surveillance within one traceable framework [17,32,63].</w:t>
      </w:r>
    </w:p>
    <w:p>
      <w:pPr>
        <w:pStyle w:val="AbstractText"/>
      </w:pPr>
      <w:r>
        <w:rPr>
          <w:rFonts w:ascii="Times New Roman" w:hAnsi="Times New Roman" w:eastAsia="Times New Roman"/>
          <w:b/>
          <w:sz w:val="19"/>
        </w:rPr>
        <w:t xml:space="preserve">Keywords: </w:t>
      </w:r>
      <w:r>
        <w:t>total wrist arthroplasty; wrist replacement; medical imaging; image segmentation; bone reconstruction; carpal kinematics; centroid trajectory; bone orientation; multibody dynamics; finite element analysis; customized prosthesis; additive manufacturing</w:t>
      </w:r>
    </w:p>
    <w:p>
      <w:pPr>
        <w:pStyle w:val="Heading1"/>
        <w:pageBreakBefore/>
      </w:pPr>
      <w:r>
        <w:t>1 Introduction</w:t>
      </w:r>
    </w:p>
    <w:p>
      <w:pPr>
        <w:ind w:firstLine="317"/>
      </w:pPr>
      <w:r>
        <w:t>End-stage wrist arthritis may result from inflammatory disease, osteoarthritis, post-traumatic degeneration, carpal collapse, osteonecrosis, infection, or failure of prior motion-preserving surgery [1,3,4]. When nonoperative care no longer provides acceptable pain relief, fusion and total wrist arthroplasty are the principal definitive options [3,5]. Fusion remains mechanically durable but eliminates radiocarpal and midcarpal motion, whereas arthroplasty seeks pain relief with retained motion for personal care, communication, light work, and bilateral hand use [3,5]. Its value depends on delivering those tasks without reintroducing instability, loosening, or avoidable bone loss [1,4,35].</w:t>
      </w:r>
    </w:p>
    <w:p>
      <w:pPr>
        <w:ind w:firstLine="317"/>
      </w:pPr>
      <w:r>
        <w:t>Progression from silicone spacers and long-stemmed constrained devices to bone-preserving, porous-coated, and modular systems has expanded the reconstructive options [1,4,35]. Contemporary systems combine a radial component, a carpal component, and an articulation with markedly different geometries, fixation strategies, and degrees of constraint [4,6,35]. Those differences are consequential because articular form, surgical placement, fixation, materials, and soft-tissue balance jointly determine the reconstructed mechanics [21,24,25]. Clinical improvement is consistently reported, but complications, reoperations, loosening, and revision remain important [2,3,4]. The literature therefore supports progress, not equivalence with large-joint arthroplasty, and makes patient selection and design rationale central rather than incidental [1,2,4].</w:t>
      </w:r>
    </w:p>
    <w:p>
      <w:pPr>
        <w:ind w:firstLine="317"/>
      </w:pPr>
      <w:r>
        <w:t>The principal design challenge is that total wrist replacement substitutes a compact artificial articulation for a ligament-guided, two-level, multi-bone mechanism [7,11,17]. In the intact wrist, radiocarpal and midcarpal motion arises from coupled rotations, translations, changing contact locations, tendon paths, and position-dependent load transfer [7,11,25]. Even with acceptable radiographic alignment, a prosthesis can alter the center-of-rotation path, carpal height, tendon excursion, contact migration, and the moment applied to radial and carpal fixation interfaces [23,24,25]. These changes may promote edge loading, impingement, bearing wear, interface micromotion, and bone stress [21,22,24]. Successful design therefore requires an acceptable and robust motion-and-load response across relevant tasks, not merely restoration of gross angular range [21,24,29].</w:t>
      </w:r>
    </w:p>
    <w:p>
      <w:pPr>
        <w:ind w:firstLine="317"/>
      </w:pPr>
      <w:r>
        <w:t>This requirement directs attention to an image-to-implant workflow that connects patient anatomy with mechanical performance [13,17,32]. CT, MRI, four-dimensional imaging, automated segmentation, contralateral mirroring, and statistical shape models provide complementary representations of bone morphology, soft tissues, and motion [13,50,55]. Bone-centroid trajectories, three-dimensional orientations, external and articular contours, dynamic centers of rotation and contact, and muscle moment arms can then be converted into measurable design targets [11,24,25]. Uncertainty in acquisition, segmentation, registration, material definition, boundary conditions, and surgical placement should be propagated through the design process rather than hidden by a single nominal simulation [15,22,26]. Materials, porous fixation, bearings, additive manufacturing, and verification must consequently be considered with anatomy and kinematics, because each constrains what can be manufactured and implanted reliably [33,44,60].</w:t>
      </w:r>
    </w:p>
    <w:p>
      <w:pPr>
        <w:ind w:firstLine="317"/>
      </w:pPr>
      <w:r>
        <w:t>Against this background, the present review treats total wrist arthroplasty as a continuous biomechanical design problem, spanning functional anatomy, image acquisition and processing, bone reconstruction, quantitative shape and motion analysis, multibody and finite element modelling, implant optimization, customization, biomaterials, manufacturing, verification, and clinical translation [7,17,33]. This sequence identifies prevalent methods, the assumptions that limit them, and the validation necessary before translation [17,21,63]. Its governing proposal is that a successful prosthesis should restore a robust physiological motion-and-load envelope while preserving bone and future revision options, rather than maximizing component fit or passive range alone [24,29,39].</w:t>
      </w:r>
    </w:p>
    <w:p>
      <w:pPr>
        <w:pStyle w:val="Heading1"/>
      </w:pPr>
      <w:r>
        <w:t>2 The Native Wrist as a Functional Design Target</w:t>
      </w:r>
    </w:p>
    <w:p>
      <w:pPr>
        <w:pStyle w:val="Heading2"/>
      </w:pPr>
      <w:r>
        <w:t>2.1 Osseoligamentous architecture</w:t>
      </w:r>
    </w:p>
    <w:p>
      <w:pPr>
        <w:ind w:firstLine="317"/>
      </w:pPr>
      <w:r>
        <w:t>From an anatomical point of view, the wrist is formed by the distal radius and ulna, eight carpal bones, and the proximal metacarpals, while its mechanical behavior depends equally on cartilage, the triangular fibrocartilage complex, intrinsic and extrinsic ligaments, joint capsules, retinacula, and musculotendinous units [7,8]. The proximal row comprises the scaphoid, lunate, triquetrum, and pisiform, and the distal row comprises the trapezium, trapezoid, capitate, and hamate [7,8]. The distal row is strongly interconnected and behaves approximately as a functional unit with the metacarpal bases during many tasks, whereas the proximal row acts as an intercalated segment without direct tendon insertion on its major load-bearing bones [11,7,8]. As such, mobility and stability arise from continuously changing ligament tension and articular contact rather than from one fixed articular center [7,8,9].</w:t>
      </w:r>
    </w:p>
    <w:p>
      <w:pPr>
        <w:ind w:firstLine="317"/>
      </w:pPr>
      <w:r>
        <w:t>The distal radius presents separate scaphoid and lunate fossae with different local curvature, and the intervening ridge contributes to guidance of the proximal carpal row [7,8]. On the ulnar side, the triangular fibrocartilage complex transmits load between the carpus and ulna while stabilizing the distal radioulnar joint [7,8]. Radial inclination, volar tilt, ulnar variance, sigmoid-notch geometry, and carpal height influence the initial alignment and available motion of the wrist [7,8]. These anatomical parameters are clinically familiar, but they capture only sparse landmarks and cannot fully represent three-dimensional cortical and articular shape [11,41,42].</w:t>
      </w:r>
    </w:p>
    <w:p>
      <w:pPr>
        <w:pStyle w:val="Heading2"/>
      </w:pPr>
      <w:r>
        <w:t>2.2 Load sharing and coupled motion</w:t>
      </w:r>
    </w:p>
    <w:p>
      <w:pPr>
        <w:ind w:firstLine="317"/>
      </w:pPr>
      <w:r>
        <w:t>With regard to native load transfer, approximately 80% of axial force is transmitted through the radiocarpal joint and approximately 20% through the ulnocarpal region in neutral posture, with commonly cited estimates of about 45% through the radioscaphoid and 35% through the radiolunate articulation [7]. These fractions vary with wrist posture, ulnar variance, forearm rotation, ligament integrity, and the direction and location of the external hand force [7,8]. Moreover, contact areas and centers migrate as the wrist flexes, extends, and deviates; consequently, a static pressure measurement cannot describe the complete loading history [7,25]. A prosthesis that directs nearly all load into the radius or concentrates contact on one side of a component may therefore depart from the distributed native system even when its peak force remains below material strength [21,25].</w:t>
      </w:r>
    </w:p>
    <w:p>
      <w:pPr>
        <w:ind w:firstLine="317"/>
      </w:pPr>
      <w:r>
        <w:t>In most clinical and computational studies, wrist motion is summarized as flexion-extension and radial-ulnar deviation of the third metacarpal relative to the radius [7,9,10]. Although this two-degree-of-freedom description is clinically useful, each carpal bone undergoes three rotations and three translations that depend nonlinearly on the global hand position [11,12]. The distal row tends to follow the hand, whereas the scaphoid, lunate, and triquetrum show bone-specific rotations and translations shaped by their articulations and ligament connections [7,11,12]. Consequently, identical global wrist angles can arise from different radiocarpal and midcarpal contributions and may not imply identical internal loading [9,10,11].</w:t>
      </w:r>
    </w:p>
    <w:p>
      <w:pPr>
        <w:ind w:firstLine="317"/>
      </w:pPr>
      <w:r>
        <w:t>The dart-thrower's motion travels obliquely from radial extension toward ulnar flexion and is prominent in many functional tasks [9,10]. Classical descriptions emphasize midcarpal motion and relatively small scaphoid and lunate rotation along a pure dart-throwing path, although later studies show that proximal-row motion depends on the selected path, task, load, and ligament condition [9,10,12]. The opposite dart-throwing path also involves coordinated but different radiocarpal and midcarpal contributions, confirming that wrist motion cannot be reduced to one privileged oblique plane [16]. An implant should therefore be assessed during pure anatomical motion, both oblique motion directions, circumduction, grip, and representative activities rather than during a single unloaded arc [16,9,10].</w:t>
      </w:r>
    </w:p>
    <w:p>
      <w:pPr>
        <w:pStyle w:val="Heading2"/>
      </w:pPr>
      <w:r>
        <w:t>2.3 Musculotendon function</w:t>
      </w:r>
    </w:p>
    <w:p>
      <w:pPr>
        <w:ind w:firstLine="317"/>
      </w:pPr>
      <w:r>
        <w:t>Muscle action adds a further level of complexity because the wrist flexors and extensors act through position-dependent moment arms and often co-contract to stabilize the carpus during grip [17,18,20]. The principal wrist motors include flexor carpi radialis, flexor carpi ulnaris, extensor carpi radialis longus and brevis, and extensor carpi ulnaris, while finger and thumb muscles can add substantial wrist moments during functional tasks [17,18,20]. A change in carpal height or center of rotation may alter tendon excursion and moment arms and thereby change the muscle force required to produce the same external movement [23,28,29]. Therefore, implant geometry, surgical positioning, and soft-tissue tension should be treated as one mechanical system [23,28,29].</w:t>
      </w:r>
    </w:p>
    <w:p>
      <w:pPr>
        <w:pStyle w:val="Heading1"/>
      </w:pPr>
      <w:r>
        <w:t>3 Image-to-Model Reconstruction of the Patient Wrist</w:t>
      </w:r>
    </w:p>
    <w:p>
      <w:pPr>
        <w:pStyle w:val="Heading2"/>
      </w:pPr>
      <w:r>
        <w:t>3.1 Imaging objectives and static acquisition</w:t>
      </w:r>
    </w:p>
    <w:p>
      <w:pPr>
        <w:ind w:firstLine="317"/>
      </w:pPr>
      <w:r>
        <w:t>Image acquisition should be selected by the anatomical or mechanical quantity that must be recovered, because no modality resolves bone, soft tissue, and motion with the same accuracy [11,13,14]. Radiographs remain useful for alignment and surveillance but cannot reconstruct individual carpal surfaces; static CT defines cortical contours, canals, defects, and fixation corridors, whereas MRI depicts cartilage, marrow, ligaments, and tendons [7,13,53]. Four-dimensional CT and MRI, and biplanar videoradiography, add time-resolved motion with different trade-offs in radiation, tissue contrast, field of view, and tracking accuracy [14,15,16].</w:t>
      </w:r>
    </w:p>
    <w:p>
      <w:pPr>
        <w:ind w:firstLine="317"/>
      </w:pPr>
      <w:r>
        <w:t>A design-oriented CT protocol should include the distal forearm, carpus, and proximal metacarpal fixation region, using near-isotropic voxels to protect small cortical edges, joint spaces, curvature, and screw-corridor measurements [11,13,50]. Bilateral imaging can provide a contralateral template when disease is unilateral, provided that the opposite wrist is assessed for degeneration, injury, and meaningful asymmetry [33,60,61]. Scan field, reconstruction kernel, dose, posture, forearm rotation, and calibration should be recorded as part of the geometric record [11,13,50].</w:t>
      </w:r>
    </w:p>
    <w:p>
      <w:pPr>
        <w:pStyle w:val="Heading2"/>
      </w:pPr>
      <w:r>
        <w:t>3.2 Time-resolved acquisition</w:t>
      </w:r>
    </w:p>
    <w:p>
      <w:pPr>
        <w:ind w:firstLine="317"/>
      </w:pPr>
      <w:r>
        <w:t>Dynamic CT should be prescribed around a specific task and modelling objective rather than acquired as an undirected cine sequence [16,50,51]. Controlled protocols can recover wrist pose with submillimetre and low-degree accuracy, but motion speed, dose, reconstruction angle, temporal sampling, and gantry-relative motion can create apparent displacement [50,51]. A motion guide may improve repeatability while constraining the free path; frames should therefore retain timestamps and task direction rather than collapse opposite directions into one trajectory [16,50,52].</w:t>
      </w:r>
    </w:p>
    <w:p>
      <w:pPr>
        <w:ind w:firstLine="317"/>
      </w:pPr>
      <w:r>
        <w:t>MRI is valuable when cartilage, ligament integrity, tendon paths, or marrow are design-relevant, and automated methods can assist carpal-bone and cartilage segmentation [53,56,57]. Dynamic MRI avoids ionizing radiation but differs from CT in spatial and temporal resolution, artefact, and cortical contrast. CT-to-MRI registration should be validated because posture and loading can differ between scans [53,56,57].</w:t>
      </w:r>
    </w:p>
    <w:p>
      <w:pPr>
        <w:pStyle w:val="Heading2"/>
      </w:pPr>
      <w:r>
        <w:t>3.3 Segmentation and quality assurance</w:t>
      </w:r>
    </w:p>
    <w:p>
      <w:pPr>
        <w:ind w:firstLine="317"/>
      </w:pPr>
      <w:r>
        <w:t>Processing should preserve the original DICOM series and traceable derivatives for resampling, artefact correction, segmentation, registration, and measurement [13,14,15]. Thresholding and region growing remain useful for cortical bone; atlas, shape-and-pose, and deep-learning methods help separate adjacent bones [54,55,56]. Automated methods can fail in erosions, collapse, metal artefact, or anatomy outside their training distribution, so manual correction should remain an auditable design input [54,55,56].</w:t>
      </w:r>
    </w:p>
    <w:p>
      <w:pPr>
        <w:ind w:firstLine="317"/>
      </w:pPr>
      <w:r>
        <w:t>Imaging quality assurance should use endpoints linked to the design decision. Surface distance, local boundary and curvature error, canal or screw-corridor error, and rigid-pose error are more relevant to fit and kinematics than volume overlap alone [13,50,54]. Repeat processing, phantom tests, and independent review are warranted when error approaches the proposed clearance, coating thickness, or kinematic difference [13,14,15].</w:t>
      </w:r>
    </w:p>
    <w:p>
      <w:pPr>
        <w:pStyle w:val="Heading2"/>
      </w:pPr>
      <w:r>
        <w:t>3.4 Geometrical reconstruction and target anatomy</w:t>
      </w:r>
    </w:p>
    <w:p>
      <w:pPr>
        <w:pStyle w:val="Heading3"/>
      </w:pPr>
      <w:r>
        <w:t>3.4.1 Surface generation and geometrical fidelity</w:t>
      </w:r>
    </w:p>
    <w:p>
      <w:pPr>
        <w:ind w:firstLine="317"/>
      </w:pPr>
      <w:r>
        <w:t>Segmented volumes must be converted into anatomically valid surfaces before measurement, simulation, design, or manufacture [11,13,14]. Connected components, holes, self-intersections, non-manifold edges, and mislabeled fragments require correction, while smoothing and decimation must not remove thin cortices or alter curvature and fixation boundaries [11,55,41]. The record should retain voxel spacing, transforms, laterality, labels, and the relationship between original and processed surfaces [13,14,15].</w:t>
      </w:r>
    </w:p>
    <w:p>
      <w:pPr>
        <w:ind w:firstLine="317"/>
      </w:pPr>
      <w:r>
        <w:t>Segmentation and reconstruction are coupled errors: a smooth mesh may conceal a wrong image boundary, whereas a voxel-faithful mesh can retain staircase artefact that corrupts curvature [50,51,55]. Shape-and-pose models can regularize CT segmentation, and deep learning can process large 4D datasets, but bone identity, temporal consistency, and performance in pathological or implant-containing wrists require explicit checking [54,55].</w:t>
      </w:r>
    </w:p>
    <w:p>
      <w:pPr>
        <w:pStyle w:val="Heading3"/>
      </w:pPr>
      <w:r>
        <w:t>3.4.2 Model classes and articular reconstruction</w:t>
      </w:r>
    </w:p>
    <w:p>
      <w:pPr>
        <w:ind w:firstLine="317"/>
      </w:pPr>
      <w:r>
        <w:t>The intended model class should be defined before extensive repair. A cortical surface may suffice for coverage and collision, whereas finite element analysis requires a volumetric mesh, materials, contacts, and cortical-cancellous assumptions [17,19,21]. Kinematic models require consistent local coordinate systems across poses, and manufacturing requires watertight solids with controlled offsets and a distinction between designed, manufactured, and inspected geometry [11,13,44].</w:t>
      </w:r>
    </w:p>
    <w:p>
      <w:pPr>
        <w:ind w:firstLine="317"/>
      </w:pPr>
      <w:r>
        <w:t>Articular reconstruction requires separate treatment from external cortical reconstruction. CT subchondral bone does not reproduce cartilage, and a uniform offset can misrepresent thickness, congruence, and contact onset [56,57]. MRI may improve the model, but thin cartilage, partial-volume effects, segmentation uncertainty, and cross-modality registration should be represented as an uncertainty band rather than an exact target surface [17,19,56].</w:t>
      </w:r>
    </w:p>
    <w:p>
      <w:pPr>
        <w:pStyle w:val="Heading3"/>
      </w:pPr>
      <w:r>
        <w:t>3.4.3 Reconstruction of deficient anatomy</w:t>
      </w:r>
    </w:p>
    <w:p>
      <w:pPr>
        <w:ind w:firstLine="317"/>
      </w:pPr>
      <w:r>
        <w:t>Damaged anatomy requires an explicit target rather than interpolation across missing voxels [33,41,55]. A mirrored contralateral model preserves patient scale when disease is unilateral, whereas statistical shape models provide a population-informed target when both wrists are abnormal [41,42,55]. Carpal shape varies continuously, so the reconstructed anatomy should be reported as a hypothesis with uncertainty when collapse or erosion has altered native relationships [41,58,59].</w:t>
      </w:r>
    </w:p>
    <w:p>
      <w:pPr>
        <w:ind w:firstLine="317"/>
      </w:pPr>
      <w:r>
        <w:t>The final digital anatomy should be a coordinated model set containing pathological and target anatomy, resection surfaces, local coordinate systems, centroid and landmark definitions, fixation corridors, soft-tissue zones, and dynamic registrations [11,13,14]. This permits a change in segmentation or correction to propagate consistently through kinematics, finite element meshes, guides, and implant geometry [50,51,52].</w:t>
      </w:r>
    </w:p>
    <w:p>
      <w:pPr>
        <w:pStyle w:val="Heading1"/>
      </w:pPr>
      <w:r>
        <w:t>4 Quantitative Anatomical and Kinematic Targets</w:t>
      </w:r>
    </w:p>
    <w:p>
      <w:pPr>
        <w:pStyle w:val="Heading2"/>
      </w:pPr>
      <w:r>
        <w:t>4.1 Coordinate systems and pose descriptors</w:t>
      </w:r>
    </w:p>
    <w:p>
      <w:pPr>
        <w:ind w:firstLine="317"/>
      </w:pPr>
      <w:r>
        <w:t>A consistent description of wrist motion first requires coordinate systems that are reproducible across subjects, sides, imaging sessions, and pathological states [11,12,13]. Radius-based coordinate systems can be defined from the radial shaft, styloid, sigmoid notch, and distal articular landmarks, while carpal systems can use surface geometry, principal axes, or registered templates [11,12,13]. Landmark-only systems are clinically interpretable but may become unstable when arthritis destroys the relevant anatomy, whereas geometry-based systems depend on segmentation quality and the selected surface region [11,13,41]. Therefore, coordinate-system construction and repeatability should be reported explicitly because a change in axes can appear as a change in bone rotation [13,14,15].</w:t>
      </w:r>
    </w:p>
    <w:p>
      <w:pPr>
        <w:ind w:firstLine="317"/>
      </w:pPr>
      <w:r>
        <w:t>The geometric centroid of a segmented bone provides a concise position descriptor and allows three-dimensional trajectories to be calculated relative to the radius [11,12,13]. These trajectories are useful for comparing preoperative and postoperative carpal translation, identifying systematic radial-ulnar or dorsal-volar drift, and defining the volume of motion occupied by an implant component [11,13,12]. However, a geometric centroid should not be described as a center of mass unless local density has been incorporated, because CT segmentation of the external surface alone assumes uniform material distribution [11,13]. For implant design, the geometric centroid is generally the more reproducible quantity because it depends on shape rather than uncertain density calibration [11,41,42].</w:t>
      </w:r>
    </w:p>
    <w:p>
      <w:pPr>
        <w:ind w:firstLine="317"/>
      </w:pPr>
      <w:r>
        <w:t>Bone orientation should be described with a complete three-dimensional rotation representation rather than a single azimuth angle [12,13,14]. Cardan or Euler angles are intuitive but depend on the order of rotations, so the sequence and sign conventions must be stated [12,13,14]. Rotation matrices or quaternions avoid singularities during computation, while anatomically named Cardan angles can be reported for clinical interpretation [12,13,14]. An azimuth can be added when a trajectory is projected into a defined spherical or transverse coordinate system, but it cannot independently represent full carpal pose [12,13,14].</w:t>
      </w:r>
    </w:p>
    <w:p>
      <w:pPr>
        <w:ind w:firstLine="317"/>
      </w:pPr>
      <w:r>
        <w:t>The instantaneous helical axis combines rotation and translation between successive poses and is valuable for determining whether the wrist behaves around a stable or migrating axis [23,24,25]. Its intersection with anatomical planes can be expressed as a piercing point, and changes in that point reveal how arthroplasty alters the average axis and its variability [23,24]. Because helical-axis estimates become noise-sensitive when frame-to-frame rotation is small, temporal resolution, filtering, and minimum rotation thresholds must be documented [13,14,15]. Center-of-rotation conclusions should also be interpreted in relation to the task and implant geometry because a unique fixed center does not exist for the native wrist [24,25,29].</w:t>
      </w:r>
    </w:p>
    <w:p>
      <w:pPr>
        <w:pStyle w:val="Heading2"/>
      </w:pPr>
      <w:r>
        <w:t>4.2 External and articular contours</w:t>
      </w:r>
    </w:p>
    <w:p>
      <w:pPr>
        <w:ind w:firstLine="317"/>
      </w:pPr>
      <w:r>
        <w:t>From a geometrical point of view, the external cortical contour defines component fit, resection coverage, stem entry, edge clearance, and the space available for ligaments and tendons [11,33,41]. It can be characterized using point-to-surface distance maps, cross-sectional dimensions, curvature, surface normals, or principal component scores after dense correspondence [41,42,43]. The articular contour requires separate analysis because local curvature and congruence govern rolling, sliding, contact area, and edge loading [22,25,32]. Thus, a close external fit combined with unsuitable articular curvature can produce an implant that is anatomically seated but kinematically abnormal [22,24,25].</w:t>
      </w:r>
    </w:p>
    <w:p>
      <w:pPr>
        <w:ind w:firstLine="317"/>
      </w:pPr>
      <w:r>
        <w:t>Statistical shape models describe a mean anatomy and dominant modes of population variation after establishing correspondence among surfaces [41,42]. In orthopaedics, they can support segmentation, reconstruction of damaged anatomy, implant sizing, virtual implantation, and evaluation of population coverage [41,42]. Wrist applications are especially attractive because carpal bones are small, irregular, and mutually constrained, and shape should ideally be modelled together with relative pose [11,12,43]. A training dataset must nevertheless represent sex, body size, laterality, ancestry, age, pathology, and scanner variation if the resulting implant family is expected to serve a broad population [41,42].</w:t>
      </w:r>
    </w:p>
    <w:p>
      <w:pPr>
        <w:ind w:firstLine="317"/>
      </w:pPr>
      <w:r>
        <w:t>Dynamic imaging supplies the kinematic targets needed to complement shape analysis [11,13,14]. Static or quasi-static CT provides high-resolution surfaces at several poses, four-dimensional CT captures continuous low-speed motion with time-resolved volumes, four-dimensional MRI adds dynamic information without ionizing radiation, and biplanar videoradiography offers high temporal resolution with model-based tracking [13,14,15]. Validated biplanar and four-dimensional CT methods have demonstrated submillimetre translational performance under controlled conditions, although angular and pose errors vary with protocol and motion [14,15,50]. Each modality has limitations involving radiation, field of view, tissue contrast, occlusion, temporal resolution, motion speed, and segmentation effort, so a multimodal dataset is more defensible than treating one technique as universally optimal [13,14,15].</w:t>
      </w:r>
    </w:p>
    <w:p>
      <w:pPr>
        <w:pStyle w:val="Heading1"/>
      </w:pPr>
      <w:r>
        <w:t>5 Definition of the Preoperative Mechanical State</w:t>
      </w:r>
    </w:p>
    <w:p>
      <w:pPr>
        <w:ind w:firstLine="317"/>
      </w:pPr>
      <w:r>
        <w:t>Before virtual implantation, pathology should not be represented as a healthy wrist with thinner cartilage. Inflammatory disease may combine ligament attenuation, tendon imbalance, osteopenia, erosion, and ulnar deviation, whereas post-traumatic arthritis may combine malunion, altered radial inclination, collapse, focal cartilage loss, and retained hardware [1,3,33]. These conditions impose different fixation and soft-tissue requirements, so they should not be merged into one generic arthritic model [1,4,40].</w:t>
      </w:r>
    </w:p>
    <w:p>
      <w:pPr>
        <w:ind w:firstLine="317"/>
      </w:pPr>
      <w:r>
        <w:t>The preoperative model should quantify bone stock, deformity, carpal height, alignment, distal radioulnar joint status, and the usable fixation corridors. CT can inform regional bone quality, while MRI or ultrasound may add information on cartilage, tendons, and ligaments; clinical examination remains essential because pain, instability, and tendon balance cannot be inferred from geometry alone [19,26,33].</w:t>
      </w:r>
    </w:p>
    <w:p>
      <w:pPr>
        <w:ind w:firstLine="317"/>
      </w:pPr>
      <w:r>
        <w:t>The target anatomy must be defined explicitly. Reproducing a collapsed carpus preserves disease geometry, whereas imposing a population mean may overcorrect a patient at the edge of normal variation. A defensible target combines contralateral anatomy or a shape model with surgeon-defined correction, and carries its reconstruction uncertainty into the subsequent optimization [41,42,60].</w:t>
      </w:r>
    </w:p>
    <w:p>
      <w:pPr>
        <w:pStyle w:val="Heading1"/>
      </w:pPr>
      <w:r>
        <w:t>6 Computational Biomechanics and Virtual Implantation</w:t>
      </w:r>
    </w:p>
    <w:p>
      <w:pPr>
        <w:pStyle w:val="Heading2"/>
      </w:pPr>
      <w:r>
        <w:t>6.1 Model architecture and soft-tissue representation</w:t>
      </w:r>
    </w:p>
    <w:p>
      <w:pPr>
        <w:ind w:firstLine="317"/>
      </w:pPr>
      <w:r>
        <w:t>Multibody dynamics represents bones and implant components as bodies connected by joints, compliant contacts, ligaments, and musculotendinous actuators. A simplified model may estimate gross muscle force, whereas an individual-bone model is required when the question concerns intercarpal motion, contact migration, or fixation loading [17,19,20]. The model should only become more detailed when its additional parameters can be identified and its additional outputs can be validated [17,19,63].</w:t>
      </w:r>
    </w:p>
    <w:p>
      <w:pPr>
        <w:ind w:firstLine="317"/>
      </w:pPr>
      <w:r>
        <w:t>Ligaments are commonly represented as nonlinear tension-only springs or bundles. This captures recruitment under separation, but a single line element may not represent broad ligaments whose fibers engage at different postures; attachment position, reference strain, and stiffness should therefore be tested when ligament force changes a design decision [7,19]. Muscles and tendons can be represented by Hill-type actuators and anatomical paths. Inverse dynamics, static optimization, electromyography-assisted estimation, and forward simulation answer different questions and require explicit calibration [17,18,20].</w:t>
      </w:r>
    </w:p>
    <w:p>
      <w:pPr>
        <w:ind w:firstLine="317"/>
      </w:pPr>
      <w:r>
        <w:t>For total wrist arthroplasty, the most informative outputs are tendon force, muscle moment arm, joint reaction force, component orientation, center-of-rotation trajectory, contact location, ligament strain, and impingement state. These outputs permit a like-for-like comparison of the native, pathological, virtually implanted, and postoperative wrist during the same task [24,29,30]. A design that restores angular range but substantially increases muscle demand or carpal-interface loading should not be considered functionally equivalent [21,24,29].</w:t>
      </w:r>
    </w:p>
    <w:p>
      <w:pPr>
        <w:pStyle w:val="Heading2"/>
      </w:pPr>
      <w:r>
        <w:t>6.2 Governing equations and optimization formulation</w:t>
      </w:r>
    </w:p>
    <w:p>
      <w:pPr>
        <w:ind w:firstLine="317"/>
      </w:pPr>
      <w:r>
        <w:t>The governing equations should be stated because they determine which quantities are assumed known, which are solved, and which uncertainties can change a design conclusion [17,19,20]. For a constrained multibody wrist model, generalized coordinates q describe the pose of bones and components, while the constraint Jacobian J(q) transfers ligament, contact, or joint-closure reactions lambda into generalized forces [17,19].</w:t>
      </w:r>
    </w:p>
    <w:p>
      <w:pPr>
        <w:spacing w:before="40" w:after="60"/>
        <w:jc w:val="center"/>
      </w:pPr>
      <m:oMath>
        <m:r>
          <m:t xml:space="preserve">M(q) q̈ + h(q, q̇) + </m:t>
        </m:r>
        <m:sSup>
          <m:e>
            <m:r>
              <m:t xml:space="preserve">J(q)</m:t>
            </m:r>
          </m:e>
          <m:sup>
            <m:r>
              <m:t xml:space="preserve">T</m:t>
            </m:r>
          </m:sup>
        </m:sSup>
        <m:r>
          <m:t xml:space="preserve"> λ = </m:t>
        </m:r>
        <m:sSub>
          <m:e>
            <m:r>
              <m:t xml:space="preserve">τ</m:t>
            </m:r>
          </m:e>
          <m:sub>
            <m:r>
              <m:t xml:space="preserve">m</m:t>
            </m:r>
          </m:sub>
        </m:sSub>
        <m:r>
          <m:t xml:space="preserve"> + </m:t>
        </m:r>
        <m:sSub>
          <m:e>
            <m:r>
              <m:t xml:space="preserve">τ</m:t>
            </m:r>
          </m:e>
          <m:sub>
            <m:r>
              <m:t xml:space="preserve">lig</m:t>
            </m:r>
          </m:sub>
        </m:sSub>
        <m:r>
          <m:t xml:space="preserve"> + </m:t>
        </m:r>
        <m:sSub>
          <m:e>
            <m:r>
              <m:t xml:space="preserve">τ</m:t>
            </m:r>
          </m:e>
          <m:sub>
            <m:r>
              <m:t xml:space="preserve">ext</m:t>
            </m:r>
          </m:sub>
        </m:sSub>
      </m:oMath>
      <w:r>
        <w:rPr>
          <w:rFonts w:ascii="Times New Roman" w:hAnsi="Times New Roman" w:eastAsia="Times New Roman"/>
          <w:color w:val="465056"/>
          <w:sz w:val="19"/>
        </w:rPr>
        <w:t xml:space="preserve">  (1)</w:t>
      </w:r>
    </w:p>
    <w:p>
      <w:pPr>
        <w:ind w:firstLine="317"/>
      </w:pPr>
      <w:r>
        <w:t>For prescribed motion, inverse dynamics supplies the net moment that must be balanced. Static optimization then estimates a physiologically plausible distribution of muscle or tendon forces by minimizing normalized muscle effort subject to that moment balance and to nonnegative force limits [17,18,20].</w:t>
      </w:r>
    </w:p>
    <w:p>
      <w:pPr>
        <w:spacing w:before="40" w:after="60"/>
        <w:jc w:val="center"/>
      </w:pPr>
      <m:oMath>
        <m:sSub>
          <m:e>
            <m:r>
              <m:t xml:space="preserve">min</m:t>
            </m:r>
          </m:e>
          <m:sub>
            <m:r>
              <m:t xml:space="preserve">F</m:t>
            </m:r>
          </m:sub>
        </m:sSub>
        <m:r>
          <m:t xml:space="preserve"> </m:t>
        </m:r>
        <m:sSub>
          <m:e>
            <m:r>
              <m:t xml:space="preserve">Σ</m:t>
            </m:r>
          </m:e>
          <m:sub>
            <m:r>
              <m:t xml:space="preserve">i</m:t>
            </m:r>
          </m:sub>
        </m:sSub>
        <m:r>
          <m:t xml:space="preserve"> (</m:t>
        </m:r>
        <m:f>
          <m:num>
            <m:sSub>
              <m:e>
                <m:r>
                  <m:t xml:space="preserve">F</m:t>
                </m:r>
              </m:e>
              <m:sub>
                <m:r>
                  <m:t xml:space="preserve">i</m:t>
                </m:r>
              </m:sub>
            </m:sSub>
          </m:num>
          <m:den>
            <m:sSub>
              <m:e>
                <m:r>
                  <m:t xml:space="preserve">F</m:t>
                </m:r>
              </m:e>
              <m:sub>
                <m:r>
                  <m:t xml:space="preserve">i,max</m:t>
                </m:r>
              </m:sub>
            </m:sSub>
          </m:den>
        </m:f>
        <m:r>
          <m:t xml:space="preserve">)^p</m:t>
        </m:r>
        <m:r>
          <m:t xml:space="preserve">, subject to R(q)F + </m:t>
        </m:r>
        <m:sSub>
          <m:e>
            <m:r>
              <m:t xml:space="preserve">τ</m:t>
            </m:r>
          </m:e>
          <m:sub>
            <m:r>
              <m:t xml:space="preserve">lig</m:t>
            </m:r>
          </m:sub>
        </m:sSub>
        <m:r>
          <m:t xml:space="preserve"> + </m:t>
        </m:r>
        <m:sSub>
          <m:e>
            <m:r>
              <m:t xml:space="preserve">τ</m:t>
            </m:r>
          </m:e>
          <m:sub>
            <m:r>
              <m:t xml:space="preserve">ext</m:t>
            </m:r>
          </m:sub>
        </m:sSub>
        <m:r>
          <m:t xml:space="preserve"> = </m:t>
        </m:r>
        <m:sSub>
          <m:e>
            <m:r>
              <m:t xml:space="preserve">τ</m:t>
            </m:r>
          </m:e>
          <m:sub>
            <m:r>
              <m:t xml:space="preserve">ID</m:t>
            </m:r>
          </m:sub>
        </m:sSub>
      </m:oMath>
      <w:r>
        <w:rPr>
          <w:rFonts w:ascii="Times New Roman" w:hAnsi="Times New Roman" w:eastAsia="Times New Roman"/>
          <w:color w:val="465056"/>
          <w:sz w:val="19"/>
        </w:rPr>
        <w:t xml:space="preserve">  (2)</w:t>
      </w:r>
    </w:p>
    <w:p>
      <w:pPr>
        <w:ind w:firstLine="317"/>
      </w:pPr>
      <w:r>
        <w:t>Ligaments should produce force only after their slack length is exceeded. A tension-only nonlinear spring therefore gives a useful first-order representation, provided that attachment position, reference length, stiffness, and exponent are identified or explored by sensitivity analysis [7,19].</w:t>
      </w:r>
    </w:p>
    <w:p>
      <w:pPr>
        <w:spacing w:before="40" w:after="60"/>
        <w:jc w:val="center"/>
      </w:pPr>
      <m:oMath>
        <m:sSub>
          <m:e>
            <m:r>
              <m:t xml:space="preserve">F</m:t>
            </m:r>
          </m:e>
          <m:sub>
            <m:r>
              <m:t xml:space="preserve">lig</m:t>
            </m:r>
          </m:sub>
        </m:sSub>
        <m:r>
          <m:t xml:space="preserve"> = </m:t>
        </m:r>
        <m:sSub>
          <m:e>
            <m:r>
              <m:t xml:space="preserve">k</m:t>
            </m:r>
          </m:e>
          <m:sub>
            <m:r>
              <m:t xml:space="preserve">lig</m:t>
            </m:r>
          </m:sub>
        </m:sSub>
        <m:r>
          <m:t xml:space="preserve"> [max(0, ε)]^n</m:t>
        </m:r>
        <m:r>
          <m:t xml:space="preserve">, ε = </m:t>
        </m:r>
        <m:f>
          <m:num>
            <m:r>
              <m:t xml:space="preserve">l − </m:t>
            </m:r>
          </m:num>
          <m:den>
            <m:sSub>
              <m:e>
                <m:r>
                  <m:t xml:space="preserve">l</m:t>
                </m:r>
              </m:e>
              <m:sub>
                <m:r>
                  <m:t xml:space="preserve">0</m:t>
                </m:r>
              </m:sub>
            </m:sSub>
          </m:den>
        </m:f>
        <m:sSub>
          <m:e>
            <m:r>
              <m:t xml:space="preserve">l</m:t>
            </m:r>
          </m:e>
          <m:sub>
            <m:r>
              <m:t xml:space="preserve">0</m:t>
            </m:r>
          </m:sub>
        </m:sSub>
      </m:oMath>
      <w:r>
        <w:rPr>
          <w:rFonts w:ascii="Times New Roman" w:hAnsi="Times New Roman" w:eastAsia="Times New Roman"/>
          <w:color w:val="465056"/>
          <w:sz w:val="19"/>
        </w:rPr>
        <w:t xml:space="preserve">  (3)</w:t>
      </w:r>
    </w:p>
    <w:p>
      <w:pPr>
        <w:ind w:firstLine="317"/>
      </w:pPr>
      <w:r>
        <w:t>For finite element analysis, the displacement field u produces strain epsilon and stress sigma through the material matrix D. This local formulation is used to estimate contact pressure, peri-implant strain, component stress, and interface micromotion under the forces supplied by the multibody model [19,21,63].</w:t>
      </w:r>
    </w:p>
    <w:p>
      <w:pPr>
        <w:spacing w:before="40" w:after="60"/>
        <w:jc w:val="center"/>
      </w:pPr>
      <m:oMath>
        <m:r>
          <m:t xml:space="preserve">K(u)u = </m:t>
        </m:r>
        <m:sSub>
          <m:e>
            <m:r>
              <m:t xml:space="preserve">f</m:t>
            </m:r>
          </m:e>
          <m:sub>
            <m:r>
              <m:t xml:space="preserve">ext</m:t>
            </m:r>
          </m:sub>
        </m:sSub>
        <m:r>
          <m:t xml:space="preserve"> + </m:t>
        </m:r>
        <m:sSub>
          <m:e>
            <m:r>
              <m:t xml:space="preserve">f</m:t>
            </m:r>
          </m:e>
          <m:sub>
            <m:r>
              <m:t xml:space="preserve">contact</m:t>
            </m:r>
          </m:sub>
        </m:sSub>
        <m:r>
          <m:t xml:space="preserve"> + </m:t>
        </m:r>
        <m:sSub>
          <m:e>
            <m:r>
              <m:t xml:space="preserve">f</m:t>
            </m:r>
          </m:e>
          <m:sub>
            <m:r>
              <m:t xml:space="preserve">lig</m:t>
            </m:r>
          </m:sub>
        </m:sSub>
        <m:r>
          <m:t xml:space="preserve">, σ = Dε, ε = Bu</m:t>
        </m:r>
      </m:oMath>
      <w:r>
        <w:rPr>
          <w:rFonts w:ascii="Times New Roman" w:hAnsi="Times New Roman" w:eastAsia="Times New Roman"/>
          <w:color w:val="465056"/>
          <w:sz w:val="19"/>
        </w:rPr>
        <w:t xml:space="preserve">  (4)</w:t>
      </w:r>
    </w:p>
    <w:p>
      <w:pPr>
        <w:ind w:firstLine="317"/>
      </w:pPr>
      <w:r>
        <w:t>At articular and implant interfaces, a penalty or augmented-Lagrange contact formulation converts normal overclosure g_n into normal pressure p_n. Tangential traction should be bounded by the selected friction law, while interface micromotion is the relative displacement between implant and bone nodes [21,22,25].</w:t>
      </w:r>
    </w:p>
    <w:p>
      <w:pPr>
        <w:spacing w:before="40" w:after="60"/>
        <w:jc w:val="center"/>
      </w:pPr>
      <m:oMath>
        <m:sSub>
          <m:e>
            <m:r>
              <m:t xml:space="preserve">p</m:t>
            </m:r>
          </m:e>
          <m:sub>
            <m:r>
              <m:t xml:space="preserve">n</m:t>
            </m:r>
          </m:sub>
        </m:sSub>
        <m:r>
          <m:t xml:space="preserve"> = </m:t>
        </m:r>
        <m:sSub>
          <m:e>
            <m:r>
              <m:t xml:space="preserve">k</m:t>
            </m:r>
          </m:e>
          <m:sub>
            <m:r>
              <m:t xml:space="preserve">c</m:t>
            </m:r>
          </m:sub>
        </m:sSub>
        <m:r>
          <m:t xml:space="preserve"> max(0, −</m:t>
        </m:r>
        <m:sSub>
          <m:e>
            <m:r>
              <m:t xml:space="preserve">g</m:t>
            </m:r>
          </m:e>
          <m:sub>
            <m:r>
              <m:t xml:space="preserve">n</m:t>
            </m:r>
          </m:sub>
        </m:sSub>
        <m:r>
          <m:t xml:space="preserve">), ||</m:t>
        </m:r>
        <m:sSub>
          <m:e>
            <m:r>
              <m:t xml:space="preserve">t</m:t>
            </m:r>
          </m:e>
          <m:sub>
            <m:r>
              <m:t xml:space="preserve">t</m:t>
            </m:r>
          </m:sub>
        </m:sSub>
        <m:r>
          <m:t xml:space="preserve">|| ≤ μ</m:t>
        </m:r>
        <m:sSub>
          <m:e>
            <m:r>
              <m:t xml:space="preserve">p</m:t>
            </m:r>
          </m:e>
          <m:sub>
            <m:r>
              <m:t xml:space="preserve">n</m:t>
            </m:r>
          </m:sub>
        </m:sSub>
        <m:r>
          <m:t xml:space="preserve">, </m:t>
        </m:r>
        <m:sSub>
          <m:e>
            <m:r>
              <m:t xml:space="preserve">δ</m:t>
            </m:r>
          </m:e>
          <m:sub>
            <m:r>
              <m:t xml:space="preserve">int</m:t>
            </m:r>
          </m:sub>
        </m:sSub>
        <m:r>
          <m:t xml:space="preserve"> = ||</m:t>
        </m:r>
        <m:sSub>
          <m:e>
            <m:r>
              <m:t xml:space="preserve">u</m:t>
            </m:r>
          </m:e>
          <m:sub>
            <m:r>
              <m:t xml:space="preserve">implant</m:t>
            </m:r>
          </m:sub>
        </m:sSub>
        <m:r>
          <m:t xml:space="preserve"> − </m:t>
        </m:r>
        <m:sSub>
          <m:e>
            <m:r>
              <m:t xml:space="preserve">u</m:t>
            </m:r>
          </m:e>
          <m:sub>
            <m:r>
              <m:t xml:space="preserve">bone</m:t>
            </m:r>
          </m:sub>
        </m:sSub>
        <m:r>
          <m:t xml:space="preserve">||</m:t>
        </m:r>
      </m:oMath>
      <w:r>
        <w:rPr>
          <w:rFonts w:ascii="Times New Roman" w:hAnsi="Times New Roman" w:eastAsia="Times New Roman"/>
          <w:color w:val="465056"/>
          <w:sz w:val="19"/>
        </w:rPr>
        <w:t xml:space="preserve">  (5)</w:t>
      </w:r>
    </w:p>
    <w:p>
      <w:pPr>
        <w:pStyle w:val="Heading2"/>
      </w:pPr>
      <w:r>
        <w:t>6.3 Boundary conditions for task-based simulation</w:t>
      </w:r>
    </w:p>
    <w:p>
      <w:pPr>
        <w:ind w:firstLine="317"/>
      </w:pPr>
      <w:r>
        <w:t>Boundary conditions should be specified as a task definition, rather than as a list of arbitrary forces. The coordinate frame, constrained degrees of freedom, force or displacement control, muscle recruitment rule, contact law, and fixation state should be reported together so that another group can reproduce the load path [13,17,21].</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82"/>
        <w:gridCol w:w="3182"/>
        <w:gridCol w:w="3182"/>
      </w:tblGrid>
      <w:tr>
        <w:trPr>
          <w:tblHeader w:val="true"/>
        </w:trPr>
        <w:tc>
          <w:tcPr>
            <w:tcW w:type="dxa" w:w="2016"/>
            <w:vAlign w:val="center"/>
            <w:tcMar>
              <w:top w:w="78" w:type="dxa"/>
              <w:start w:w="90" w:type="dxa"/>
              <w:bottom w:w="78" w:type="dxa"/>
              <w:end w:w="90" w:type="dxa"/>
            </w:tcMar>
            <w:shd w:fill="1F4E79"/>
          </w:tcPr>
          <w:p>
            <w:pPr>
              <w:spacing w:after="0" w:line="235" w:lineRule="auto"/>
              <w:jc w:val="left"/>
            </w:pPr>
            <w:r>
              <w:rPr>
                <w:rFonts w:ascii="Arial" w:hAnsi="Arial" w:eastAsia="Arial"/>
                <w:b/>
                <w:color w:val="FFFFFF"/>
                <w:sz w:val="15"/>
              </w:rPr>
              <w:t>Domain</w:t>
            </w:r>
          </w:p>
        </w:tc>
        <w:tc>
          <w:tcPr>
            <w:tcW w:type="dxa" w:w="4968"/>
            <w:vAlign w:val="center"/>
            <w:tcMar>
              <w:top w:w="78" w:type="dxa"/>
              <w:start w:w="90" w:type="dxa"/>
              <w:bottom w:w="78" w:type="dxa"/>
              <w:end w:w="90" w:type="dxa"/>
            </w:tcMar>
            <w:shd w:fill="1F4E79"/>
          </w:tcPr>
          <w:p>
            <w:pPr>
              <w:spacing w:after="0" w:line="235" w:lineRule="auto"/>
              <w:jc w:val="left"/>
            </w:pPr>
            <w:r>
              <w:rPr>
                <w:rFonts w:ascii="Arial" w:hAnsi="Arial" w:eastAsia="Arial"/>
                <w:b/>
                <w:color w:val="FFFFFF"/>
                <w:sz w:val="15"/>
              </w:rPr>
              <w:t>Recommended implementation</w:t>
            </w:r>
          </w:p>
        </w:tc>
        <w:tc>
          <w:tcPr>
            <w:tcW w:type="dxa" w:w="2563"/>
            <w:vAlign w:val="center"/>
            <w:tcMar>
              <w:top w:w="78" w:type="dxa"/>
              <w:start w:w="90" w:type="dxa"/>
              <w:bottom w:w="78" w:type="dxa"/>
              <w:end w:w="90" w:type="dxa"/>
            </w:tcMar>
            <w:shd w:fill="1F4E79"/>
          </w:tcPr>
          <w:p>
            <w:pPr>
              <w:spacing w:after="0" w:line="235" w:lineRule="auto"/>
              <w:jc w:val="left"/>
            </w:pPr>
            <w:r>
              <w:rPr>
                <w:rFonts w:ascii="Arial" w:hAnsi="Arial" w:eastAsia="Arial"/>
                <w:b/>
                <w:color w:val="FFFFFF"/>
                <w:sz w:val="15"/>
              </w:rPr>
              <w:t>Mandatory report</w:t>
            </w:r>
          </w:p>
        </w:tc>
      </w:tr>
      <w:tr>
        <w:tc>
          <w:tcPr>
            <w:tcW w:type="dxa" w:w="2016"/>
            <w:vAlign w:val="center"/>
            <w:tcMar>
              <w:top w:w="78" w:type="dxa"/>
              <w:start w:w="90" w:type="dxa"/>
              <w:bottom w:w="78" w:type="dxa"/>
              <w:end w:w="90" w:type="dxa"/>
            </w:tcMar>
          </w:tcPr>
          <w:p>
            <w:pPr>
              <w:spacing w:after="0" w:line="235" w:lineRule="auto"/>
              <w:jc w:val="left"/>
            </w:pPr>
            <w:r>
              <w:rPr>
                <w:rFonts w:ascii="Times New Roman" w:hAnsi="Times New Roman" w:eastAsia="Times New Roman"/>
                <w:color w:val="141414"/>
                <w:sz w:val="16"/>
              </w:rPr>
              <w:t>Reference frame and proximal constraint</w:t>
            </w:r>
          </w:p>
        </w:tc>
        <w:tc>
          <w:tcPr>
            <w:tcW w:type="dxa" w:w="4968"/>
            <w:vAlign w:val="center"/>
            <w:tcMar>
              <w:top w:w="78" w:type="dxa"/>
              <w:start w:w="90" w:type="dxa"/>
              <w:bottom w:w="78" w:type="dxa"/>
              <w:end w:w="90" w:type="dxa"/>
            </w:tcMar>
          </w:tcPr>
          <w:p>
            <w:pPr>
              <w:spacing w:after="0" w:line="235" w:lineRule="auto"/>
              <w:jc w:val="left"/>
            </w:pPr>
            <w:r>
              <w:rPr>
                <w:rFonts w:ascii="Times New Roman" w:hAnsi="Times New Roman" w:eastAsia="Times New Roman"/>
                <w:color w:val="141414"/>
                <w:sz w:val="16"/>
              </w:rPr>
              <w:t>For an isolated wrist model, constrain the proximal radius-ulna cut surface; when forearm rotation or distal radioulnar-joint motion matters, model radius and ulna separately and release the relevant rotation.</w:t>
            </w:r>
          </w:p>
        </w:tc>
        <w:tc>
          <w:tcPr>
            <w:tcW w:type="dxa" w:w="2563"/>
            <w:vAlign w:val="center"/>
            <w:tcMar>
              <w:top w:w="78" w:type="dxa"/>
              <w:start w:w="90" w:type="dxa"/>
              <w:bottom w:w="78" w:type="dxa"/>
              <w:end w:w="90" w:type="dxa"/>
            </w:tcMar>
          </w:tcPr>
          <w:p>
            <w:pPr>
              <w:spacing w:after="0" w:line="235" w:lineRule="auto"/>
              <w:jc w:val="left"/>
            </w:pPr>
            <w:r>
              <w:rPr>
                <w:rFonts w:ascii="Times New Roman" w:hAnsi="Times New Roman" w:eastAsia="Times New Roman"/>
                <w:color w:val="141414"/>
                <w:sz w:val="16"/>
              </w:rPr>
              <w:t>Reference axes, constrained degrees of freedom, cut level, and whether radius-ulna coupling is represented.</w:t>
            </w:r>
          </w:p>
        </w:tc>
      </w:tr>
      <w:tr>
        <w:tc>
          <w:tcPr>
            <w:tcW w:type="dxa" w:w="2016"/>
            <w:vAlign w:val="center"/>
            <w:tcMar>
              <w:top w:w="78" w:type="dxa"/>
              <w:start w:w="90" w:type="dxa"/>
              <w:bottom w:w="78" w:type="dxa"/>
              <w:end w:w="90" w:type="dxa"/>
            </w:tcMar>
            <w:shd w:fill="F4F7F9"/>
          </w:tcPr>
          <w:p>
            <w:pPr>
              <w:spacing w:after="0" w:line="235" w:lineRule="auto"/>
              <w:jc w:val="left"/>
            </w:pPr>
            <w:r>
              <w:rPr>
                <w:rFonts w:ascii="Times New Roman" w:hAnsi="Times New Roman" w:eastAsia="Times New Roman"/>
                <w:color w:val="141414"/>
                <w:sz w:val="16"/>
              </w:rPr>
              <w:t>Hand motion or external load</w:t>
            </w:r>
          </w:p>
        </w:tc>
        <w:tc>
          <w:tcPr>
            <w:tcW w:type="dxa" w:w="4968"/>
            <w:vAlign w:val="center"/>
            <w:tcMar>
              <w:top w:w="78" w:type="dxa"/>
              <w:start w:w="90" w:type="dxa"/>
              <w:bottom w:w="78" w:type="dxa"/>
              <w:end w:w="90" w:type="dxa"/>
            </w:tcMar>
            <w:shd w:fill="F4F7F9"/>
          </w:tcPr>
          <w:p>
            <w:pPr>
              <w:spacing w:after="0" w:line="235" w:lineRule="auto"/>
              <w:jc w:val="left"/>
            </w:pPr>
            <w:r>
              <w:rPr>
                <w:rFonts w:ascii="Times New Roman" w:hAnsi="Times New Roman" w:eastAsia="Times New Roman"/>
                <w:color w:val="141414"/>
                <w:sz w:val="16"/>
              </w:rPr>
              <w:t>Use a third-metacarpal or distal-row pose for displacement-controlled kinematics; apply a measured resultant hand force and moment for force-controlled tasks. Do not prescribe incompatible endpoint force and displacement simultaneously.</w:t>
            </w:r>
          </w:p>
        </w:tc>
        <w:tc>
          <w:tcPr>
            <w:tcW w:type="dxa" w:w="2563"/>
            <w:vAlign w:val="center"/>
            <w:tcMar>
              <w:top w:w="78" w:type="dxa"/>
              <w:start w:w="90" w:type="dxa"/>
              <w:bottom w:w="78" w:type="dxa"/>
              <w:end w:w="90" w:type="dxa"/>
            </w:tcMar>
            <w:shd w:fill="F4F7F9"/>
          </w:tcPr>
          <w:p>
            <w:pPr>
              <w:spacing w:after="0" w:line="235" w:lineRule="auto"/>
              <w:jc w:val="left"/>
            </w:pPr>
            <w:r>
              <w:rPr>
                <w:rFonts w:ascii="Times New Roman" w:hAnsi="Times New Roman" w:eastAsia="Times New Roman"/>
                <w:color w:val="141414"/>
                <w:sz w:val="16"/>
              </w:rPr>
              <w:t>Load point, force vector, moment, prescribed pose, task direction, speed, and cycle phase.</w:t>
            </w:r>
          </w:p>
        </w:tc>
      </w:tr>
      <w:tr>
        <w:tc>
          <w:tcPr>
            <w:tcW w:type="dxa" w:w="2016"/>
            <w:vAlign w:val="center"/>
            <w:tcMar>
              <w:top w:w="78" w:type="dxa"/>
              <w:start w:w="90" w:type="dxa"/>
              <w:bottom w:w="78" w:type="dxa"/>
              <w:end w:w="90" w:type="dxa"/>
            </w:tcMar>
          </w:tcPr>
          <w:p>
            <w:pPr>
              <w:spacing w:after="0" w:line="235" w:lineRule="auto"/>
              <w:jc w:val="left"/>
            </w:pPr>
            <w:r>
              <w:rPr>
                <w:rFonts w:ascii="Times New Roman" w:hAnsi="Times New Roman" w:eastAsia="Times New Roman"/>
                <w:color w:val="141414"/>
                <w:sz w:val="16"/>
              </w:rPr>
              <w:t>Muscle and tendon loading</w:t>
            </w:r>
          </w:p>
        </w:tc>
        <w:tc>
          <w:tcPr>
            <w:tcW w:type="dxa" w:w="4968"/>
            <w:vAlign w:val="center"/>
            <w:tcMar>
              <w:top w:w="78" w:type="dxa"/>
              <w:start w:w="90" w:type="dxa"/>
              <w:bottom w:w="78" w:type="dxa"/>
              <w:end w:w="90" w:type="dxa"/>
            </w:tcMar>
          </w:tcPr>
          <w:p>
            <w:pPr>
              <w:spacing w:after="0" w:line="235" w:lineRule="auto"/>
              <w:jc w:val="left"/>
            </w:pPr>
            <w:r>
              <w:rPr>
                <w:rFonts w:ascii="Times New Roman" w:hAnsi="Times New Roman" w:eastAsia="Times New Roman"/>
                <w:color w:val="141414"/>
                <w:sz w:val="16"/>
              </w:rPr>
              <w:t>Apply Hill-type tendon actuators along anatomical paths, with force obtained from inverse dynamics, static optimization, or electromyography-assisted estimation.</w:t>
            </w:r>
          </w:p>
        </w:tc>
        <w:tc>
          <w:tcPr>
            <w:tcW w:type="dxa" w:w="2563"/>
            <w:vAlign w:val="center"/>
            <w:tcMar>
              <w:top w:w="78" w:type="dxa"/>
              <w:start w:w="90" w:type="dxa"/>
              <w:bottom w:w="78" w:type="dxa"/>
              <w:end w:w="90" w:type="dxa"/>
            </w:tcMar>
          </w:tcPr>
          <w:p>
            <w:pPr>
              <w:spacing w:after="0" w:line="235" w:lineRule="auto"/>
              <w:jc w:val="left"/>
            </w:pPr>
            <w:r>
              <w:rPr>
                <w:rFonts w:ascii="Times New Roman" w:hAnsi="Times New Roman" w:eastAsia="Times New Roman"/>
                <w:color w:val="141414"/>
                <w:sz w:val="16"/>
              </w:rPr>
              <w:t>Recruitment method, maximal force, tendon path, co-contraction assumption, and force-time history.</w:t>
            </w:r>
          </w:p>
        </w:tc>
      </w:tr>
      <w:tr>
        <w:tc>
          <w:tcPr>
            <w:tcW w:type="dxa" w:w="2016"/>
            <w:vAlign w:val="center"/>
            <w:tcMar>
              <w:top w:w="78" w:type="dxa"/>
              <w:start w:w="90" w:type="dxa"/>
              <w:bottom w:w="78" w:type="dxa"/>
              <w:end w:w="90" w:type="dxa"/>
            </w:tcMar>
            <w:shd w:fill="F4F7F9"/>
          </w:tcPr>
          <w:p>
            <w:pPr>
              <w:spacing w:after="0" w:line="235" w:lineRule="auto"/>
              <w:jc w:val="left"/>
            </w:pPr>
            <w:r>
              <w:rPr>
                <w:rFonts w:ascii="Times New Roman" w:hAnsi="Times New Roman" w:eastAsia="Times New Roman"/>
                <w:color w:val="141414"/>
                <w:sz w:val="16"/>
              </w:rPr>
              <w:t>Ligaments and capsule</w:t>
            </w:r>
          </w:p>
        </w:tc>
        <w:tc>
          <w:tcPr>
            <w:tcW w:type="dxa" w:w="4968"/>
            <w:vAlign w:val="center"/>
            <w:tcMar>
              <w:top w:w="78" w:type="dxa"/>
              <w:start w:w="90" w:type="dxa"/>
              <w:bottom w:w="78" w:type="dxa"/>
              <w:end w:w="90" w:type="dxa"/>
            </w:tcMar>
            <w:shd w:fill="F4F7F9"/>
          </w:tcPr>
          <w:p>
            <w:pPr>
              <w:spacing w:after="0" w:line="235" w:lineRule="auto"/>
              <w:jc w:val="left"/>
            </w:pPr>
            <w:r>
              <w:rPr>
                <w:rFonts w:ascii="Times New Roman" w:hAnsi="Times New Roman" w:eastAsia="Times New Roman"/>
                <w:color w:val="141414"/>
                <w:sz w:val="16"/>
              </w:rPr>
              <w:t>Use tension-only elements or distributed bundles, assigning slack length or reference strain before loading. Represent pathology, repair, or release explicitly.</w:t>
            </w:r>
          </w:p>
        </w:tc>
        <w:tc>
          <w:tcPr>
            <w:tcW w:type="dxa" w:w="2563"/>
            <w:vAlign w:val="center"/>
            <w:tcMar>
              <w:top w:w="78" w:type="dxa"/>
              <w:start w:w="90" w:type="dxa"/>
              <w:bottom w:w="78" w:type="dxa"/>
              <w:end w:w="90" w:type="dxa"/>
            </w:tcMar>
            <w:shd w:fill="F4F7F9"/>
          </w:tcPr>
          <w:p>
            <w:pPr>
              <w:spacing w:after="0" w:line="235" w:lineRule="auto"/>
              <w:jc w:val="left"/>
            </w:pPr>
            <w:r>
              <w:rPr>
                <w:rFonts w:ascii="Times New Roman" w:hAnsi="Times New Roman" w:eastAsia="Times New Roman"/>
                <w:color w:val="141414"/>
                <w:sz w:val="16"/>
              </w:rPr>
              <w:t>Attachment sites, constitutive law, reference strain, stiffness range, and retained or released structures.</w:t>
            </w:r>
          </w:p>
        </w:tc>
      </w:tr>
      <w:tr>
        <w:tc>
          <w:tcPr>
            <w:tcW w:type="dxa" w:w="2016"/>
            <w:vAlign w:val="center"/>
            <w:tcMar>
              <w:top w:w="78" w:type="dxa"/>
              <w:start w:w="90" w:type="dxa"/>
              <w:bottom w:w="78" w:type="dxa"/>
              <w:end w:w="90" w:type="dxa"/>
            </w:tcMar>
          </w:tcPr>
          <w:p>
            <w:pPr>
              <w:spacing w:after="0" w:line="235" w:lineRule="auto"/>
              <w:jc w:val="left"/>
            </w:pPr>
            <w:r>
              <w:rPr>
                <w:rFonts w:ascii="Times New Roman" w:hAnsi="Times New Roman" w:eastAsia="Times New Roman"/>
                <w:color w:val="141414"/>
                <w:sz w:val="16"/>
              </w:rPr>
              <w:t>Articular and bearing contact</w:t>
            </w:r>
          </w:p>
        </w:tc>
        <w:tc>
          <w:tcPr>
            <w:tcW w:type="dxa" w:w="4968"/>
            <w:vAlign w:val="center"/>
            <w:tcMar>
              <w:top w:w="78" w:type="dxa"/>
              <w:start w:w="90" w:type="dxa"/>
              <w:bottom w:w="78" w:type="dxa"/>
              <w:end w:w="90" w:type="dxa"/>
            </w:tcMar>
          </w:tcPr>
          <w:p>
            <w:pPr>
              <w:spacing w:after="0" w:line="235" w:lineRule="auto"/>
              <w:jc w:val="left"/>
            </w:pPr>
            <w:r>
              <w:rPr>
                <w:rFonts w:ascii="Times New Roman" w:hAnsi="Times New Roman" w:eastAsia="Times New Roman"/>
                <w:color w:val="141414"/>
                <w:sz w:val="16"/>
              </w:rPr>
              <w:t>Use finite-sliding surface-to-surface contact with a penalty or augmented-Lagrange normal law; test friction and clearance assumptions. Never tie an intended articulating surface.</w:t>
            </w:r>
          </w:p>
        </w:tc>
        <w:tc>
          <w:tcPr>
            <w:tcW w:type="dxa" w:w="2563"/>
            <w:vAlign w:val="center"/>
            <w:tcMar>
              <w:top w:w="78" w:type="dxa"/>
              <w:start w:w="90" w:type="dxa"/>
              <w:bottom w:w="78" w:type="dxa"/>
              <w:end w:w="90" w:type="dxa"/>
            </w:tcMar>
          </w:tcPr>
          <w:p>
            <w:pPr>
              <w:spacing w:after="0" w:line="235" w:lineRule="auto"/>
              <w:jc w:val="left"/>
            </w:pPr>
            <w:r>
              <w:rPr>
                <w:rFonts w:ascii="Times New Roman" w:hAnsi="Times New Roman" w:eastAsia="Times New Roman"/>
                <w:color w:val="141414"/>
                <w:sz w:val="16"/>
              </w:rPr>
              <w:t>Contact algorithm, normal stiffness or tolerance, friction coefficient, clearance, and separation criterion.</w:t>
            </w:r>
          </w:p>
        </w:tc>
      </w:tr>
      <w:tr>
        <w:tc>
          <w:tcPr>
            <w:tcW w:type="dxa" w:w="2016"/>
            <w:vAlign w:val="center"/>
            <w:tcMar>
              <w:top w:w="78" w:type="dxa"/>
              <w:start w:w="90" w:type="dxa"/>
              <w:bottom w:w="78" w:type="dxa"/>
              <w:end w:w="90" w:type="dxa"/>
            </w:tcMar>
            <w:shd w:fill="F4F7F9"/>
          </w:tcPr>
          <w:p>
            <w:pPr>
              <w:spacing w:after="0" w:line="235" w:lineRule="auto"/>
              <w:jc w:val="left"/>
            </w:pPr>
            <w:r>
              <w:rPr>
                <w:rFonts w:ascii="Times New Roman" w:hAnsi="Times New Roman" w:eastAsia="Times New Roman"/>
                <w:color w:val="141414"/>
                <w:sz w:val="16"/>
              </w:rPr>
              <w:t>Bone-implant fixation</w:t>
            </w:r>
          </w:p>
        </w:tc>
        <w:tc>
          <w:tcPr>
            <w:tcW w:type="dxa" w:w="4968"/>
            <w:vAlign w:val="center"/>
            <w:tcMar>
              <w:top w:w="78" w:type="dxa"/>
              <w:start w:w="90" w:type="dxa"/>
              <w:bottom w:w="78" w:type="dxa"/>
              <w:end w:w="90" w:type="dxa"/>
            </w:tcMar>
            <w:shd w:fill="F4F7F9"/>
          </w:tcPr>
          <w:p>
            <w:pPr>
              <w:spacing w:after="0" w:line="235" w:lineRule="auto"/>
              <w:jc w:val="left"/>
            </w:pPr>
            <w:r>
              <w:rPr>
                <w:rFonts w:ascii="Times New Roman" w:hAnsi="Times New Roman" w:eastAsia="Times New Roman"/>
                <w:color w:val="141414"/>
                <w:sz w:val="16"/>
              </w:rPr>
              <w:t>Represent the immediate postoperative interface with interference, friction, screw preload, or contact as appropriate; use a bonded interface only as a long-term upper-bound case, then test partial ingrowth.</w:t>
            </w:r>
          </w:p>
        </w:tc>
        <w:tc>
          <w:tcPr>
            <w:tcW w:type="dxa" w:w="2563"/>
            <w:vAlign w:val="center"/>
            <w:tcMar>
              <w:top w:w="78" w:type="dxa"/>
              <w:start w:w="90" w:type="dxa"/>
              <w:bottom w:w="78" w:type="dxa"/>
              <w:end w:w="90" w:type="dxa"/>
            </w:tcMar>
            <w:shd w:fill="F4F7F9"/>
          </w:tcPr>
          <w:p>
            <w:pPr>
              <w:spacing w:after="0" w:line="235" w:lineRule="auto"/>
              <w:jc w:val="left"/>
            </w:pPr>
            <w:r>
              <w:rPr>
                <w:rFonts w:ascii="Times New Roman" w:hAnsi="Times New Roman" w:eastAsia="Times New Roman"/>
                <w:color w:val="141414"/>
                <w:sz w:val="16"/>
              </w:rPr>
              <w:t>Interface state, screw preload, friction, interference, osseointegration fraction, and toggling or pull-out criterion.</w:t>
            </w:r>
          </w:p>
        </w:tc>
      </w:tr>
      <w:tr>
        <w:tc>
          <w:tcPr>
            <w:tcW w:type="dxa" w:w="2016"/>
            <w:vAlign w:val="center"/>
            <w:tcMar>
              <w:top w:w="78" w:type="dxa"/>
              <w:start w:w="90" w:type="dxa"/>
              <w:bottom w:w="78" w:type="dxa"/>
              <w:end w:w="90" w:type="dxa"/>
            </w:tcMar>
          </w:tcPr>
          <w:p>
            <w:pPr>
              <w:spacing w:after="0" w:line="235" w:lineRule="auto"/>
              <w:jc w:val="left"/>
            </w:pPr>
            <w:r>
              <w:rPr>
                <w:rFonts w:ascii="Times New Roman" w:hAnsi="Times New Roman" w:eastAsia="Times New Roman"/>
                <w:color w:val="141414"/>
                <w:sz w:val="16"/>
              </w:rPr>
              <w:t>Material representation</w:t>
            </w:r>
          </w:p>
        </w:tc>
        <w:tc>
          <w:tcPr>
            <w:tcW w:type="dxa" w:w="4968"/>
            <w:vAlign w:val="center"/>
            <w:tcMar>
              <w:top w:w="78" w:type="dxa"/>
              <w:start w:w="90" w:type="dxa"/>
              <w:bottom w:w="78" w:type="dxa"/>
              <w:end w:w="90" w:type="dxa"/>
            </w:tcMar>
          </w:tcPr>
          <w:p>
            <w:pPr>
              <w:spacing w:after="0" w:line="235" w:lineRule="auto"/>
              <w:jc w:val="left"/>
            </w:pPr>
            <w:r>
              <w:rPr>
                <w:rFonts w:ascii="Times New Roman" w:hAnsi="Times New Roman" w:eastAsia="Times New Roman"/>
                <w:color w:val="141414"/>
                <w:sz w:val="16"/>
              </w:rPr>
              <w:t>Use separate cortical and cancellous regions, preferably calibrated from CT when validated; retain implant, coating, and polymer properties as distinct regions.</w:t>
            </w:r>
          </w:p>
        </w:tc>
        <w:tc>
          <w:tcPr>
            <w:tcW w:type="dxa" w:w="2563"/>
            <w:vAlign w:val="center"/>
            <w:tcMar>
              <w:top w:w="78" w:type="dxa"/>
              <w:start w:w="90" w:type="dxa"/>
              <w:bottom w:w="78" w:type="dxa"/>
              <w:end w:w="90" w:type="dxa"/>
            </w:tcMar>
          </w:tcPr>
          <w:p>
            <w:pPr>
              <w:spacing w:after="0" w:line="235" w:lineRule="auto"/>
              <w:jc w:val="left"/>
            </w:pPr>
            <w:r>
              <w:rPr>
                <w:rFonts w:ascii="Times New Roman" w:hAnsi="Times New Roman" w:eastAsia="Times New Roman"/>
                <w:color w:val="141414"/>
                <w:sz w:val="16"/>
              </w:rPr>
              <w:t>Elastic or nonlinear law, CT-density calibration, property ranges, and mesh-convergence result.</w:t>
            </w:r>
          </w:p>
        </w:tc>
      </w:tr>
      <w:tr>
        <w:tc>
          <w:tcPr>
            <w:tcW w:type="dxa" w:w="2016"/>
            <w:vAlign w:val="center"/>
            <w:tcMar>
              <w:top w:w="78" w:type="dxa"/>
              <w:start w:w="90" w:type="dxa"/>
              <w:bottom w:w="78" w:type="dxa"/>
              <w:end w:w="90" w:type="dxa"/>
            </w:tcMar>
            <w:shd w:fill="F4F7F9"/>
          </w:tcPr>
          <w:p>
            <w:pPr>
              <w:spacing w:after="0" w:line="235" w:lineRule="auto"/>
              <w:jc w:val="left"/>
            </w:pPr>
            <w:r>
              <w:rPr>
                <w:rFonts w:ascii="Times New Roman" w:hAnsi="Times New Roman" w:eastAsia="Times New Roman"/>
                <w:color w:val="141414"/>
                <w:sz w:val="16"/>
              </w:rPr>
              <w:t>Loading envelope and sensitivity</w:t>
            </w:r>
          </w:p>
        </w:tc>
        <w:tc>
          <w:tcPr>
            <w:tcW w:type="dxa" w:w="4968"/>
            <w:vAlign w:val="center"/>
            <w:tcMar>
              <w:top w:w="78" w:type="dxa"/>
              <w:start w:w="90" w:type="dxa"/>
              <w:bottom w:w="78" w:type="dxa"/>
              <w:end w:w="90" w:type="dxa"/>
            </w:tcMar>
            <w:shd w:fill="F4F7F9"/>
          </w:tcPr>
          <w:p>
            <w:pPr>
              <w:spacing w:after="0" w:line="235" w:lineRule="auto"/>
              <w:jc w:val="left"/>
            </w:pPr>
            <w:r>
              <w:rPr>
                <w:rFonts w:ascii="Times New Roman" w:hAnsi="Times New Roman" w:eastAsia="Times New Roman"/>
                <w:color w:val="141414"/>
                <w:sz w:val="16"/>
              </w:rPr>
              <w:t>Evaluate neutral grip, flexion-extension, radial-ulnar deviation, dart-throwing motion, circumduction, and at least one task that challenges fixation. Perturb placement, bone quality, force, and soft-tissue inputs.</w:t>
            </w:r>
          </w:p>
        </w:tc>
        <w:tc>
          <w:tcPr>
            <w:tcW w:type="dxa" w:w="2563"/>
            <w:vAlign w:val="center"/>
            <w:tcMar>
              <w:top w:w="78" w:type="dxa"/>
              <w:start w:w="90" w:type="dxa"/>
              <w:bottom w:w="78" w:type="dxa"/>
              <w:end w:w="90" w:type="dxa"/>
            </w:tcMar>
            <w:shd w:fill="F4F7F9"/>
          </w:tcPr>
          <w:p>
            <w:pPr>
              <w:spacing w:after="0" w:line="235" w:lineRule="auto"/>
              <w:jc w:val="left"/>
            </w:pPr>
            <w:r>
              <w:rPr>
                <w:rFonts w:ascii="Times New Roman" w:hAnsi="Times New Roman" w:eastAsia="Times New Roman"/>
                <w:color w:val="141414"/>
                <w:sz w:val="16"/>
              </w:rPr>
              <w:t>Complete load cases, number of cycles or frames, perturbation ranges, and robust rather than nominal outcome.</w:t>
            </w:r>
          </w:p>
        </w:tc>
      </w:tr>
    </w:tbl>
    <w:p>
      <w:pPr>
        <w:spacing w:after="20"/>
      </w:pPr>
    </w:p>
    <w:p>
      <w:pPr>
        <w:ind w:firstLine="317"/>
      </w:pPr>
      <w:r>
        <w:t>These conditions prevent a nominally attractive implant from being evaluated under an unrealistically favorable constraint set. In particular, tied contacts, fixed muscle forces independent of posture, and a fully bonded interface at time zero can suppress the motion and micromotion mechanisms that the model is intended to investigate [13,21,26].</w:t>
      </w:r>
    </w:p>
    <w:p>
      <w:pPr>
        <w:pStyle w:val="Heading2"/>
      </w:pPr>
      <w:r>
        <w:t>6.4 Coupling, tasks, and validation</w:t>
      </w:r>
    </w:p>
    <w:p>
      <w:pPr>
        <w:ind w:firstLine="317"/>
      </w:pPr>
      <w:r>
        <w:t>Multibody and finite element models are complementary. The first estimates whole-system motion and force across tasks, while the second resolves contact pressure, bone strain, deformation, and interface micromotion. A sequential workflow is usually sufficient when deformation does not alter movement materially; co-simulation is justified only when compliance changes the kinematics of interest [17,19,21].</w:t>
      </w:r>
    </w:p>
    <w:p>
      <w:pPr>
        <w:ind w:firstLine="317"/>
      </w:pPr>
      <w:r>
        <w:t>Task selection should reproduce functional loading rather than arbitrary component forces. Neutral grip, supported extension, resisted flexion, radial-ulnar deviation, dart-throwing motion, circumduction, pouring, hammering-like motion, and pinch can expose different loading paths; external force, forearm posture, co-contraction, and movement speed should be reported with each model [9,20,25].</w:t>
      </w:r>
    </w:p>
    <w:p>
      <w:pPr>
        <w:ind w:firstLine="317"/>
      </w:pPr>
      <w:r>
        <w:t>Validation should proceed hierarchically: geometry against repeat scans, phantoms, or known models; kinematics against dynamic CT, biplanar imaging, or cadaveric tracking; and kinetics against experimental force, pressure, or stiffness data [13,15,27]. Because bone quality, cartilage thickness, ligament state, muscle recruitment, implant seating, and interface fixation are incompletely measured, sensitivity analysis is not optional. A design advantage that disappears with plausible changes in these inputs is a nominal result rather than a robust design finding [17,22,26].</w:t>
      </w:r>
    </w:p>
    <w:p>
      <w:pPr>
        <w:pStyle w:val="Heading1"/>
      </w:pPr>
      <w:r>
        <w:t>7 Virtual Implantation and Biomechanical Consequences</w:t>
      </w:r>
    </w:p>
    <w:p>
      <w:pPr>
        <w:pStyle w:val="Heading2"/>
      </w:pPr>
      <w:r>
        <w:t>7.1 Joint-level mechanics and motion response</w:t>
      </w:r>
    </w:p>
    <w:p>
      <w:pPr>
        <w:ind w:firstLine="317"/>
      </w:pPr>
      <w:r>
        <w:t>Most total wrist systems replace the radiocarpal articulation and consolidate part of the carpus, converting a distributed radiocarpal-midcarpal mechanism into a concentrated artificial joint [1,4,25]. This can preserve useful motion but changes rolling, sliding, and load transfer; the result depends on articular form, conformity, fixation, alignment, resection, and retained soft tissues [21,22,23]. Postoperative range is therefore a property of the whole reconstruction, not the bearing alone [23,26,28].</w:t>
      </w:r>
    </w:p>
    <w:p>
      <w:pPr>
        <w:ind w:firstLine="317"/>
      </w:pPr>
      <w:r>
        <w:t>Finite element analysis of a Universal 2 reconstruction during grip predicted dorsal-ulnar implant loading and transmission of the modelled load mainly through the radius [21]. Unconstrained-geometry comparisons likewise show that articular shape and tendon loading change contact area, pressure, and stability [22]. These results support evaluating complete loading paths rather than an isolated bearing under central axial force [21,22,25].</w:t>
      </w:r>
    </w:p>
    <w:p>
      <w:pPr>
        <w:ind w:firstLine="317"/>
      </w:pPr>
      <w:r>
        <w:t>In vivo biplanar analysis of one Freedom design found a proximal-distal center-of-rotation excursion of about 17.1 mm across coupled tasks, versus about 7.2 mm in healthy wrists [24]. The six-patient study identifies a mechanism rather than a universal value, but a migrating center can alter tendon moment arms, fixation moments, and the risk of translation, rocking, or impingement [23,24,29].</w:t>
      </w:r>
    </w:p>
    <w:p>
      <w:pPr>
        <w:ind w:firstLine="317"/>
      </w:pPr>
      <w:r>
        <w:t>The same cohort showed systematic contact migration: contact was offset from the geometric centers in neutral posture and moved differently on the radial and carpal surfaces during coupled motion [25]. Although the numerical trajectories require confirmation, the result demonstrates that an ellipsoidal implant need not follow its idealized principal curvatures in vivo [25].</w:t>
      </w:r>
    </w:p>
    <w:p>
      <w:pPr>
        <w:ind w:firstLine="317"/>
      </w:pPr>
      <w:r>
        <w:t>Component alignment changes contact location and the lever arm between joint force and fixation [22,24,25]. A six-patient pilot associated radial component tilt or offset with postoperative motion but could not define clinical thresholds [26]. Malalignment may reduce edge clearance, create asymmetric polyethylene thickness, and increase impingement; tolerances should therefore be tested across realistic placement distributions rather than only at a nominal pose [1,22,26].</w:t>
      </w:r>
    </w:p>
    <w:p>
      <w:pPr>
        <w:ind w:firstLine="317"/>
      </w:pPr>
      <w:r>
        <w:t>Carpal height and center placement influence soft-tissue tension [23,28,29]. A Motec cadaver study reported increased stiffness and phase angle, a 14% increase in carpal height, and proximal, dorsal, and radial center displacement after implantation; the investigators linked these changes to altered flexor and extensor moment arms [29]. This supports a mechanism-based hypothesis, not an individual postoperative prediction [27,28,29].</w:t>
      </w:r>
    </w:p>
    <w:p>
      <w:pPr>
        <w:ind w:firstLine="317"/>
      </w:pPr>
      <w:r>
        <w:t>Center-of-rotation optimization is implant-specific. A Motec simulator study identified a favorable longitudinal center approximately 8 mm distal to the radial-shaft-axis intersection with the distal articular surface [30]. That value cannot be transferred directly to other bearings; center placement must instead be optimized against movement, muscle efficiency, joint loading, and impingement together [22,24,25].</w:t>
      </w:r>
    </w:p>
    <w:p>
      <w:pPr>
        <w:ind w:firstLine="317"/>
      </w:pPr>
      <w:r>
        <w:t>Reversing the conventional convex-carpal and concave-radial arrangement has been proposed to move the center proximally and reduce fixation moment [31]. In eight cadaveric specimens, the reverse configuration reduced several muscle forces and carpal-component loading during flexion-extension; radial-ulnar deviation was underpowered and no survivorship conclusion follows [31]. Nonetheless, articulation polarity is a legitimate design variable because it can alter muscle efficiency and fixation loading [24,29,30].</w:t>
      </w:r>
    </w:p>
    <w:p>
      <w:pPr>
        <w:pStyle w:val="Heading2"/>
      </w:pPr>
      <w:r>
        <w:t>7.2 Fixation, failure, and revision consequences</w:t>
      </w:r>
    </w:p>
    <w:p>
      <w:pPr>
        <w:ind w:firstLine="317"/>
      </w:pPr>
      <w:r>
        <w:t>Primary stability must limit micromotion without excessive cortical stress or stress shielding [1,21,32]. The carpal component is vulnerable because it is fixed into small, often osteopenic bones and is exposed to offset-joint bending moments; radial stems can concentrate tip stress or shield the distal radius when poorly matched to bone [21,24,32]. Interface evaluation should include bone strain, micromotion, pull-out or toggling risk, and partial osseointegration [21,32,63].</w:t>
      </w:r>
    </w:p>
    <w:p>
      <w:pPr>
        <w:ind w:firstLine="317"/>
      </w:pPr>
      <w:r>
        <w:t>Reported failure modes include loosening, osteolysis, migration, dislocation, impingement, wear, fracture, infection, tendon irritation, and distal radioulnar pain [2,3,4]. Long-term Universal 2 results demonstrate functional improvement alongside radiographic loosening and revision, so symptoms, radiographs, and survival are not interchangeable [36]. ReMotion results are favorable in selected populations but vary with diagnosis, follow-up, and revision definition [37,38].</w:t>
      </w:r>
    </w:p>
    <w:p>
      <w:pPr>
        <w:ind w:firstLine="317"/>
      </w:pPr>
      <w:r>
        <w:t>Revision planning is a primary design requirement. Failed arthroplasty may leave limited bone, compromised soft tissue, and a gap that complicates conversion to fusion [39,40]. Modularity can retain well-fixed stems but adds interfaces prone to fretting, corrosion, or difficult extraction; bone-preserving resections, accessible extraction features, and planned fusion options reduce the cost of failure [6,39,40].</w:t>
      </w:r>
    </w:p>
    <w:p>
      <w:pPr>
        <w:pStyle w:val="Heading1"/>
      </w:pPr>
      <w:r>
        <w:t>8 Implant Design and Customization</w:t>
      </w:r>
    </w:p>
    <w:p>
      <w:pPr>
        <w:pStyle w:val="Heading2"/>
      </w:pPr>
      <w:r>
        <w:t>8.1 Definition of the clinical design problem</w:t>
      </w:r>
    </w:p>
    <w:p>
      <w:pPr>
        <w:ind w:firstLine="317"/>
      </w:pPr>
      <w:r>
        <w:t>The definition of design requirements should begin with the clinical use case rather than with the selection of an attractive surface geometry [5,6,1]. Diagnosis, age, bone quality, activity, bilateral disease, previous surgery, desired tasks, and tolerance for postoperative restrictions determine the acceptable balance between mobility and durability [5,6,1]. A low-demand patient with inflammatory disease and weak bone presents a different design problem from a younger post-traumatic patient with deformity but strong cortical bone [4,5,6]. A single implant family may accommodate both only through meaningful variation in fixation, sizing, bearing options, and surgical planning [4,6,1].</w:t>
      </w:r>
    </w:p>
    <w:p>
      <w:pPr>
        <w:pStyle w:val="Heading2"/>
      </w:pPr>
      <w:r>
        <w:t>8.2 Articular geometry, conformity, and motion targets</w:t>
      </w:r>
    </w:p>
    <w:p>
      <w:pPr>
        <w:ind w:firstLine="317"/>
      </w:pPr>
      <w:r>
        <w:t>Articular geometry is defined by conformity, principal radii, asphericity, coverage, edge radius, and the relation of the geometric center to the intended anatomical center [22,23,24]. A spherical design offers a simple, congruent center but not native variable curvature or translating contact; ellipsoidal, ovoid, and toroidal designs can separate flexion-extension from deviation curvature and allow controlled translation [22,25,32]. The selection is therefore a multiobjective trade-off among stability, contact stress, motion path, impingement, wear, and fixation moments [21,22,23].</w:t>
      </w:r>
    </w:p>
    <w:p>
      <w:pPr>
        <w:ind w:firstLine="317"/>
      </w:pPr>
      <w:r>
        <w:t>Conformity illustrates the central trade-off: it can increase contact area and lower pressure, yet constrain translation and transmit higher interface moments when alignment or soft-tissue forces are imperfect [22,25]. Lower conformity permits self-alignment but can increase stress, instability, and edge loading. The optimum is task- and fixation-dependent and requires dynamic contact analysis rather than a neutral-pose fit [21,22,25].</w:t>
      </w:r>
    </w:p>
    <w:p>
      <w:pPr>
        <w:ind w:firstLine="317"/>
      </w:pPr>
      <w:r>
        <w:t>The center of rotation should be parameterized in three directions and evaluated as a trajectory [23,24,25]. Proximal-distal shift changes moment arms and carpal height, while dorsal-volar or radial-ulnar offset changes muscle balance and fixation moments [23,24,26]. Optimization should penalize excessive migration rather than impose a fixed center, and final targets should be tested across anatomy, alignment, and tasks [24,27,29].</w:t>
      </w:r>
    </w:p>
    <w:p>
      <w:pPr>
        <w:ind w:firstLine="317"/>
      </w:pPr>
      <w:r>
        <w:t>Centroid trajectories and bone orientations can be incorporated directly into a design objective [11,12,13]. Simulated component paths can be compared with healthy or reconstructed targets through translation, rotation, helical-axis, contact-path, and hand-endpoint errors [11,12,13]. Weights should reflect clinical importance and measurement uncertainty, so a noisy rotational measure does not dominate a reliable translational target [12,13,14].</w:t>
      </w:r>
    </w:p>
    <w:p>
      <w:pPr>
        <w:pStyle w:val="Heading2"/>
      </w:pPr>
      <w:r>
        <w:t>8.3 External fit and population coverage</w:t>
      </w:r>
    </w:p>
    <w:p>
      <w:pPr>
        <w:ind w:firstLine="317"/>
      </w:pPr>
      <w:r>
        <w:t>External contours should guide footprint and fixation without forcing complete surface conformity [33,41,42]. Excessive coverage may violate ligament attachments, reduce clearance, or require unnecessary resection. Local underhang and overhang, cortical support, canal fill, and distance to vulnerable structures are more informative than one global fit error [1,33,35]. Deliberate clearance is appropriate where tendons, capsule, or surgical access require space [1,33,35].</w:t>
      </w:r>
    </w:p>
    <w:p>
      <w:pPr>
        <w:ind w:firstLine="317"/>
      </w:pPr>
      <w:r>
        <w:t>Statistical shape modelling supports both modular and patient-specific strategies [41,42]. For a modular system, representative-population optimization can determine sizes and independently variable dimensions; evaluation should include surface fit, canal compatibility, fixation safety, and predicted mechanics [41,42]. For a customized system, the model can reconstruct missing anatomy, identify outlier geometry, and regularize noisy segmentation [33,41,42].</w:t>
      </w:r>
    </w:p>
    <w:p>
      <w:pPr>
        <w:pStyle w:val="Heading2"/>
      </w:pPr>
      <w:r>
        <w:t>8.4 Multiobjective optimization and acceptance criteria</w:t>
      </w:r>
    </w:p>
    <w:p>
      <w:pPr>
        <w:ind w:firstLine="317"/>
      </w:pPr>
      <w:r>
        <w:t>Multiobjective optimization formalizes competing requirements [17,18,19]. It can minimize kinematic error, pressure, micromotion, strain deviation, resection, wear, and impingement while maximizing functional range, fixation safety, and population coverage [17,18,19]. Bearing thickness, fatigue, screw clearance, manufacturable curvature, assembly, and surgeon-defined resection set the constraints [32,33,41]. A Pareto set makes the cost of favoring mobility, conformity, fixation, or bone preservation explicit [17,18,19].</w:t>
      </w:r>
    </w:p>
    <w:p>
      <w:pPr>
        <w:ind w:firstLine="317"/>
      </w:pPr>
      <w:r>
        <w:t>Soft-tissue preservation and balancing belong in the design definition, because capsule closure, ligament retention, tendon tension, resection, and carpal height change the same implant's behavior [1,23,28]. Surgical technique should be modelled as reproducible boundary conditions, with documentation of tissues preserved, released, reconstructed, or expected to carry stabilizing load [17,19,23].</w:t>
      </w:r>
    </w:p>
    <w:p>
      <w:pPr>
        <w:ind w:firstLine="317"/>
      </w:pPr>
      <w:r>
        <w:t>Wear and impingement analysis should reproduce multidirectional wrist motion [22,25,46]. UHMWPE wear depends on pressure, cross-shear, sliding distance, surface finish, and third-body particles, so unidirectional tests may be misleading [25,46,47]. Articular mismatch, malalignment, insufficient coverage, and extra-articular metal contact can cause edge loading; computational prediction should be paired with simulator tests and retrieval analysis [1,22,25].</w:t>
      </w:r>
    </w:p>
    <w:p>
      <w:pPr>
        <w:ind w:firstLine="317"/>
      </w:pPr>
      <w:r>
        <w:t>The final specification should define measurable acceptance criteria for centroid-path and orientation error, center migration, contact-edge distance, pressure, micromotion, strain, fatigue, and impingement-free range [17,18,19]. Thresholds should be justified by healthy variability, experimental accuracy, tissue tolerance, or an established comparator; without them, smoother stress plots or greater motion may not represent clinical improvement [2,13,21].</w:t>
      </w:r>
    </w:p>
    <w:p>
      <w:pPr>
        <w:pStyle w:val="Heading2"/>
      </w:pPr>
      <w:r>
        <w:t>8.5 Patient-specific and customized total wrist design</w:t>
      </w:r>
    </w:p>
    <w:p>
      <w:pPr>
        <w:pStyle w:val="Heading3"/>
      </w:pPr>
      <w:r>
        <w:t>8.5.1 Levels of customization and indications</w:t>
      </w:r>
    </w:p>
    <w:p>
      <w:pPr>
        <w:ind w:firstLine="317"/>
      </w:pPr>
      <w:r>
        <w:t>Customization can be stratified into size matching, anatomical customization, and functional customization [24,25,32]. The first selects a modular size; the second adapts fixation and external surfaces to reconstructed anatomy; the third changes curvature, center of rotation, conformity, or constraint to pursue a desired motion-and-load response [24,25,32]. A patient-specific external fit does not guarantee physiological kinematics, and a functionally optimized bearing may need deliberate cortical clearance [22,24,25].</w:t>
      </w:r>
    </w:p>
    <w:p>
      <w:pPr>
        <w:ind w:firstLine="317"/>
      </w:pPr>
      <w:r>
        <w:t>Fully customized systems are most defensible when standard sizes cannot provide reliable fixation or alignment, as in severe deformity, segmental defects, unusual canals, extensive resection, or salvage with limited fixation corridors [1,33,39]. Their cost, lead time, documentation burden, and dependence on current imaging should be justified by measurable improvement in fixation, bone preservation, alignment, or predicted function [21,32,60].</w:t>
      </w:r>
    </w:p>
    <w:p>
      <w:pPr>
        <w:pStyle w:val="Heading3"/>
      </w:pPr>
      <w:r>
        <w:t>8.5.2 Image-to-design workflow</w:t>
      </w:r>
    </w:p>
    <w:p>
      <w:pPr>
        <w:ind w:firstLine="317"/>
      </w:pPr>
      <w:r>
        <w:t>The workflow starts with an approved coordinated digital anatomy [33,55,58]. Preserved contralateral anatomy can be mirrored and registered to unaffected regions; when both wrists are abnormal, a statistical shape model can estimate missing geometry within plausible population variation [33,41,55]. Surgeon-defined correction remains essential, because neither method automatically determines the appropriate alignment, ligament tension, or carpal height [1,33,41].</w:t>
      </w:r>
    </w:p>
    <w:p>
      <w:pPr>
        <w:ind w:firstLine="317"/>
      </w:pPr>
      <w:r>
        <w:t>Patient-specific radial and carpal components should be partitioned into functional zones for bearing, structural load transfer, fixation, extraction, and soft-tissue clearance [32,33,60]. The radial design must coordinate articular position with canal fit, cortical support, stem length, resection depth, and distal radioulnar clearance, while the carpal design must coordinate capitate or metacarpal fixation with screw trajectories, component thickness, tendon clearance, and future fusion options [1,21,32]. Porous structures should be restricted to intended bone-contact regions, and polished articulating surfaces should remain separated from rough fixation features and support-removal zones [33,44,45]. Patient-specific instruments or navigation can transfer the plan, but guide fit and pin placement should be validated on the same reconstructed anatomy used to manufacture the implant [32,33,60].</w:t>
      </w:r>
    </w:p>
    <w:p>
      <w:pPr>
        <w:pStyle w:val="Heading3"/>
      </w:pPr>
      <w:r>
        <w:t>8.5.3 Current evidence and limitations</w:t>
      </w:r>
    </w:p>
    <w:p>
      <w:pPr>
        <w:ind w:firstLine="317"/>
      </w:pPr>
      <w:r>
        <w:t>A customized anatomical TWA in four severely damaged wrists used contralateral CT, a CoCrMo proximal component, titanium carpal support, UHMWPE, porous fixation, and supplementary screws [33]. A separate 14-wrist personalized microporous titanium series reported improved pain, QuickDASH, grip strength, and motion at about 20 months without observed loosening or dislocation [60]. These uncontrolled, small, heterogeneous, short-follow-up reports demonstrate feasibility, not superiority or durability [2,3,4].</w:t>
      </w:r>
    </w:p>
    <w:p>
      <w:pPr>
        <w:ind w:firstLine="317"/>
      </w:pPr>
      <w:r>
        <w:t>A 2026 quasi-dynamic finite element comparison reported more uniform implant and bone stress, more stable deviation contact stress, and lower center-of-rotation fluctuation for a customized design than a Universal 2 model [32]. The study shows how curvature, component form, fixation, and movement can be evaluated together, but its conclusions remain dependent on one modelling framework and require independent cadaveric and in vivo confirmation [2,17,27].</w:t>
      </w:r>
    </w:p>
    <w:p>
      <w:pPr>
        <w:ind w:firstLine="317"/>
      </w:pPr>
      <w:r>
        <w:t>Custom scaphoid and lunate replacements inform the reconstruction workflow but are not direct TWA evidence [61,62]. They illustrate bilateral CT, mirroring, implant-bone matching, porous metal production, and the difficulty of preserving coupled intercarpal motion [61,62]. Their transferability is limited because TWA changes the dominant articulation and fixation path rather than replacing one retained carpal bone [1,24,25].</w:t>
      </w:r>
    </w:p>
    <w:p>
      <w:pPr>
        <w:ind w:firstLine="317"/>
      </w:pPr>
      <w:r>
        <w:t>The custom design should be frozen only after virtual implantation, tolerance analysis, multibody and finite element simulation, manufacturability review, and surgeon approval converge on one coordinate system and resection plan [17,18,55]. Sensitivity analyses should perturb segmentation, target shape, seating, screw direction, bone quality, and soft-tissue assumptions to avoid overfitting an uncertain digital model [17,18,19]. The release package must retain images, segmentations, anatomy, implant and guide models, simulation versions, manufacturing orientation, inspection data, and patient-side traceability [54,55,56].</w:t>
      </w:r>
    </w:p>
    <w:p>
      <w:pPr>
        <w:pStyle w:val="Heading1"/>
      </w:pPr>
      <w:r>
        <w:t>9 Materials, Manufacturing, and Verification</w:t>
      </w:r>
    </w:p>
    <w:p>
      <w:pPr>
        <w:pStyle w:val="Heading2"/>
      </w:pPr>
      <w:r>
        <w:t>9.1 Material and bearing requirements</w:t>
      </w:r>
    </w:p>
    <w:p>
      <w:pPr>
        <w:ind w:firstLine="317"/>
      </w:pPr>
      <w:r>
        <w:t>From a design point of view, material selection should separate the requirements of the articulating surface, structural body, fixation interface, screws, and modular junctions [6,1,32]. A material that is favorable for osseointegration may be unsuitable for an articulating surface, whereas a hard wear-resistant alloy may be unnecessarily stiff at the bone interface [44,45,46]. Contemporary and experimental wrist systems have used combinations of cobalt-chromium-molybdenum alloy, titanium alloy, stainless steel, UHMWPE, PEEK, and calcium-phosphate surface treatments [6,1,32]. The appropriate combination depends on bearing couple, component thickness, contact stress, fixation strategy, imaging requirements, and revision plan [6,1,32].</w:t>
      </w:r>
    </w:p>
    <w:p>
      <w:pPr>
        <w:ind w:firstLine="317"/>
      </w:pPr>
      <w:r>
        <w:t>CoCrMo is attractive for polished bearing surfaces because of its hardness, strength, corrosion resistance, and ability to maintain a smooth finish [44]. Casting, forging, machining, hot isostatic pressing, laser powder-bed fusion, and electron-beam processes produce different microstructures and precipitates that can affect fatigue, corrosion, and biocompatibility [44]. CoCrMo should therefore be specified by both composition and manufacturing route, followed by appropriate heat treatment and surface finishing [44]. Metal-on-metal wrist bearings require particular caution because wear, corrosion, modular impingement, and metallic debris may contribute to local tissue reactions or osteolysis [1,6,44].</w:t>
      </w:r>
    </w:p>
    <w:p>
      <w:pPr>
        <w:ind w:firstLine="317"/>
      </w:pPr>
      <w:r>
        <w:t>Titanium and Ti-6Al-4V are commonly used for stems, plates, porous regions, and screws because they combine high specific strength, corrosion resistance, biocompatibility, and a lower elastic modulus than CoCrMo [45]. Titanium has less favorable tribological behavior as a directly articulating surface and is susceptible to adhesive wear or damage when contacting harder materials [44,45]. Its role is therefore strongest at structural and bone-contact regions rather than as an uncoated bearing [44,45]. Surface chemistry, roughness, porosity, and contamination control influence biological response and cannot be inferred from bulk alloy properties alone [45,46].</w:t>
      </w:r>
    </w:p>
    <w:p>
      <w:pPr>
        <w:pStyle w:val="Heading2"/>
      </w:pPr>
      <w:r>
        <w:t>9.2 Polymer bearings and fixation surfaces</w:t>
      </w:r>
    </w:p>
    <w:p>
      <w:pPr>
        <w:ind w:firstLine="317"/>
      </w:pPr>
      <w:r>
        <w:t>UHMWPE remains an important small-joint bearing material because it provides low friction, toughness, and a long history in arthroplasty [46,47,48]. Its failure mechanisms include adhesive and abrasive wear, delamination or fatigue under unfavorable stress, oxidation, and biologically active wear debris [46,47,48]. Crosslinking can reduce wear but may decrease fatigue resistance depending on radiation dose and thermal treatment, whereas antioxidant stabilization can improve oxidation resistance [47,48]. Wrist-specific evidence is insufficient to assume that polyethylene formulations optimized for hip articulation will perform identically under smaller contact areas and highly multidirectional wrist motion [22,25,46].</w:t>
      </w:r>
    </w:p>
    <w:p>
      <w:pPr>
        <w:ind w:firstLine="317"/>
      </w:pPr>
      <w:r>
        <w:t>PEEK and carbon-fiber-reinforced PEEK offer radiolucency, chemical stability, adjustable stiffness, and potentially favorable wear behavior in selected bearing configurations [34,49]. Unmodified PEEK is bioinert and does not reliably osseointegrate, so it should not be treated as a direct substitute for porous titanium at a bone-ingrowth surface without modification [49]. Experimental wrist designs have used PEEK-containing articulations to explore alternative conformity and wear characteristics [23,34]. Long-term wrist retrieval, particle-response, fatigue, and counterface-damage data remain too limited to establish superiority over UHMWPE [1,34,49].</w:t>
      </w:r>
    </w:p>
    <w:p>
      <w:pPr>
        <w:ind w:firstLine="317"/>
      </w:pPr>
      <w:r>
        <w:t>Porous and calcium-phosphate-treated surfaces aim to provide initial mechanical interlock followed by biological fixation [1,6,33]. Pore size, porosity, interconnectivity, strut thickness, surface roughness, and depth of the porous layer influence stiffness, fatigue resistance, vascular access, and bone ingrowth [45,46]. Excessive porosity or roughness can reduce fatigue strength or release particles, whereas a dense stiff component can promote stress shielding [45,46]. Porous architecture should therefore be optimized locally according to expected load and available bone rather than applied uniformly as a cosmetic texture [32,33,45].</w:t>
      </w:r>
    </w:p>
    <w:p>
      <w:pPr>
        <w:ind w:firstLine="317"/>
      </w:pPr>
      <w:r>
        <w:t>Material compatibility at modular junctions requires attention to micromotion, fretting, galvanic coupling, and assembly tolerances [6,39,40]. A replaceable insert or modular neck can simplify balancing and revision, but every additional junction introduces another interface that may move or corrode [6,39,40]. Mixed-alloy combinations should be evaluated under representative fluid, load, and motion conditions [44,45]. Retrieval programs are particularly valuable because they reveal scratches, transfer films, corrosion, impingement, and damage modes that idealized laboratory tests may miss [6,37,1].</w:t>
      </w:r>
    </w:p>
    <w:p>
      <w:pPr>
        <w:pStyle w:val="Heading2"/>
      </w:pPr>
      <w:r>
        <w:t>9.3 Manufacturing, verification, and validation</w:t>
      </w:r>
    </w:p>
    <w:p>
      <w:pPr>
        <w:pStyle w:val="Heading3"/>
      </w:pPr>
      <w:r>
        <w:t>9.3.1 Conventional and additive manufacturing</w:t>
      </w:r>
    </w:p>
    <w:p>
      <w:pPr>
        <w:ind w:firstLine="317"/>
      </w:pPr>
      <w:r>
        <w:t>With regard to manufacturing, conventional metallic wrist components can be forged, cast, or machined, followed by heat treatment, precision finishing, cleaning, passivation, coating, and inspection [44,45]. The bearing surface requires tight control of form error, waviness, roughness, and edge transition, whereas the fixation surface may intentionally use roughness or porosity [44,45,46]. These two surface functions should be separated spatially so that rough coating, trapped powder, or machining marks do not enter the articulation [44,45,46]. Dimensional inspection should assess not only overall component size but also local curvature and the relative position of the bearing, stem, screw holes, and fixation features [22,25,30].</w:t>
      </w:r>
    </w:p>
    <w:p>
      <w:pPr>
        <w:ind w:firstLine="317"/>
      </w:pPr>
      <w:r>
        <w:t>Additive manufacturing enables complex patient-specific forms, internal lattices, porous fixation zones, and integrated features that are difficult to produce by subtractive methods [32,33,45]. Laser powder-bed fusion and electron-beam melting are particularly relevant for titanium and cobalt-chromium components [33,44,45]. Their advantages include geometric freedom and reduced material waste, but they introduce build-direction anisotropy, residual stress, lack-of-fusion defects, surface roughness, support-removal constraints, and lot-specific powder effects [44,45,46]. A printed component therefore requires validated process parameters, post-build heat treatment, and fatigue evaluation in its final orientation and surface condition [44,45,46].</w:t>
      </w:r>
    </w:p>
    <w:p>
      <w:pPr>
        <w:pStyle w:val="Heading3"/>
      </w:pPr>
      <w:r>
        <w:t>9.3.2 Digital thread and process control</w:t>
      </w:r>
    </w:p>
    <w:p>
      <w:pPr>
        <w:ind w:firstLine="317"/>
      </w:pPr>
      <w:r>
        <w:t>Patient-specific production requires a controlled digital thread from imaging to implantation [32,33,41]. Segmentation, reconstruction, design approval, build preparation, manufacturing, post-processing, inspection, packaging, and surgical planning must preserve patient identity, side, coordinate systems, and revision status [32,33,41]. Automated steps can reduce time and variability; however, each transformation should retain traceability and permit human review of fixation corridors and critical anatomy [33,41,42]. Version control is especially important because a late imaging or surgical-plan change can otherwise leave the manufactured component inconsistent with the approved anatomy [32,33,60].</w:t>
      </w:r>
    </w:p>
    <w:p>
      <w:pPr>
        <w:pStyle w:val="Heading3"/>
      </w:pPr>
      <w:r>
        <w:t>9.3.3 Verification hierarchy</w:t>
      </w:r>
    </w:p>
    <w:p>
      <w:pPr>
        <w:ind w:firstLine="317"/>
      </w:pPr>
      <w:r>
        <w:t>Verification should proceed from material coupons to components, constructs, cadavers, and clinical follow-up [17,18,19]. Coupon tests characterize tensile, fatigue, corrosion, wear, and porous material behavior, while component tests evaluate static strength, cyclic loading, insert retention, screw fixation, and failure location [32,33,44]. Construct-level tests should reproduce expected boundary conditions and include adverse alignment, incomplete fixation, bone-quality variation, and impingement [21,22,26]. Cadaveric motion simulators and dynamic imaging then test whether the assembled system produces the intended kinematics and tendon-force requirements [23,27,28].</w:t>
      </w:r>
    </w:p>
    <w:p>
      <w:pPr>
        <w:ind w:firstLine="317"/>
      </w:pPr>
      <w:r>
        <w:t>Wear testing should include coupled multidirectional paths derived from in vivo or validated cadaveric measurements [25,28,46]. The test should monitor gravimetric or volumetric wear, surface damage, particle morphology, temperature, lubricant condition, and changes in conformity [25,46,47]. Testing only the nominal articular pair can miss extra-articular impingement between stems, necks, screws, or component edges [1,6,25]. Retrieved implants should be compared with simulator damage to refine the loading protocol and wear model iteratively [1,6,25].</w:t>
      </w:r>
    </w:p>
    <w:p>
      <w:pPr>
        <w:pStyle w:val="Heading1"/>
      </w:pPr>
      <w:r>
        <w:t>10 Clinical Translation and Research Priorities</w:t>
      </w:r>
    </w:p>
    <w:p>
      <w:pPr>
        <w:ind w:firstLine="317"/>
      </w:pPr>
      <w:r>
        <w:t>Despite substantial progress in imaging, computational mechanics, and manufacturing, the wrist literature remains fragmented across small clinical series, cadaveric experiments, imaging-validation studies, and models built with different anatomical, material, loading, and outcome definitions [2,3,4]. Favorable kinematic or stress results therefore cannot be transferred directly into a survivorship claim. The productive response is not simply more modelling, but a traceable connection between the anatomical target, the design choice, the experimental test, and the clinical endpoint [17,21,32].</w:t>
      </w:r>
    </w:p>
    <w:p>
      <w:pPr>
        <w:ind w:firstLine="317"/>
      </w:pPr>
      <w:r>
        <w:t>First, success should mean durable pain relief with useful, controllable motion rather than the largest possible passive arc [2,5,24]. A design may be preferable when it reproduces task-relevant trajectories with acceptable muscle force and contact stress, even when its extreme motion is lower than that of a less stable alternative [21,24,29]. Reporting should consequently combine patient-reported outcomes, active task performance, dynamic kinematics, radiographic surveillance, and implant survival [13,25,36].</w:t>
      </w:r>
    </w:p>
    <w:p>
      <w:pPr>
        <w:ind w:firstLine="317"/>
      </w:pPr>
      <w:r>
        <w:t>Second, the implant, surgical technique, and soft-tissue balance must be designed as one intervention. External contours determine fit, resection, and fixation, whereas articular curvature and relative pose determine rolling, sliding, and contact migration; centroid trajectories and orientation histories provide the measurable bridge between these domains [11,22,25]. Carpal height, resection level, center-of-rotation position, capsular management, and tendon tension should be optimized across expected anatomical and surgical variation, because a nominal gain that disappears after a small placement perturbation is unlikely to translate reliably [13,23,29].</w:t>
      </w:r>
    </w:p>
    <w:p>
      <w:pPr>
        <w:ind w:firstLine="317"/>
      </w:pPr>
      <w:r>
        <w:t>Third, customization must be paired with revision stewardship and a controlled digital thread. The record should preserve the source images, segmentation edits, target anatomy, coordinate systems, design revisions, manufacturing files, and inspection results, because unnoticed changes in pose, laterality, or resection can alter fit and loading [32,33,50]. Patient-specific digital twins should then be updated with postoperative component position and subsequent dynamic or radiographic observations, allowing model predictions to be compared with symptoms, damage, and survival rather than treated as one-time preoperative forecasts [14,24,36].</w:t>
      </w:r>
    </w:p>
    <w:p>
      <w:pPr>
        <w:pStyle w:val="Heading1"/>
      </w:pPr>
      <w:r>
        <w:t>11 Conclusions</w:t>
      </w:r>
    </w:p>
    <w:p>
      <w:pPr>
        <w:ind w:firstLine="317"/>
      </w:pPr>
      <w:r>
        <w:t>Total wrist arthroplasty remains a valuable motion-preserving option for selected patients, but careful counselling is required because functional improvement coexists with substantial complication, reoperation, and revision risk [2,3,4]. The engineering challenge is to replace a ligament-guided, two-level, multi-bone mechanism with a compact artificial articulation supported by limited radial and carpal bone stock [7,11,17]. Implant success consequently depends on anatomical fit, dynamic kinematics, muscle efficiency, contact mechanics, fixation, materials, manufacturing quality, surgical execution, and revision strategy [21,29,39].</w:t>
      </w:r>
    </w:p>
    <w:p>
      <w:pPr>
        <w:ind w:firstLine="317"/>
      </w:pPr>
      <w:r>
        <w:t>The most informative shape-design variables extend beyond component width and radius. Bone-centroid trajectories quantify translation, three-dimensional orientations quantify pose, helical axes and centers of rotation describe changing rotational behavior, and external cortical and articular contours define fixation and contact geometry [11,13,24]. Their reliability depends on acquisition, segmentation, reconstruction, registration, and coordinate-system uncertainty, which should accompany the derived targets [13,14,15]. These descriptors should be combined with multibody-derived loading and finite element measures of contact pressure, bone strain, interface micromotion, and fatigue [17,21,32].</w:t>
      </w:r>
    </w:p>
    <w:p>
      <w:pPr>
        <w:ind w:firstLine="317"/>
      </w:pPr>
      <w:r>
        <w:t>An integrated, staged framework is the most defensible development pathway because it links validated imaging and bone reconstruction with dynamic kinematics, musculoskeletal simulation, finite element analysis, experimental testing, and longitudinal clinical follow-up [14,17,28]. Additive manufacturing can expand fixation and customization options, but it does not replace the need for validated bearing geometry, controlled post-processing, inspection, and long-term evidence [32,44,60]. Current customized wrist evidence supports feasibility rather than proven superiority; transparent uncertainty, methodological standardization, and prospective follow-up are therefore central to responsible translation [2,33,60]. The governing design objective is restoration of a robust physiological motion-and-load envelope while preserving bone and future revision options [24,29,39].</w:t>
      </w:r>
    </w:p>
    <w:p>
      <w:r>
        <w:br w:type="page"/>
      </w:r>
    </w:p>
    <w:p>
      <w:pPr>
        <w:pStyle w:val="Heading1"/>
      </w:pPr>
      <w:r>
        <w:t>References</w:t>
      </w:r>
    </w:p>
    <w:p>
      <w:pPr>
        <w:pStyle w:val="Reference"/>
      </w:pPr>
      <w:r>
        <w:t xml:space="preserve">1. Reigstad O. Total wrist arthroplasty: recent advances and current recommendations. Journal of Hand Surgery European Volume. 2025;50(1):34-41. DOI: </w:t>
      </w:r>
      <w:hyperlink r:id="rId11">
        <w:r>
          <w:rPr>
            <w:color w:val="1F4E79"/>
            <w:u w:val="single"/>
          </w:rPr>
          <w:t>https://doi.org/10.1177/17531934241276383</w:t>
        </w:r>
      </w:hyperlink>
    </w:p>
    <w:p>
      <w:pPr>
        <w:pStyle w:val="Reference"/>
      </w:pPr>
      <w:r>
        <w:t xml:space="preserve">2. Pappalardo G, Schafer L, Falco D, Tammaro N, Eschweiler J, Migliorini F. Total wrist arthroplasty efficacy and safety: a systematic review. Journal of Orthopaedics. 2026;77:49-58. DOI: </w:t>
      </w:r>
      <w:hyperlink r:id="rId12">
        <w:r>
          <w:rPr>
            <w:color w:val="1F4E79"/>
            <w:u w:val="single"/>
          </w:rPr>
          <w:t>https://doi.org/10.1016/j.jor.2026.04.001</w:t>
        </w:r>
      </w:hyperlink>
    </w:p>
    <w:p>
      <w:pPr>
        <w:pStyle w:val="Reference"/>
      </w:pPr>
      <w:r>
        <w:t xml:space="preserve">3. Berber O, Garagnani L, Gidwani S. Systematic review of total wrist arthroplasty and arthrodesis in wrist arthritis. Journal of Wrist Surgery. 2018;7(5):424-440. DOI: </w:t>
      </w:r>
      <w:hyperlink r:id="rId13">
        <w:r>
          <w:rPr>
            <w:color w:val="1F4E79"/>
            <w:u w:val="single"/>
          </w:rPr>
          <w:t>https://doi.org/10.1055/s-0038-1646956</w:t>
        </w:r>
      </w:hyperlink>
    </w:p>
    <w:p>
      <w:pPr>
        <w:pStyle w:val="Reference"/>
      </w:pPr>
      <w:r>
        <w:t xml:space="preserve">4. Zijlker HJA, Ritt MJPF, Beumer A. Fourth-generation total wrist arthroplasty: a systematic review of clinical outcomes. Journal of Wrist Surgery. 2022;11(5):456-464. DOI: </w:t>
      </w:r>
      <w:hyperlink r:id="rId14">
        <w:r>
          <w:rPr>
            <w:color w:val="1F4E79"/>
            <w:u w:val="single"/>
          </w:rPr>
          <w:t>https://doi.org/10.1055/s-0041-1735840</w:t>
        </w:r>
      </w:hyperlink>
    </w:p>
    <w:p>
      <w:pPr>
        <w:pStyle w:val="Reference"/>
      </w:pPr>
      <w:r>
        <w:t xml:space="preserve">5. Clementson M, Larsson SL, Abramo A, Brogren E. Clinical and patient-reported outcomes after total wrist arthroplasty and total wrist fusion: a prospective cohort study with 2-year follow-up. JBJS Open Access. 2024;9(1):e23.00081. DOI: </w:t>
      </w:r>
      <w:hyperlink r:id="rId15">
        <w:r>
          <w:rPr>
            <w:color w:val="1F4E79"/>
            <w:u w:val="single"/>
          </w:rPr>
          <w:t>https://doi.org/10.2106/JBJS.OA.23.00081</w:t>
        </w:r>
      </w:hyperlink>
    </w:p>
    <w:p>
      <w:pPr>
        <w:pStyle w:val="Reference"/>
      </w:pPr>
      <w:r>
        <w:t xml:space="preserve">6. Smith AM, Maling LC, Williamson M. Total wrist arthroplasty: commentary and opinions. Journal of Hand Surgery European Volume. 2024;49(1):115-118. DOI: </w:t>
      </w:r>
      <w:hyperlink r:id="rId16">
        <w:r>
          <w:rPr>
            <w:color w:val="1F4E79"/>
            <w:u w:val="single"/>
          </w:rPr>
          <w:t>https://doi.org/10.1177/17531934231209638</w:t>
        </w:r>
      </w:hyperlink>
    </w:p>
    <w:p>
      <w:pPr>
        <w:pStyle w:val="Reference"/>
      </w:pPr>
      <w:r>
        <w:t xml:space="preserve">7. Eschweiler J, Li J, Quack V, Rath B, Baroncini A, Hildebrand F, Migliorini F. Anatomy, biomechanics, and loads of the wrist joint. Life. 2022;12(2):188. DOI: </w:t>
      </w:r>
      <w:hyperlink r:id="rId17">
        <w:r>
          <w:rPr>
            <w:color w:val="1F4E79"/>
            <w:u w:val="single"/>
          </w:rPr>
          <w:t>https://doi.org/10.3390/life12020188</w:t>
        </w:r>
      </w:hyperlink>
    </w:p>
    <w:p>
      <w:pPr>
        <w:pStyle w:val="Reference"/>
      </w:pPr>
      <w:r>
        <w:t xml:space="preserve">8. Berger RA. The anatomy and basic biomechanics of the wrist joint. Journal of Hand Therapy. 1996;9(2):84-93. DOI: </w:t>
      </w:r>
      <w:hyperlink r:id="rId18">
        <w:r>
          <w:rPr>
            <w:color w:val="1F4E79"/>
            <w:u w:val="single"/>
          </w:rPr>
          <w:t>https://doi.org/10.1016/S0894-1130(96)80066-4</w:t>
        </w:r>
      </w:hyperlink>
    </w:p>
    <w:p>
      <w:pPr>
        <w:pStyle w:val="Reference"/>
      </w:pPr>
      <w:r>
        <w:t xml:space="preserve">9. Moritomo H, Apergis EP, Herzberg G, Werner FW, Wolfe SW, Garcia-Elias M. 2007 IFSSH committee report of wrist biomechanics committee: biomechanics of the so-called dart-throwing motion of the wrist. Journal of Hand Surgery American Volume. 2007;32(9):1447-1453. DOI: </w:t>
      </w:r>
      <w:hyperlink r:id="rId19">
        <w:r>
          <w:rPr>
            <w:color w:val="1F4E79"/>
            <w:u w:val="single"/>
          </w:rPr>
          <w:t>https://doi.org/10.1016/j.jhsa.2007.08.014</w:t>
        </w:r>
      </w:hyperlink>
    </w:p>
    <w:p>
      <w:pPr>
        <w:pStyle w:val="Reference"/>
      </w:pPr>
      <w:r>
        <w:t xml:space="preserve">10. Moritomo H, Apergis EP, Garcia-Elias M, Werner FW, Wolfe SW. International Federation of Societies for Surgery of the Hand 2013 committee's report on wrist dart-throwing motion. Journal of Hand Surgery American Volume. 2014;39(7):1433-1439. DOI: </w:t>
      </w:r>
      <w:hyperlink r:id="rId20">
        <w:r>
          <w:rPr>
            <w:color w:val="1F4E79"/>
            <w:u w:val="single"/>
          </w:rPr>
          <w:t>https://doi.org/10.1016/j.jhsa.2014.02.035</w:t>
        </w:r>
      </w:hyperlink>
    </w:p>
    <w:p>
      <w:pPr>
        <w:pStyle w:val="Reference"/>
      </w:pPr>
      <w:r>
        <w:t xml:space="preserve">11. Moore DC, Crisco JJ, Trafton TG, Leventhal EL. A digital database of wrist bone anatomy and carpal kinematics. Journal of Biomechanics. 2007;40(11):2537-2542. DOI: </w:t>
      </w:r>
      <w:hyperlink r:id="rId21">
        <w:r>
          <w:rPr>
            <w:color w:val="1F4E79"/>
            <w:u w:val="single"/>
          </w:rPr>
          <w:t>https://doi.org/10.1016/j.jbiomech.2006.10.041</w:t>
        </w:r>
      </w:hyperlink>
    </w:p>
    <w:p>
      <w:pPr>
        <w:pStyle w:val="Reference"/>
      </w:pPr>
      <w:r>
        <w:t xml:space="preserve">12. Akhbari B, Moore DC, Laidlaw DH, Weiss APC, Akelman E, Wolfe SW, Crisco JJ. Predicting carpal bone kinematics using an expanded digital database of wrist carpal bone anatomy and kinematics. Journal of Orthopaedic Research. 2019;37(12):2661-2670. DOI: </w:t>
      </w:r>
      <w:hyperlink r:id="rId22">
        <w:r>
          <w:rPr>
            <w:color w:val="1F4E79"/>
            <w:u w:val="single"/>
          </w:rPr>
          <w:t>https://doi.org/10.1002/jor.24435</w:t>
        </w:r>
      </w:hyperlink>
    </w:p>
    <w:p>
      <w:pPr>
        <w:pStyle w:val="Reference"/>
      </w:pPr>
      <w:r>
        <w:t xml:space="preserve">13. Pfaeffle J, Blankenhorn B, Stabile K, Imbriglia J, Goitz R, Robertson D. Development and validation of a computed tomography-based methodology to measure carpal kinematics. Journal of Biomechanical Engineering. 2005;127(3):541-548. DOI: </w:t>
      </w:r>
      <w:hyperlink r:id="rId23">
        <w:r>
          <w:rPr>
            <w:color w:val="1F4E79"/>
            <w:u w:val="single"/>
          </w:rPr>
          <w:t>https://doi.org/10.1115/1.1894370</w:t>
        </w:r>
      </w:hyperlink>
    </w:p>
    <w:p>
      <w:pPr>
        <w:pStyle w:val="Reference"/>
      </w:pPr>
      <w:r>
        <w:t xml:space="preserve">14. Akhbari B, Morton AM, Moore DC, Crisco JJ. Kinematic accuracy in tracking total wrist arthroplasty with biplane videoradiography using a computed tomography-generated model. Journal of Biomechanical Engineering. 2019;141(4):041001. DOI: </w:t>
      </w:r>
      <w:hyperlink r:id="rId24">
        <w:r>
          <w:rPr>
            <w:color w:val="1F4E79"/>
            <w:u w:val="single"/>
          </w:rPr>
          <w:t>https://doi.org/10.1115/1.4042769</w:t>
        </w:r>
      </w:hyperlink>
    </w:p>
    <w:p>
      <w:pPr>
        <w:pStyle w:val="Reference"/>
      </w:pPr>
      <w:r>
        <w:t xml:space="preserve">15. Akhbari B, Morton AM, Moore DC, Crisco JJ. Biplanar videoradiography to study the wrist and distal radioulnar joints. Journal of Visualized Experiments. 2021;(171):e62102. DOI: </w:t>
      </w:r>
      <w:hyperlink r:id="rId25">
        <w:r>
          <w:rPr>
            <w:color w:val="1F4E79"/>
            <w:u w:val="single"/>
          </w:rPr>
          <w:t>https://doi.org/10.3791/62102</w:t>
        </w:r>
      </w:hyperlink>
    </w:p>
    <w:p>
      <w:pPr>
        <w:pStyle w:val="Reference"/>
      </w:pPr>
      <w:r>
        <w:t xml:space="preserve">16. Jia S, Xiang Z, Lu X, et al. Quantifying in vivo kinematics of the wrist during opposite dart-throwing motion: a 4D CT study. Journal of Orthopaedic Surgery and Research. 2026;21(1):277. DOI: </w:t>
      </w:r>
      <w:hyperlink r:id="rId26">
        <w:r>
          <w:rPr>
            <w:color w:val="1F4E79"/>
            <w:u w:val="single"/>
          </w:rPr>
          <w:t>https://doi.org/10.1186/s13018-026-06810-7</w:t>
        </w:r>
      </w:hyperlink>
    </w:p>
    <w:p>
      <w:pPr>
        <w:pStyle w:val="Reference"/>
      </w:pPr>
      <w:r>
        <w:t xml:space="preserve">17. Eschweiler J, Praster M, Quack V, Michalik R, Hildebrand F, Rath B, Migliorini F. Musculoskeletal modeling of the wrist via a multi body simulation. Life. 2022;12(4):581. DOI: </w:t>
      </w:r>
      <w:hyperlink r:id="rId27">
        <w:r>
          <w:rPr>
            <w:color w:val="1F4E79"/>
            <w:u w:val="single"/>
          </w:rPr>
          <w:t>https://doi.org/10.3390/life12040581</w:t>
        </w:r>
      </w:hyperlink>
    </w:p>
    <w:p>
      <w:pPr>
        <w:pStyle w:val="Reference"/>
      </w:pPr>
      <w:r>
        <w:t xml:space="preserve">18. Mirakhorlo M, van Beek N, Wesseling M, Maas H, Veeger HEJ, Jonkers I. A musculoskeletal model of the hand and wrist: model definition and evaluation. Computer Methods in Biomechanics and Biomedical Engineering. 2018;21(9):548-557. DOI: </w:t>
      </w:r>
      <w:hyperlink r:id="rId28">
        <w:r>
          <w:rPr>
            <w:color w:val="1F4E79"/>
            <w:u w:val="single"/>
          </w:rPr>
          <w:t>https://doi.org/10.1080/10255842.2018.1490952</w:t>
        </w:r>
      </w:hyperlink>
    </w:p>
    <w:p>
      <w:pPr>
        <w:pStyle w:val="Reference"/>
      </w:pPr>
      <w:r>
        <w:t xml:space="preserve">19. Eschweiler J, Stromps JP, Fischer MCM, Schick F, Rath B, Pallua N, Radermacher K. Development of a biomechanical model of the wrist joint for patient-specific model guided surgical therapy planning: part 1. Proceedings of the Institution of Mechanical Engineers Part H. 2016;230(4):310-325. DOI: </w:t>
      </w:r>
      <w:hyperlink r:id="rId29">
        <w:r>
          <w:rPr>
            <w:color w:val="1F4E79"/>
            <w:u w:val="single"/>
          </w:rPr>
          <w:t>https://doi.org/10.1177/0954411916632791</w:t>
        </w:r>
      </w:hyperlink>
    </w:p>
    <w:p>
      <w:pPr>
        <w:pStyle w:val="Reference"/>
      </w:pPr>
      <w:r>
        <w:t xml:space="preserve">20. Nichols JA, Bednar MS, Havey RM, Murray WM. Connecting the wrist to the hand: a simulation study exploring changes in thumb-tip endpoint force following wrist surgery. Journal of Biomechanics. 2017;58:97-104. DOI: </w:t>
      </w:r>
      <w:hyperlink r:id="rId30">
        <w:r>
          <w:rPr>
            <w:color w:val="1F4E79"/>
            <w:u w:val="single"/>
          </w:rPr>
          <w:t>https://doi.org/10.1016/j.jbiomech.2017.04.024</w:t>
        </w:r>
      </w:hyperlink>
    </w:p>
    <w:p>
      <w:pPr>
        <w:pStyle w:val="Reference"/>
      </w:pPr>
      <w:r>
        <w:t xml:space="preserve">21. Gislason MK, Foster E, Bransby-Zachary M, Nash DH. Biomechanical analysis of the Universal 2 implant in total wrist arthroplasty: a finite element study. Computer Methods in Biomechanics and Biomedical Engineering. 2017;20(10):1113-1121. DOI: </w:t>
      </w:r>
      <w:hyperlink r:id="rId31">
        <w:r>
          <w:rPr>
            <w:color w:val="1F4E79"/>
            <w:u w:val="single"/>
          </w:rPr>
          <w:t>https://doi.org/10.1080/10255842.2017.1336548</w:t>
        </w:r>
      </w:hyperlink>
    </w:p>
    <w:p>
      <w:pPr>
        <w:pStyle w:val="Reference"/>
      </w:pPr>
      <w:r>
        <w:t xml:space="preserve">22. McCullough MBA, Adams BD, Grosland NM. The effect of articular surface shape and tendon forces of total wrist arthroplasty systems: a finite element study. Journal of Musculoskeletal Research. 2012;15(4):1250021. DOI: </w:t>
      </w:r>
      <w:hyperlink r:id="rId32">
        <w:r>
          <w:rPr>
            <w:color w:val="1F4E79"/>
            <w:u w:val="single"/>
          </w:rPr>
          <w:t>https://doi.org/10.1142/S0218957712500212</w:t>
        </w:r>
      </w:hyperlink>
    </w:p>
    <w:p>
      <w:pPr>
        <w:pStyle w:val="Reference"/>
      </w:pPr>
      <w:r>
        <w:t xml:space="preserve">23. Hooke AW, Pettersson K, Sagerfors M, An KN, Rizzo M. An anatomic and kinematic analysis of a new total wrist arthroplasty design. Journal of Wrist Surgery. 2015;4(2):121-127. DOI: </w:t>
      </w:r>
      <w:hyperlink r:id="rId33">
        <w:r>
          <w:rPr>
            <w:color w:val="1F4E79"/>
            <w:u w:val="single"/>
          </w:rPr>
          <w:t>https://doi.org/10.1055/s-0035-1549288</w:t>
        </w:r>
      </w:hyperlink>
    </w:p>
    <w:p>
      <w:pPr>
        <w:pStyle w:val="Reference"/>
      </w:pPr>
      <w:r>
        <w:t xml:space="preserve">24. Akhbari B, Morton AM, Shah KN, et al. Proximal-distal shift of the center of rotation in a total wrist arthroplasty is more than twice that of the healthy wrist. Journal of Orthopaedic Research. 2020;38(7):1575-1586. DOI: </w:t>
      </w:r>
      <w:hyperlink r:id="rId34">
        <w:r>
          <w:rPr>
            <w:color w:val="1F4E79"/>
            <w:u w:val="single"/>
          </w:rPr>
          <w:t>https://doi.org/10.1002/jor.24717</w:t>
        </w:r>
      </w:hyperlink>
    </w:p>
    <w:p>
      <w:pPr>
        <w:pStyle w:val="Reference"/>
      </w:pPr>
      <w:r>
        <w:t xml:space="preserve">25. Akhbari B, Morton AM, Shah KN, et al. In vivo articular contact pattern of a total wrist arthroplasty design. Journal of Biomechanics. 2021;121:110420. DOI: </w:t>
      </w:r>
      <w:hyperlink r:id="rId35">
        <w:r>
          <w:rPr>
            <w:color w:val="1F4E79"/>
            <w:u w:val="single"/>
          </w:rPr>
          <w:t>https://doi.org/10.1016/j.jbiomech.2021.110420</w:t>
        </w:r>
      </w:hyperlink>
    </w:p>
    <w:p>
      <w:pPr>
        <w:pStyle w:val="Reference"/>
      </w:pPr>
      <w:r>
        <w:t xml:space="preserve">26. Akhbari B, Shah KN, Morton AM, et al. Total wrist arthroplasty alignment and its potential association with clinical outcomes. Journal of Wrist Surgery. 2021;10(4):308-315. DOI: </w:t>
      </w:r>
      <w:hyperlink r:id="rId36">
        <w:r>
          <w:rPr>
            <w:color w:val="1F4E79"/>
            <w:u w:val="single"/>
          </w:rPr>
          <w:t>https://doi.org/10.1055/s-0041-1725172</w:t>
        </w:r>
      </w:hyperlink>
    </w:p>
    <w:p>
      <w:pPr>
        <w:pStyle w:val="Reference"/>
      </w:pPr>
      <w:r>
        <w:t xml:space="preserve">27. Glanville JN, Bates KT, Brown DJ, Potts D, Curran J, Fichera S. Evaluation of a cadaveric wrist motion simulator using marker-based X-ray reconstruction of moving morphology. PeerJ. 2024;12:e17179. DOI: </w:t>
      </w:r>
      <w:hyperlink r:id="rId37">
        <w:r>
          <w:rPr>
            <w:color w:val="1F4E79"/>
            <w:u w:val="single"/>
          </w:rPr>
          <w:t>https://doi.org/10.7717/peerj.17179</w:t>
        </w:r>
      </w:hyperlink>
    </w:p>
    <w:p>
      <w:pPr>
        <w:pStyle w:val="Reference"/>
      </w:pPr>
      <w:r>
        <w:t xml:space="preserve">28. Glanville J, Bates KT, Silver N, Karthikappallil D, Fichera S, Brown DJ. Replication of coupled movements of the wrist: a cadaveric study of total wrist arthroplasty. Journal of Hand Surgery American Volume. 2025;50. DOI: </w:t>
      </w:r>
      <w:hyperlink r:id="rId38">
        <w:r>
          <w:rPr>
            <w:color w:val="1F4E79"/>
            <w:u w:val="single"/>
          </w:rPr>
          <w:t>https://doi.org/10.1016/j.jhsa.2024.12.006</w:t>
        </w:r>
      </w:hyperlink>
    </w:p>
    <w:p>
      <w:pPr>
        <w:pStyle w:val="Reference"/>
      </w:pPr>
      <w:r>
        <w:t xml:space="preserve">29. Bain GI, Bellringer SF, Russo MP, Amin DB, Costi JJ. Biomechanical analysis of cadaveric wrists before and after MOTEC wrist arthroplasty using a hexapod robot. Journal of Hand Surgery European Volume. 2025;50(4):492-499. DOI: </w:t>
      </w:r>
      <w:hyperlink r:id="rId39">
        <w:r>
          <w:rPr>
            <w:color w:val="1F4E79"/>
            <w:u w:val="single"/>
          </w:rPr>
          <w:t>https://doi.org/10.1177/17531934241274135</w:t>
        </w:r>
      </w:hyperlink>
    </w:p>
    <w:p>
      <w:pPr>
        <w:pStyle w:val="Reference"/>
      </w:pPr>
      <w:r>
        <w:t xml:space="preserve">30. Glanville J, Bates KT, Fichera S, Newton AW, Brown DJ. Determining the ideal position of the longitudinal centre of rotation for a Motec total wrist arthroplasty. Journal of Hand Surgery European Volume. 2026;51(2):179-187. DOI: </w:t>
      </w:r>
      <w:hyperlink r:id="rId40">
        <w:r>
          <w:rPr>
            <w:color w:val="1F4E79"/>
            <w:u w:val="single"/>
          </w:rPr>
          <w:t>https://doi.org/10.1177/17531934251378987</w:t>
        </w:r>
      </w:hyperlink>
    </w:p>
    <w:p>
      <w:pPr>
        <w:pStyle w:val="Reference"/>
      </w:pPr>
      <w:r>
        <w:t xml:space="preserve">31. Norman-Puim E, Lalone E, Kadar A, Langohr GDG, Suh N. Reverse total wrist arthroplasty: new design and biomechanical advantages. Journal of Hand Surgery American Volume. 2026;online ahead of print. DOI: </w:t>
      </w:r>
      <w:hyperlink r:id="rId41">
        <w:r>
          <w:rPr>
            <w:color w:val="1F4E79"/>
            <w:u w:val="single"/>
          </w:rPr>
          <w:t>https://doi.org/10.1016/j.jhsa.2026.06.005</w:t>
        </w:r>
      </w:hyperlink>
    </w:p>
    <w:p>
      <w:pPr>
        <w:pStyle w:val="Reference"/>
      </w:pPr>
      <w:r>
        <w:t xml:space="preserve">32. Xiao Y, Tan X, Liu J, Yan J, Yang Y, Xiang F. Biomechanical properties of a new 3D-printed customized anatomical total wrist prosthesis: a quasi-dynamic finite element analysis. Bone and Joint Research. 2026;15(3):311-321. DOI: </w:t>
      </w:r>
      <w:hyperlink r:id="rId42">
        <w:r>
          <w:rPr>
            <w:color w:val="1F4E79"/>
            <w:u w:val="single"/>
          </w:rPr>
          <w:t>https://doi.org/10.1302/2046-3758.153.BJR-2024-0425.R3</w:t>
        </w:r>
      </w:hyperlink>
    </w:p>
    <w:p>
      <w:pPr>
        <w:pStyle w:val="Reference"/>
      </w:pPr>
      <w:r>
        <w:t xml:space="preserve">33. Wei Q, Liu C, Chen S, Liu M. Customized metal 3D printed total wrist prosthesis in the treatment of severely destroyed wrist: design rationale and clinical applications. Orthopaedic Surgery. 2025;17(5):1536-1546. DOI: </w:t>
      </w:r>
      <w:hyperlink r:id="rId43">
        <w:r>
          <w:rPr>
            <w:color w:val="1F4E79"/>
            <w:u w:val="single"/>
          </w:rPr>
          <w:t>https://doi.org/10.1111/os.70030</w:t>
        </w:r>
      </w:hyperlink>
    </w:p>
    <w:p>
      <w:pPr>
        <w:pStyle w:val="Reference"/>
      </w:pPr>
      <w:r>
        <w:t xml:space="preserve">34. Eschweiler J, Li J, Quack V, et al. Total wrist arthroplasty: a systematic review of the outcome, and an introduction of FreeMove, an approach to improve TWA. Life. 2022;12(3):411. DOI: </w:t>
      </w:r>
      <w:hyperlink r:id="rId44">
        <w:r>
          <w:rPr>
            <w:color w:val="1F4E79"/>
            <w:u w:val="single"/>
          </w:rPr>
          <w:t>https://doi.org/10.3390/life12030411</w:t>
        </w:r>
      </w:hyperlink>
    </w:p>
    <w:p>
      <w:pPr>
        <w:pStyle w:val="Reference"/>
      </w:pPr>
      <w:r>
        <w:t xml:space="preserve">35. Kennedy CD, Huang JI. Prosthetic design in total wrist arthroplasty. Orthopedic Clinics of North America. 2016;47(1):207-218. DOI: </w:t>
      </w:r>
      <w:hyperlink r:id="rId45">
        <w:r>
          <w:rPr>
            <w:color w:val="1F4E79"/>
            <w:u w:val="single"/>
          </w:rPr>
          <w:t>https://doi.org/10.1016/j.ocl.2015.08.018</w:t>
        </w:r>
      </w:hyperlink>
    </w:p>
    <w:p>
      <w:pPr>
        <w:pStyle w:val="Reference"/>
      </w:pPr>
      <w:r>
        <w:t xml:space="preserve">36. Newton A, Kandemir G, Joyce TJ, et al. Long-term outcomes of the Universal 2 total wrist replacement: revision and loosening at 10 years and beyond. Journal of Hand Surgery European Volume. 2023;48(7):641-647. DOI: </w:t>
      </w:r>
      <w:hyperlink r:id="rId46">
        <w:r>
          <w:rPr>
            <w:color w:val="1F4E79"/>
            <w:u w:val="single"/>
          </w:rPr>
          <w:t>https://doi.org/10.1177/17531934231160380</w:t>
        </w:r>
      </w:hyperlink>
    </w:p>
    <w:p>
      <w:pPr>
        <w:pStyle w:val="Reference"/>
      </w:pPr>
      <w:r>
        <w:t xml:space="preserve">37. Reigstad O, Holm-Glad T, Korslund J, Myhre C, Thorkildsen R, Rokkum M. Long-term outcomes of wrist arthroplasty using the ReMotion implant in non-inflammatory wrist pathology. Journal of Hand Surgery Asian-Pacific Volume. 2024;29(3):200-210. DOI: </w:t>
      </w:r>
      <w:hyperlink r:id="rId47">
        <w:r>
          <w:rPr>
            <w:color w:val="1F4E79"/>
            <w:u w:val="single"/>
          </w:rPr>
          <w:t>https://doi.org/10.1142/S2424835524500218</w:t>
        </w:r>
      </w:hyperlink>
    </w:p>
    <w:p>
      <w:pPr>
        <w:pStyle w:val="Reference"/>
      </w:pPr>
      <w:r>
        <w:t xml:space="preserve">38. Sagerfors M, Gupta A, Brus O, Rizzo M, Pettersson K. Total wrist arthroplasty: a single-center study of 219 cases with 5-year follow-up. Journal of Hand Surgery American Volume. 2015;40(12):2380-2387. DOI: </w:t>
      </w:r>
      <w:hyperlink r:id="rId48">
        <w:r>
          <w:rPr>
            <w:color w:val="1F4E79"/>
            <w:u w:val="single"/>
          </w:rPr>
          <w:t>https://doi.org/10.1016/j.jhsa.2015.09.016</w:t>
        </w:r>
      </w:hyperlink>
    </w:p>
    <w:p>
      <w:pPr>
        <w:pStyle w:val="Reference"/>
      </w:pPr>
      <w:r>
        <w:t xml:space="preserve">39. Cash T, Talwalkar S. Revision wrist arthroplasty strategies. Journal of Hand Surgery European Volume. 2025;50(1):42-49. DOI: </w:t>
      </w:r>
      <w:hyperlink r:id="rId49">
        <w:r>
          <w:rPr>
            <w:color w:val="1F4E79"/>
            <w:u w:val="single"/>
          </w:rPr>
          <w:t>https://doi.org/10.1177/17531934241297843</w:t>
        </w:r>
      </w:hyperlink>
    </w:p>
    <w:p>
      <w:pPr>
        <w:pStyle w:val="Reference"/>
      </w:pPr>
      <w:r>
        <w:t xml:space="preserve">40. Berber O, Gidwani S, Garagnani L. Salvage of the failed total wrist arthroplasty: a systematic review. Journal of Wrist Surgery. 2020;9(5):446-456. DOI: </w:t>
      </w:r>
      <w:hyperlink r:id="rId50">
        <w:r>
          <w:rPr>
            <w:color w:val="1F4E79"/>
            <w:u w:val="single"/>
          </w:rPr>
          <w:t>https://doi.org/10.1055/s-0040-1713728</w:t>
        </w:r>
      </w:hyperlink>
    </w:p>
    <w:p>
      <w:pPr>
        <w:pStyle w:val="Reference"/>
      </w:pPr>
      <w:r>
        <w:t xml:space="preserve">41. Sarkalkan N, Weinans H, Zadpoor AA. Statistical shape and appearance models of bones. Bone. 2014;60:129-140. DOI: </w:t>
      </w:r>
      <w:hyperlink r:id="rId51">
        <w:r>
          <w:rPr>
            <w:color w:val="1F4E79"/>
            <w:u w:val="single"/>
          </w:rPr>
          <w:t>https://doi.org/10.1016/j.bone.2013.12.006</w:t>
        </w:r>
      </w:hyperlink>
    </w:p>
    <w:p>
      <w:pPr>
        <w:pStyle w:val="Reference"/>
      </w:pPr>
      <w:r>
        <w:t xml:space="preserve">42. Cai X, Wu Y, Huang J, Wang L, Xu Y, Lu S. Application of statistical shape models in orthopedics: a narrative review. Intelligent Medicine. 2024;4(4):249-255. DOI: </w:t>
      </w:r>
      <w:hyperlink r:id="rId52">
        <w:r>
          <w:rPr>
            <w:color w:val="1F4E79"/>
            <w:u w:val="single"/>
          </w:rPr>
          <w:t>https://doi.org/10.1016/j.imed.2024.05.001</w:t>
        </w:r>
      </w:hyperlink>
    </w:p>
    <w:p>
      <w:pPr>
        <w:pStyle w:val="Reference"/>
      </w:pPr>
      <w:r>
        <w:t xml:space="preserve">43. Zheng G, Gollmer S, Schumann S, Dong X, Feilkas T, Gonzalez Ballester MA. Automatic inference and measurement of 3D carpal bone kinematics from single view fluoroscopic sequences. IEEE Transactions on Medical Imaging. 2013;32(2):317-328. DOI: </w:t>
      </w:r>
      <w:hyperlink r:id="rId53">
        <w:r>
          <w:rPr>
            <w:color w:val="1F4E79"/>
            <w:u w:val="single"/>
          </w:rPr>
          <w:t>https://doi.org/10.1109/TMI.2012.2226740</w:t>
        </w:r>
      </w:hyperlink>
    </w:p>
    <w:p>
      <w:pPr>
        <w:pStyle w:val="Reference"/>
      </w:pPr>
      <w:r>
        <w:t xml:space="preserve">44. Mani G, Porter D, Collins S, Schatz T, Ornberg A, Shulfer R. A review on manufacturing processes of cobalt-chromium alloy implants and its impact on corrosion resistance and biocompatibility. Journal of Biomedical Materials Research Part B Applied Biomaterials. 2024;112. DOI: </w:t>
      </w:r>
      <w:hyperlink r:id="rId54">
        <w:r>
          <w:rPr>
            <w:color w:val="1F4E79"/>
            <w:u w:val="single"/>
          </w:rPr>
          <w:t>https://doi.org/10.1002/jbm.b.35431</w:t>
        </w:r>
      </w:hyperlink>
    </w:p>
    <w:p>
      <w:pPr>
        <w:pStyle w:val="Reference"/>
      </w:pPr>
      <w:r>
        <w:t xml:space="preserve">45. Abd-Elaziem W, Darwish MA, Hamada A, Daoush WM. Titanium-based alloys and composites for orthopedic implant applications: a comprehensive review. Materials and Design. 2024;241:112850. DOI: </w:t>
      </w:r>
      <w:hyperlink r:id="rId55">
        <w:r>
          <w:rPr>
            <w:color w:val="1F4E79"/>
            <w:u w:val="single"/>
          </w:rPr>
          <w:t>https://doi.org/10.1016/j.matdes.2024.112850</w:t>
        </w:r>
      </w:hyperlink>
    </w:p>
    <w:p>
      <w:pPr>
        <w:pStyle w:val="Reference"/>
      </w:pPr>
      <w:r>
        <w:t xml:space="preserve">46. Wang X, Xu S, Zhou S, et al. Topological design and additive manufacturing of porous metals for bone scaffolds and orthopaedic implants: a review. Biomaterials. 2016;83:127-141. DOI: </w:t>
      </w:r>
      <w:hyperlink r:id="rId56">
        <w:r>
          <w:rPr>
            <w:color w:val="1F4E79"/>
            <w:u w:val="single"/>
          </w:rPr>
          <w:t>https://doi.org/10.1016/j.biomaterials.2016.01.012</w:t>
        </w:r>
      </w:hyperlink>
    </w:p>
    <w:p>
      <w:pPr>
        <w:pStyle w:val="Reference"/>
      </w:pPr>
      <w:r>
        <w:t xml:space="preserve">47. Wang A, Essner A, Polineni VK, Stark C, Dumbleton JH. Lubrication and wear of ultra-high molecular weight polyethylene in total joint replacements. Tribology International. 1998;31(1-3):17-33. DOI: </w:t>
      </w:r>
      <w:hyperlink r:id="rId57">
        <w:r>
          <w:rPr>
            <w:color w:val="1F4E79"/>
            <w:u w:val="single"/>
          </w:rPr>
          <w:t>https://doi.org/10.1016/S0301-679X(98)00005-X</w:t>
        </w:r>
      </w:hyperlink>
    </w:p>
    <w:p>
      <w:pPr>
        <w:pStyle w:val="Reference"/>
      </w:pPr>
      <w:r>
        <w:t xml:space="preserve">48. Bracco P, Oral E. Vitamin E-stabilized UHMWPE for total joint implants: a review. Clinical Orthopaedics and Related Research. 2011;469(8):2286-2293. DOI: </w:t>
      </w:r>
      <w:hyperlink r:id="rId58">
        <w:r>
          <w:rPr>
            <w:color w:val="1F4E79"/>
            <w:u w:val="single"/>
          </w:rPr>
          <w:t>https://doi.org/10.1007/s11999-010-1717-6</w:t>
        </w:r>
      </w:hyperlink>
    </w:p>
    <w:p>
      <w:pPr>
        <w:pStyle w:val="Reference"/>
      </w:pPr>
      <w:r>
        <w:t xml:space="preserve">49. Huang H, Liu X, Wang J, et al. Strategies to improve the performance of polyetheretherketone as orthopedic implants: from surface modification to addition of bioactive materials. Journal of Materials Chemistry B. 2024;12:4533-4552. DOI: </w:t>
      </w:r>
      <w:hyperlink r:id="rId59">
        <w:r>
          <w:rPr>
            <w:color w:val="1F4E79"/>
            <w:u w:val="single"/>
          </w:rPr>
          <w:t>https://doi.org/10.1039/D3TB02740F</w:t>
        </w:r>
      </w:hyperlink>
    </w:p>
    <w:p>
      <w:pPr>
        <w:pStyle w:val="Reference"/>
      </w:pPr>
      <w:r>
        <w:t xml:space="preserve">50. Zhao K, Breighner R, Holmes D 3rd, Leng S, McCollough C, An KN. A technique for quantifying wrist motion using four-dimensional computed tomography: approach and validation. Journal of Biomechanical Engineering. 2015;137(7):074501. DOI: </w:t>
      </w:r>
      <w:hyperlink r:id="rId60">
        <w:r>
          <w:rPr>
            <w:color w:val="1F4E79"/>
            <w:u w:val="single"/>
          </w:rPr>
          <w:t>https://doi.org/10.1115/1.4030405</w:t>
        </w:r>
      </w:hyperlink>
    </w:p>
    <w:p>
      <w:pPr>
        <w:pStyle w:val="Reference"/>
      </w:pPr>
      <w:r>
        <w:t xml:space="preserve">51. Dobbe JGG, de Roo MGA, Visschers JC, Strackee SD, Streekstra GJ. Evaluation of a quantitative method for carpal motion analysis using clinical 3-D and 4-D CT protocols. IEEE Transactions on Medical Imaging. 2019;38(4):1048-1057. DOI: </w:t>
      </w:r>
      <w:hyperlink r:id="rId61">
        <w:r>
          <w:rPr>
            <w:color w:val="1F4E79"/>
            <w:u w:val="single"/>
          </w:rPr>
          <w:t>https://doi.org/10.1109/TMI.2018.2877503</w:t>
        </w:r>
      </w:hyperlink>
    </w:p>
    <w:p>
      <w:pPr>
        <w:pStyle w:val="Reference"/>
      </w:pPr>
      <w:r>
        <w:t xml:space="preserve">52. Brinkhorst M, Foumani M, van Rosmalen J, Selles R, Hovius S, Strackee S, Streekstra G. Quantifying in vivo scaphoid, lunate, and capitate kinematics using four-dimensional computed tomography. Skeletal Radiology. 2021;50(2):351-359. DOI: </w:t>
      </w:r>
      <w:hyperlink r:id="rId62">
        <w:r>
          <w:rPr>
            <w:color w:val="1F4E79"/>
            <w:u w:val="single"/>
          </w:rPr>
          <w:t>https://doi.org/10.1007/s00256-020-03543-4</w:t>
        </w:r>
      </w:hyperlink>
    </w:p>
    <w:p>
      <w:pPr>
        <w:pStyle w:val="Reference"/>
      </w:pPr>
      <w:r>
        <w:t xml:space="preserve">53. Zarenia M, Arpinar VE, et al. Dynamic tracking of scaphoid, lunate, and capitate carpal bones using four-dimensional MRI. PLOS ONE. 2022;17(6):e0269336. DOI: </w:t>
      </w:r>
      <w:hyperlink r:id="rId63">
        <w:r>
          <w:rPr>
            <w:color w:val="1F4E79"/>
            <w:u w:val="single"/>
          </w:rPr>
          <w:t>https://doi.org/10.1371/journal.pone.0269336</w:t>
        </w:r>
      </w:hyperlink>
    </w:p>
    <w:p>
      <w:pPr>
        <w:pStyle w:val="Reference"/>
      </w:pPr>
      <w:r>
        <w:t xml:space="preserve">54. Teule EHS, Lessmann N, van der Heijden EPA, Hummelink S. Automatic segmentation and labelling of wrist bones in four-dimensional computed tomography datasets via deep learning. Journal of Hand Surgery European Volume. 2024;49(4):507-509. DOI: </w:t>
      </w:r>
      <w:hyperlink r:id="rId64">
        <w:r>
          <w:rPr>
            <w:color w:val="1F4E79"/>
            <w:u w:val="single"/>
          </w:rPr>
          <w:t>https://doi.org/10.1177/17531934231209876</w:t>
        </w:r>
      </w:hyperlink>
    </w:p>
    <w:p>
      <w:pPr>
        <w:pStyle w:val="Reference"/>
      </w:pPr>
      <w:r>
        <w:t xml:space="preserve">55. Anas EMA, Rasoulian A, Seitel A, et al. Automatic segmentation of wrist bones in CT using a Statistical Wrist Shape + Pose Model. IEEE Transactions on Medical Imaging. 2016;35(8):1789-1801. DOI: </w:t>
      </w:r>
      <w:hyperlink r:id="rId65">
        <w:r>
          <w:rPr>
            <w:color w:val="1F4E79"/>
            <w:u w:val="single"/>
          </w:rPr>
          <w:t>https://doi.org/10.1109/TMI.2016.2529500</w:t>
        </w:r>
      </w:hyperlink>
    </w:p>
    <w:p>
      <w:pPr>
        <w:pStyle w:val="Reference"/>
      </w:pPr>
      <w:r>
        <w:t xml:space="preserve">56. Foster B, Joshi AA, Borgese M, Abdelhafez Y, Boutin RD, Chaudhari AJ. WRIST: a wrist image segmentation toolkit for carpal bone delineation from MRI. Computerized Medical Imaging and Graphics. 2018;63:31-40. DOI: </w:t>
      </w:r>
      <w:hyperlink r:id="rId66">
        <w:r>
          <w:rPr>
            <w:color w:val="1F4E79"/>
            <w:u w:val="single"/>
          </w:rPr>
          <w:t>https://doi.org/10.1016/j.compmedimag.2017.12.003</w:t>
        </w:r>
      </w:hyperlink>
    </w:p>
    <w:p>
      <w:pPr>
        <w:pStyle w:val="Reference"/>
      </w:pPr>
      <w:r>
        <w:t xml:space="preserve">57. Brui E, Efimtcev AY, Fokin VA, et al. Deep learning-based fully automatic segmentation of wrist cartilage in MR images. NMR in Biomedicine. 2020;33(8):e4320. DOI: </w:t>
      </w:r>
      <w:hyperlink r:id="rId67">
        <w:r>
          <w:rPr>
            <w:color w:val="1F4E79"/>
            <w:u w:val="single"/>
          </w:rPr>
          <w:t>https://doi.org/10.1002/nbm.4320</w:t>
        </w:r>
      </w:hyperlink>
    </w:p>
    <w:p>
      <w:pPr>
        <w:pStyle w:val="Reference"/>
      </w:pPr>
      <w:r>
        <w:t xml:space="preserve">58. van de Giessen M, Foumani M, Streekstra GJ, et al. Statistical descriptions of scaphoid and lunate bone shapes. Journal of Biomechanics. 2010;43(8):1463-1469. DOI: </w:t>
      </w:r>
      <w:hyperlink r:id="rId68">
        <w:r>
          <w:rPr>
            <w:color w:val="1F4E79"/>
            <w:u w:val="single"/>
          </w:rPr>
          <w:t>https://doi.org/10.1016/j.jbiomech.2010.02.006</w:t>
        </w:r>
      </w:hyperlink>
    </w:p>
    <w:p>
      <w:pPr>
        <w:pStyle w:val="Reference"/>
      </w:pPr>
      <w:r>
        <w:t xml:space="preserve">59. Trentadue TP, Thoreson A, Lopez C, et al. Morphology of the scaphotrapeziotrapezoid joint: a multi-domain statistical shape modeling approach. Journal of Orthopaedic Research. 2024;42(11):2562-2574. DOI: </w:t>
      </w:r>
      <w:hyperlink r:id="rId69">
        <w:r>
          <w:rPr>
            <w:color w:val="1F4E79"/>
            <w:u w:val="single"/>
          </w:rPr>
          <w:t>https://doi.org/10.1002/jor.25918</w:t>
        </w:r>
      </w:hyperlink>
    </w:p>
    <w:p>
      <w:pPr>
        <w:pStyle w:val="Reference"/>
      </w:pPr>
      <w:r>
        <w:t xml:space="preserve">60. Cai X, Wang B, Zhang B, et al. Safety and efficacy of a novel three-dimensional printed microporous titanium prosthesis for total wrist arthroplasty in the treatment of end-stage wrist arthritis. Frontiers in Bioengineering and Biotechnology. 2023;10:1119720. DOI: </w:t>
      </w:r>
      <w:hyperlink r:id="rId70">
        <w:r>
          <w:rPr>
            <w:color w:val="1F4E79"/>
            <w:u w:val="single"/>
          </w:rPr>
          <w:t>https://doi.org/10.3389/fbioe.2022.1119720</w:t>
        </w:r>
      </w:hyperlink>
    </w:p>
    <w:p>
      <w:pPr>
        <w:pStyle w:val="Reference"/>
      </w:pPr>
      <w:r>
        <w:t xml:space="preserve">61. Zhang C, Chen H, Fan H, et al. Carpal bone replacement using personalized 3D printed tantalum prosthesis. Frontiers in Bioengineering and Biotechnology. 2023;11:1234052. DOI: </w:t>
      </w:r>
      <w:hyperlink r:id="rId71">
        <w:r>
          <w:rPr>
            <w:color w:val="1F4E79"/>
            <w:u w:val="single"/>
          </w:rPr>
          <w:t>https://doi.org/10.3389/fbioe.2023.1234052</w:t>
        </w:r>
      </w:hyperlink>
    </w:p>
    <w:p>
      <w:pPr>
        <w:pStyle w:val="Reference"/>
      </w:pPr>
      <w:r>
        <w:t xml:space="preserve">62. Cioffi A, Rovere G, Bosco F, et al. Treatment of scaphoid non-unions with custom-made 3D-printed titanium partial and total scaphoid prostheses and scaphoid interosseous ligament reconstruction. Healthcare. 2023;11(24):3123. DOI: </w:t>
      </w:r>
      <w:hyperlink r:id="rId72">
        <w:r>
          <w:rPr>
            <w:color w:val="1F4E79"/>
            <w:u w:val="single"/>
          </w:rPr>
          <w:t>https://doi.org/10.3390/healthcare11243123</w:t>
        </w:r>
      </w:hyperlink>
    </w:p>
    <w:p>
      <w:pPr>
        <w:pStyle w:val="Reference"/>
      </w:pPr>
      <w:r>
        <w:t xml:space="preserve">63. Falcinelli C, Valente F, Vasta M, Traini T. Finite element analysis in implant dentistry: state of the art and future directions. Dental Materials. 2023;39(6):539-556. DOI: </w:t>
      </w:r>
      <w:hyperlink r:id="rId73">
        <w:r>
          <w:rPr>
            <w:color w:val="1F4E79"/>
            <w:u w:val="single"/>
          </w:rPr>
          <w:t>https://doi.org/10.1016/j.dental.2023.04.002</w:t>
        </w:r>
      </w:hyperlink>
    </w:p>
    <w:sectPr w:rsidR="00FC693F" w:rsidRPr="0006063C" w:rsidSect="00034616">
      <w:headerReference w:type="default" r:id="rId9"/>
      <w:footerReference w:type="default" r:id="rId10"/>
      <w:pgSz w:w="11909" w:h="16834"/>
      <w:pgMar w:top="1037" w:right="1181" w:bottom="965"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05050"/>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6984"/>
      <w:gridCol w:w="2563"/>
    </w:tblGrid>
    <w:tr>
      <w:tc>
        <w:tcPr>
          <w:tcW w:type="dxa" w:w="4774"/>
          <w:tcMar>
            <w:top w:w="0" w:type="dxa"/>
            <w:start w:w="0" w:type="dxa"/>
            <w:bottom w:w="0" w:type="dxa"/>
            <w:end w:w="0" w:type="dxa"/>
          </w:tcMar>
        </w:tcPr>
        <w:p>
          <w:r>
            <w:rPr>
              <w:rFonts w:ascii="Arial" w:hAnsi="Arial" w:eastAsia="Arial"/>
              <w:b/>
              <w:color w:val="465056"/>
              <w:sz w:val="15"/>
            </w:rPr>
            <w:t>TOTAL WRIST ARTHROPLASTY</w:t>
          </w:r>
        </w:p>
      </w:tc>
      <w:tc>
        <w:tcPr>
          <w:tcW w:type="dxa" w:w="4774"/>
          <w:tcMar>
            <w:top w:w="0" w:type="dxa"/>
            <w:start w:w="0" w:type="dxa"/>
            <w:bottom w:w="0" w:type="dxa"/>
            <w:end w:w="0" w:type="dxa"/>
          </w:tcMar>
        </w:tcPr>
        <w:p>
          <w:pPr>
            <w:jc w:val="right"/>
          </w:pPr>
          <w:r>
            <w:rPr>
              <w:rFonts w:ascii="Arial" w:hAnsi="Arial" w:eastAsia="Arial"/>
              <w:b/>
              <w:color w:val="465056"/>
              <w:sz w:val="15"/>
            </w:rPr>
            <w:t>NARRATIVE REVIEW</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90"/>
      <w:jc w:val="both"/>
    </w:pPr>
    <w:rPr>
      <w:rFonts w:ascii="Times New Roman" w:hAnsi="Times New Roman" w:eastAsia="Times New Roman"/>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eastAsia="Arial"/>
      <w:b/>
      <w:bCs/>
      <w:color w:val="0F2332"/>
      <w:sz w:val="27"/>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223A49"/>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223A4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jc w:val="left"/>
    </w:pPr>
    <w:rPr>
      <w:rFonts w:asciiTheme="majorHAnsi" w:eastAsiaTheme="majorEastAsia" w:hAnsiTheme="majorHAnsi" w:cstheme="majorBidi" w:ascii="Arial" w:hAnsi="Arial" w:eastAsia="Arial"/>
      <w:b/>
      <w:color w:val="0F2332"/>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 Text"/>
    <w:basedOn w:val="Normal"/>
    <w:pPr>
      <w:spacing w:line="252" w:lineRule="auto" w:after="120"/>
      <w:jc w:val="both"/>
    </w:pPr>
    <w:rPr>
      <w:rFonts w:ascii="Times New Roman" w:hAnsi="Times New Roman" w:eastAsia="Times New Roman"/>
      <w:sz w:val="19"/>
    </w:rPr>
  </w:style>
  <w:style w:type="paragraph" w:customStyle="1" w:styleId="Reference">
    <w:name w:val="Reference"/>
    <w:basedOn w:val="Normal"/>
    <w:pPr>
      <w:spacing w:line="240" w:lineRule="auto" w:after="48"/>
      <w:ind w:left="317" w:hanging="317"/>
    </w:pPr>
    <w:rPr>
      <w:rFonts w:ascii="Times New Roman" w:hAnsi="Times New Roman" w:eastAsia="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77/17531934241276383" TargetMode="External"/><Relationship Id="rId12" Type="http://schemas.openxmlformats.org/officeDocument/2006/relationships/hyperlink" Target="https://doi.org/10.1016/j.jor.2026.04.001" TargetMode="External"/><Relationship Id="rId13" Type="http://schemas.openxmlformats.org/officeDocument/2006/relationships/hyperlink" Target="https://doi.org/10.1055/s-0038-1646956" TargetMode="External"/><Relationship Id="rId14" Type="http://schemas.openxmlformats.org/officeDocument/2006/relationships/hyperlink" Target="https://doi.org/10.1055/s-0041-1735840" TargetMode="External"/><Relationship Id="rId15" Type="http://schemas.openxmlformats.org/officeDocument/2006/relationships/hyperlink" Target="https://doi.org/10.2106/JBJS.OA.23.00081" TargetMode="External"/><Relationship Id="rId16" Type="http://schemas.openxmlformats.org/officeDocument/2006/relationships/hyperlink" Target="https://doi.org/10.1177/17531934231209638" TargetMode="External"/><Relationship Id="rId17" Type="http://schemas.openxmlformats.org/officeDocument/2006/relationships/hyperlink" Target="https://doi.org/10.3390/life12020188" TargetMode="External"/><Relationship Id="rId18" Type="http://schemas.openxmlformats.org/officeDocument/2006/relationships/hyperlink" Target="https://doi.org/10.1016/S0894-1130(96)80066-4" TargetMode="External"/><Relationship Id="rId19" Type="http://schemas.openxmlformats.org/officeDocument/2006/relationships/hyperlink" Target="https://doi.org/10.1016/j.jhsa.2007.08.014" TargetMode="External"/><Relationship Id="rId20" Type="http://schemas.openxmlformats.org/officeDocument/2006/relationships/hyperlink" Target="https://doi.org/10.1016/j.jhsa.2014.02.035" TargetMode="External"/><Relationship Id="rId21" Type="http://schemas.openxmlformats.org/officeDocument/2006/relationships/hyperlink" Target="https://doi.org/10.1016/j.jbiomech.2006.10.041" TargetMode="External"/><Relationship Id="rId22" Type="http://schemas.openxmlformats.org/officeDocument/2006/relationships/hyperlink" Target="https://doi.org/10.1002/jor.24435" TargetMode="External"/><Relationship Id="rId23" Type="http://schemas.openxmlformats.org/officeDocument/2006/relationships/hyperlink" Target="https://doi.org/10.1115/1.1894370" TargetMode="External"/><Relationship Id="rId24" Type="http://schemas.openxmlformats.org/officeDocument/2006/relationships/hyperlink" Target="https://doi.org/10.1115/1.4042769" TargetMode="External"/><Relationship Id="rId25" Type="http://schemas.openxmlformats.org/officeDocument/2006/relationships/hyperlink" Target="https://doi.org/10.3791/62102" TargetMode="External"/><Relationship Id="rId26" Type="http://schemas.openxmlformats.org/officeDocument/2006/relationships/hyperlink" Target="https://doi.org/10.1186/s13018-026-06810-7" TargetMode="External"/><Relationship Id="rId27" Type="http://schemas.openxmlformats.org/officeDocument/2006/relationships/hyperlink" Target="https://doi.org/10.3390/life12040581" TargetMode="External"/><Relationship Id="rId28" Type="http://schemas.openxmlformats.org/officeDocument/2006/relationships/hyperlink" Target="https://doi.org/10.1080/10255842.2018.1490952" TargetMode="External"/><Relationship Id="rId29" Type="http://schemas.openxmlformats.org/officeDocument/2006/relationships/hyperlink" Target="https://doi.org/10.1177/0954411916632791" TargetMode="External"/><Relationship Id="rId30" Type="http://schemas.openxmlformats.org/officeDocument/2006/relationships/hyperlink" Target="https://doi.org/10.1016/j.jbiomech.2017.04.024" TargetMode="External"/><Relationship Id="rId31" Type="http://schemas.openxmlformats.org/officeDocument/2006/relationships/hyperlink" Target="https://doi.org/10.1080/10255842.2017.1336548" TargetMode="External"/><Relationship Id="rId32" Type="http://schemas.openxmlformats.org/officeDocument/2006/relationships/hyperlink" Target="https://doi.org/10.1142/S0218957712500212" TargetMode="External"/><Relationship Id="rId33" Type="http://schemas.openxmlformats.org/officeDocument/2006/relationships/hyperlink" Target="https://doi.org/10.1055/s-0035-1549288" TargetMode="External"/><Relationship Id="rId34" Type="http://schemas.openxmlformats.org/officeDocument/2006/relationships/hyperlink" Target="https://doi.org/10.1002/jor.24717" TargetMode="External"/><Relationship Id="rId35" Type="http://schemas.openxmlformats.org/officeDocument/2006/relationships/hyperlink" Target="https://doi.org/10.1016/j.jbiomech.2021.110420" TargetMode="External"/><Relationship Id="rId36" Type="http://schemas.openxmlformats.org/officeDocument/2006/relationships/hyperlink" Target="https://doi.org/10.1055/s-0041-1725172" TargetMode="External"/><Relationship Id="rId37" Type="http://schemas.openxmlformats.org/officeDocument/2006/relationships/hyperlink" Target="https://doi.org/10.7717/peerj.17179" TargetMode="External"/><Relationship Id="rId38" Type="http://schemas.openxmlformats.org/officeDocument/2006/relationships/hyperlink" Target="https://doi.org/10.1016/j.jhsa.2024.12.006" TargetMode="External"/><Relationship Id="rId39" Type="http://schemas.openxmlformats.org/officeDocument/2006/relationships/hyperlink" Target="https://doi.org/10.1177/17531934241274135" TargetMode="External"/><Relationship Id="rId40" Type="http://schemas.openxmlformats.org/officeDocument/2006/relationships/hyperlink" Target="https://doi.org/10.1177/17531934251378987" TargetMode="External"/><Relationship Id="rId41" Type="http://schemas.openxmlformats.org/officeDocument/2006/relationships/hyperlink" Target="https://doi.org/10.1016/j.jhsa.2026.06.005" TargetMode="External"/><Relationship Id="rId42" Type="http://schemas.openxmlformats.org/officeDocument/2006/relationships/hyperlink" Target="https://doi.org/10.1302/2046-3758.153.BJR-2024-0425.R3" TargetMode="External"/><Relationship Id="rId43" Type="http://schemas.openxmlformats.org/officeDocument/2006/relationships/hyperlink" Target="https://doi.org/10.1111/os.70030" TargetMode="External"/><Relationship Id="rId44" Type="http://schemas.openxmlformats.org/officeDocument/2006/relationships/hyperlink" Target="https://doi.org/10.3390/life12030411" TargetMode="External"/><Relationship Id="rId45" Type="http://schemas.openxmlformats.org/officeDocument/2006/relationships/hyperlink" Target="https://doi.org/10.1016/j.ocl.2015.08.018" TargetMode="External"/><Relationship Id="rId46" Type="http://schemas.openxmlformats.org/officeDocument/2006/relationships/hyperlink" Target="https://doi.org/10.1177/17531934231160380" TargetMode="External"/><Relationship Id="rId47" Type="http://schemas.openxmlformats.org/officeDocument/2006/relationships/hyperlink" Target="https://doi.org/10.1142/S2424835524500218" TargetMode="External"/><Relationship Id="rId48" Type="http://schemas.openxmlformats.org/officeDocument/2006/relationships/hyperlink" Target="https://doi.org/10.1016/j.jhsa.2015.09.016" TargetMode="External"/><Relationship Id="rId49" Type="http://schemas.openxmlformats.org/officeDocument/2006/relationships/hyperlink" Target="https://doi.org/10.1177/17531934241297843" TargetMode="External"/><Relationship Id="rId50" Type="http://schemas.openxmlformats.org/officeDocument/2006/relationships/hyperlink" Target="https://doi.org/10.1055/s-0040-1713728" TargetMode="External"/><Relationship Id="rId51" Type="http://schemas.openxmlformats.org/officeDocument/2006/relationships/hyperlink" Target="https://doi.org/10.1016/j.bone.2013.12.006" TargetMode="External"/><Relationship Id="rId52" Type="http://schemas.openxmlformats.org/officeDocument/2006/relationships/hyperlink" Target="https://doi.org/10.1016/j.imed.2024.05.001" TargetMode="External"/><Relationship Id="rId53" Type="http://schemas.openxmlformats.org/officeDocument/2006/relationships/hyperlink" Target="https://doi.org/10.1109/TMI.2012.2226740" TargetMode="External"/><Relationship Id="rId54" Type="http://schemas.openxmlformats.org/officeDocument/2006/relationships/hyperlink" Target="https://doi.org/10.1002/jbm.b.35431" TargetMode="External"/><Relationship Id="rId55" Type="http://schemas.openxmlformats.org/officeDocument/2006/relationships/hyperlink" Target="https://doi.org/10.1016/j.matdes.2024.112850" TargetMode="External"/><Relationship Id="rId56" Type="http://schemas.openxmlformats.org/officeDocument/2006/relationships/hyperlink" Target="https://doi.org/10.1016/j.biomaterials.2016.01.012" TargetMode="External"/><Relationship Id="rId57" Type="http://schemas.openxmlformats.org/officeDocument/2006/relationships/hyperlink" Target="https://doi.org/10.1016/S0301-679X(98)00005-X" TargetMode="External"/><Relationship Id="rId58" Type="http://schemas.openxmlformats.org/officeDocument/2006/relationships/hyperlink" Target="https://doi.org/10.1007/s11999-010-1717-6" TargetMode="External"/><Relationship Id="rId59" Type="http://schemas.openxmlformats.org/officeDocument/2006/relationships/hyperlink" Target="https://doi.org/10.1039/D3TB02740F" TargetMode="External"/><Relationship Id="rId60" Type="http://schemas.openxmlformats.org/officeDocument/2006/relationships/hyperlink" Target="https://doi.org/10.1115/1.4030405" TargetMode="External"/><Relationship Id="rId61" Type="http://schemas.openxmlformats.org/officeDocument/2006/relationships/hyperlink" Target="https://doi.org/10.1109/TMI.2018.2877503" TargetMode="External"/><Relationship Id="rId62" Type="http://schemas.openxmlformats.org/officeDocument/2006/relationships/hyperlink" Target="https://doi.org/10.1007/s00256-020-03543-4" TargetMode="External"/><Relationship Id="rId63" Type="http://schemas.openxmlformats.org/officeDocument/2006/relationships/hyperlink" Target="https://doi.org/10.1371/journal.pone.0269336" TargetMode="External"/><Relationship Id="rId64" Type="http://schemas.openxmlformats.org/officeDocument/2006/relationships/hyperlink" Target="https://doi.org/10.1177/17531934231209876" TargetMode="External"/><Relationship Id="rId65" Type="http://schemas.openxmlformats.org/officeDocument/2006/relationships/hyperlink" Target="https://doi.org/10.1109/TMI.2016.2529500" TargetMode="External"/><Relationship Id="rId66" Type="http://schemas.openxmlformats.org/officeDocument/2006/relationships/hyperlink" Target="https://doi.org/10.1016/j.compmedimag.2017.12.003" TargetMode="External"/><Relationship Id="rId67" Type="http://schemas.openxmlformats.org/officeDocument/2006/relationships/hyperlink" Target="https://doi.org/10.1002/nbm.4320" TargetMode="External"/><Relationship Id="rId68" Type="http://schemas.openxmlformats.org/officeDocument/2006/relationships/hyperlink" Target="https://doi.org/10.1016/j.jbiomech.2010.02.006" TargetMode="External"/><Relationship Id="rId69" Type="http://schemas.openxmlformats.org/officeDocument/2006/relationships/hyperlink" Target="https://doi.org/10.1002/jor.25918" TargetMode="External"/><Relationship Id="rId70" Type="http://schemas.openxmlformats.org/officeDocument/2006/relationships/hyperlink" Target="https://doi.org/10.3389/fbioe.2022.1119720" TargetMode="External"/><Relationship Id="rId71" Type="http://schemas.openxmlformats.org/officeDocument/2006/relationships/hyperlink" Target="https://doi.org/10.3389/fbioe.2023.1234052" TargetMode="External"/><Relationship Id="rId72" Type="http://schemas.openxmlformats.org/officeDocument/2006/relationships/hyperlink" Target="https://doi.org/10.3390/healthcare11243123" TargetMode="External"/><Relationship Id="rId73" Type="http://schemas.openxmlformats.org/officeDocument/2006/relationships/hyperlink" Target="https://doi.org/10.1016/j.dental.2023.04.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Wrist Arthroplasty: State of the Art in Biomechanical Modelling and Patient-Specific Design</dc:title>
  <dc:subject>Total wrist arthroplasty biomechanics and implant design</dc:subject>
  <dc:creator/>
  <cp:keywords>total wrist arthroplasty, biomechanics, kinematics, implant design</cp:keywords>
  <dc:description>generated by python-docx</dc:description>
  <cp:lastModifiedBy/>
  <cp:revision>1</cp:revision>
  <dcterms:created xsi:type="dcterms:W3CDTF">2013-12-23T23:15:00Z</dcterms:created>
  <dcterms:modified xsi:type="dcterms:W3CDTF">2013-12-23T23:15:00Z</dcterms:modified>
  <cp:category/>
</cp:coreProperties>
</file>