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C0C2F5" w14:textId="77777777" w:rsidR="00C521CB" w:rsidRDefault="00923650">
      <w:pPr>
        <w:pStyle w:val="aa"/>
      </w:pPr>
      <w:r>
        <w:t>Designing a Total Wrist Arthroplasty: A Biomechanics-Driven Image-to-Implant Framework</w:t>
      </w:r>
    </w:p>
    <w:p w14:paraId="02041064" w14:textId="77777777" w:rsidR="00C521CB" w:rsidRDefault="00923650">
      <w:pPr>
        <w:ind w:firstLine="317"/>
      </w:pPr>
      <w:r>
        <w:t>Narrative review | A biomechanics-driven image-to-implant framework | Literature coverage through September 2026</w:t>
      </w:r>
    </w:p>
    <w:tbl>
      <w:tblPr>
        <w:tblW w:w="0" w:type="auto"/>
        <w:tblLayout w:type="fixed"/>
        <w:tblLook w:val="04A0" w:firstRow="1" w:lastRow="0" w:firstColumn="1" w:lastColumn="0" w:noHBand="0" w:noVBand="1"/>
      </w:tblPr>
      <w:tblGrid>
        <w:gridCol w:w="4781"/>
        <w:gridCol w:w="4781"/>
      </w:tblGrid>
      <w:tr w:rsidR="00C521CB" w14:paraId="0CD177D4" w14:textId="77777777">
        <w:tc>
          <w:tcPr>
            <w:tcW w:w="4781" w:type="dxa"/>
            <w:shd w:val="clear" w:color="auto" w:fill="E8EEF2"/>
            <w:tcMar>
              <w:top w:w="70" w:type="dxa"/>
              <w:left w:w="90" w:type="dxa"/>
              <w:bottom w:w="70" w:type="dxa"/>
              <w:right w:w="90" w:type="dxa"/>
            </w:tcMar>
          </w:tcPr>
          <w:p w14:paraId="70F58891" w14:textId="77777777" w:rsidR="00C521CB" w:rsidRDefault="00923650">
            <w:r>
              <w:rPr>
                <w:rFonts w:ascii="Arial" w:eastAsia="Arial" w:hAnsi="Arial"/>
                <w:b/>
                <w:color w:val="223A49"/>
                <w:sz w:val="15"/>
              </w:rPr>
              <w:t>MAIN TEXT</w:t>
            </w:r>
          </w:p>
        </w:tc>
        <w:tc>
          <w:tcPr>
            <w:tcW w:w="4781" w:type="dxa"/>
            <w:shd w:val="clear" w:color="auto" w:fill="E8EEF2"/>
            <w:tcMar>
              <w:top w:w="70" w:type="dxa"/>
              <w:left w:w="90" w:type="dxa"/>
              <w:bottom w:w="70" w:type="dxa"/>
              <w:right w:w="90" w:type="dxa"/>
            </w:tcMar>
          </w:tcPr>
          <w:p w14:paraId="16852462" w14:textId="77777777" w:rsidR="00C521CB" w:rsidRDefault="00923650">
            <w:r>
              <w:rPr>
                <w:rFonts w:ascii="Arial" w:eastAsia="Arial" w:hAnsi="Arial"/>
                <w:b/>
                <w:color w:val="223A49"/>
                <w:sz w:val="15"/>
              </w:rPr>
              <w:t>REFERENCES</w:t>
            </w:r>
          </w:p>
        </w:tc>
      </w:tr>
      <w:tr w:rsidR="00C521CB" w14:paraId="71C35104" w14:textId="77777777">
        <w:tc>
          <w:tcPr>
            <w:tcW w:w="4781" w:type="dxa"/>
            <w:tcMar>
              <w:top w:w="70" w:type="dxa"/>
              <w:left w:w="90" w:type="dxa"/>
              <w:bottom w:w="70" w:type="dxa"/>
              <w:right w:w="90" w:type="dxa"/>
            </w:tcMar>
          </w:tcPr>
          <w:p w14:paraId="5AEECAA5" w14:textId="77777777" w:rsidR="00C521CB" w:rsidRDefault="00923650">
            <w:r>
              <w:rPr>
                <w:rFonts w:ascii="Arial" w:eastAsia="Arial" w:hAnsi="Arial"/>
                <w:b/>
                <w:sz w:val="20"/>
              </w:rPr>
              <w:t>9,190 words</w:t>
            </w:r>
          </w:p>
        </w:tc>
        <w:tc>
          <w:tcPr>
            <w:tcW w:w="4781" w:type="dxa"/>
            <w:tcMar>
              <w:top w:w="70" w:type="dxa"/>
              <w:left w:w="90" w:type="dxa"/>
              <w:bottom w:w="70" w:type="dxa"/>
              <w:right w:w="90" w:type="dxa"/>
            </w:tcMar>
          </w:tcPr>
          <w:p w14:paraId="15E0F27D" w14:textId="77777777" w:rsidR="00C521CB" w:rsidRDefault="00923650">
            <w:r>
              <w:rPr>
                <w:rFonts w:ascii="Arial" w:eastAsia="Arial" w:hAnsi="Arial"/>
                <w:b/>
                <w:sz w:val="20"/>
              </w:rPr>
              <w:t>91</w:t>
            </w:r>
          </w:p>
        </w:tc>
      </w:tr>
    </w:tbl>
    <w:p w14:paraId="6D07FBB7" w14:textId="77777777" w:rsidR="00C521CB" w:rsidRDefault="00C521CB">
      <w:pPr>
        <w:ind w:firstLine="317"/>
      </w:pPr>
    </w:p>
    <w:p w14:paraId="66507FA8" w14:textId="77777777" w:rsidR="00C521CB" w:rsidRDefault="00923650">
      <w:pPr>
        <w:pStyle w:val="1"/>
        <w:pageBreakBefore/>
      </w:pPr>
      <w:r>
        <w:lastRenderedPageBreak/>
        <w:t>Abstract</w:t>
      </w:r>
    </w:p>
    <w:p w14:paraId="393E4AB1" w14:textId="6957026F" w:rsidR="00C521CB" w:rsidRDefault="00923650">
      <w:pPr>
        <w:ind w:firstLine="317"/>
      </w:pPr>
      <w:r>
        <w:t xml:space="preserve">Total wrist arthroplasty (TWA) preserves motion in end-stage wrist arthritis, yet after four generations of implants its survivorship still trails that of hip and knee replacement. This Review reframes that persistent gap as a design problem: the objective is to reconstruct a patient-specific functional motion system, and the dominant failure modes have changed with each implant concept. We organize the published literature along a biomechanics-driven image-to-implant framework of six stages: requirements definition; patient-specific anatomical and kinematic characterization; computational biomechanical analysis informed by </w:t>
      </w:r>
      <w:r w:rsidR="00BC639E" w:rsidRPr="00BC639E">
        <w:rPr>
          <w:i/>
          <w:iCs/>
        </w:rPr>
        <w:t>in-vivo</w:t>
      </w:r>
      <w:r>
        <w:t xml:space="preserve"> evidence; design synthesis and optimization; manufacturing and implementation; and verification with post-implantation feedback. For each stage we summarize what is established, what is emerging and what is missing, marking where the established tier rests on adjacent-joint, cadaveric or single-design evidence. The assembled evidence distils into a </w:t>
      </w:r>
      <w:proofErr w:type="gramStart"/>
      <w:r>
        <w:t>traceable requirements</w:t>
      </w:r>
      <w:proofErr w:type="gramEnd"/>
      <w:r>
        <w:t xml:space="preserve"> set anchored to the functional arc, distributed load transfer, controlled </w:t>
      </w:r>
      <w:r w:rsidR="008F1480">
        <w:t>center</w:t>
      </w:r>
      <w:r>
        <w:t xml:space="preserve">-of-rotation </w:t>
      </w:r>
      <w:proofErr w:type="spellStart"/>
      <w:r>
        <w:t>behaviour</w:t>
      </w:r>
      <w:proofErr w:type="spellEnd"/>
      <w:r>
        <w:t>, micromotion-limited fixation and revision stewardship; the weakest links lie at the interfaces between stages, in absolute load calibration, wrist-specific wear and fixation thresholds, and end-to-end verification of any single implant. On this evidence, this Review interprets the major unmet need as the absence of an integrated, verifiable design pathway rather than of any single technology, weighs that interpretation against the alternative reading that measurement infrastructure must come first, and offers the framework as an organizing lens for that debate rather than as an established methodology. Restoring a robust physiological motion-and-load envelope, rather than maximizing passive range, should remain the governing design objective.</w:t>
      </w:r>
    </w:p>
    <w:p w14:paraId="25C4290A" w14:textId="77777777" w:rsidR="00C521CB" w:rsidRDefault="00923650">
      <w:pPr>
        <w:ind w:firstLine="317"/>
      </w:pPr>
      <w:r>
        <w:t xml:space="preserve"> Keywords: total wrist arthroplasty; prosthesis design; design methodology; medical imaging; carpal kinematics; multibody dynamics; finite element analysis; customized prosthesis; digital twin</w:t>
      </w:r>
    </w:p>
    <w:p w14:paraId="71673C12" w14:textId="77777777" w:rsidR="00C521CB" w:rsidRDefault="00923650">
      <w:pPr>
        <w:pStyle w:val="1"/>
        <w:pageBreakBefore/>
      </w:pPr>
      <w:r>
        <w:lastRenderedPageBreak/>
        <w:t>1 Introduction</w:t>
      </w:r>
    </w:p>
    <w:p w14:paraId="20787DC5" w14:textId="77777777" w:rsidR="00C521CB" w:rsidRDefault="00923650">
      <w:pPr>
        <w:pStyle w:val="21"/>
      </w:pPr>
      <w:r>
        <w:t>1.1 Total wrist arthroplasty as a functional reconstruction problem</w:t>
      </w:r>
    </w:p>
    <w:p w14:paraId="497DB287" w14:textId="334A6337" w:rsidR="00C521CB" w:rsidRDefault="00923650">
      <w:pPr>
        <w:ind w:firstLine="317"/>
      </w:pPr>
      <w:r>
        <w:t xml:space="preserve">End-stage wrist arthritis presents a distinctive challenge in joint reconstruction because the objective is not simply to relieve pain or replace damaged articular surfaces, but to restore useful motion within a mechanically complex anatomical system {Reigstad 2025; Berber 2018; </w:t>
      </w:r>
      <w:proofErr w:type="spellStart"/>
      <w:r>
        <w:t>Zijlker</w:t>
      </w:r>
      <w:proofErr w:type="spellEnd"/>
      <w:r>
        <w:t xml:space="preserve"> 2022}. The native wrist consists of multiple articulations constrained by bones, ligaments, and musculotendinous structures, and its function emerges from coupled rotations and translations, changing contact locations, and position-dependent load transfer {Eschweiler 2022; Moore 2007; </w:t>
      </w:r>
      <w:proofErr w:type="spellStart"/>
      <w:r>
        <w:t>Moritomo</w:t>
      </w:r>
      <w:proofErr w:type="spellEnd"/>
      <w:r>
        <w:t xml:space="preserve"> 2007}. Consequently, </w:t>
      </w:r>
      <w:r w:rsidR="00BE3B19">
        <w:rPr>
          <w:rFonts w:eastAsia="宋体" w:hint="eastAsia"/>
          <w:lang w:eastAsia="zh-CN"/>
        </w:rPr>
        <w:t>T</w:t>
      </w:r>
      <w:r>
        <w:t xml:space="preserve">otal </w:t>
      </w:r>
      <w:r w:rsidR="00BE3B19">
        <w:rPr>
          <w:rFonts w:eastAsia="宋体" w:hint="eastAsia"/>
          <w:lang w:eastAsia="zh-CN"/>
        </w:rPr>
        <w:t>W</w:t>
      </w:r>
      <w:r>
        <w:t xml:space="preserve">rist </w:t>
      </w:r>
      <w:r w:rsidR="00BE3B19">
        <w:rPr>
          <w:rFonts w:eastAsia="宋体" w:hint="eastAsia"/>
          <w:lang w:eastAsia="zh-CN"/>
        </w:rPr>
        <w:t>A</w:t>
      </w:r>
      <w:r>
        <w:t>rthroplasty (TWA) must reproduce a coordinated mechanical environment rather than simply provide a stable bearing surface {Eschweiler 2022; Kennedy 2016}. This makes wrist replacement fundamentally different from the replacement of a relatively simple joint and places greater demands on the relationship between patient anatomy, implant geometry, biomechanics, and fixation.</w:t>
      </w:r>
    </w:p>
    <w:p w14:paraId="7636B537" w14:textId="77777777" w:rsidR="00C521CB" w:rsidRDefault="00923650">
      <w:pPr>
        <w:pStyle w:val="21"/>
      </w:pPr>
      <w:r>
        <w:t>1.2 Persistent failure despite successive implant generations</w:t>
      </w:r>
    </w:p>
    <w:p w14:paraId="2BD2E675" w14:textId="72978B6B" w:rsidR="00C521CB" w:rsidRDefault="00923650">
      <w:pPr>
        <w:ind w:firstLine="317"/>
      </w:pPr>
      <w:r>
        <w:t>Despite substantial advances across successive generations of wrist implants, these demands have not yet been fully resolved {</w:t>
      </w:r>
      <w:proofErr w:type="spellStart"/>
      <w:r>
        <w:t>Zijlker</w:t>
      </w:r>
      <w:proofErr w:type="spellEnd"/>
      <w:r>
        <w:t xml:space="preserve"> 2022; Herzberg 2012; </w:t>
      </w:r>
      <w:proofErr w:type="spellStart"/>
      <w:r>
        <w:t>Boeckstyns</w:t>
      </w:r>
      <w:proofErr w:type="spellEnd"/>
      <w:r>
        <w:t xml:space="preserve"> 2013}. Long-term registry data and clinical series continue to demonstrate revision, radiographic progression, loosening, instability, fixation failure, and polyethylene wear {</w:t>
      </w:r>
      <w:proofErr w:type="spellStart"/>
      <w:r>
        <w:t>Krukhaug</w:t>
      </w:r>
      <w:proofErr w:type="spellEnd"/>
      <w:r>
        <w:t xml:space="preserve"> 2011; </w:t>
      </w:r>
      <w:proofErr w:type="spellStart"/>
      <w:r>
        <w:t>Labek</w:t>
      </w:r>
      <w:proofErr w:type="spellEnd"/>
      <w:r>
        <w:t xml:space="preserve"> 2011; Newton 2023; Taylor 2024; Ward 2011}. Importantly, the dominant failure mechanisms have changed with implant concepts: constrained designs were associated primarily with loosening, less constrained designs introduced greater risks of instability and imbalance, whereas more recent bone-preserving designs have shifted attention toward carpal-side fixation and late wear-related failure {</w:t>
      </w:r>
      <w:proofErr w:type="spellStart"/>
      <w:r>
        <w:t>Reigstad</w:t>
      </w:r>
      <w:proofErr w:type="spellEnd"/>
      <w:r>
        <w:t xml:space="preserve"> 2025; </w:t>
      </w:r>
      <w:proofErr w:type="spellStart"/>
      <w:r>
        <w:t>Zijlker</w:t>
      </w:r>
      <w:proofErr w:type="spellEnd"/>
      <w:r>
        <w:t xml:space="preserve"> 2022; Kennedy 2016; Newton 2023}. This evolution suggests that the problem is not simply the absence of a sufficiently durable material or a mechanically superior component. Rather, changes in implant architecture repeatedly alter the </w:t>
      </w:r>
      <w:r w:rsidR="00BE3B19">
        <w:rPr>
          <w:rFonts w:eastAsia="宋体" w:hint="eastAsia"/>
          <w:lang w:eastAsia="zh-CN"/>
        </w:rPr>
        <w:t>bio</w:t>
      </w:r>
      <w:r>
        <w:t>mechanical environment of the reconstructed wrist and, consequently, the mechanisms through which failure develops.</w:t>
      </w:r>
    </w:p>
    <w:p w14:paraId="54DFEA7F" w14:textId="77777777" w:rsidR="00C521CB" w:rsidRDefault="00923650">
      <w:pPr>
        <w:pStyle w:val="21"/>
      </w:pPr>
      <w:r>
        <w:t>1.3 From implant modification to design methodology</w:t>
      </w:r>
    </w:p>
    <w:p w14:paraId="2D33FBBB" w14:textId="065F9347" w:rsidR="00C521CB" w:rsidRDefault="00923650">
      <w:pPr>
        <w:ind w:firstLine="317"/>
      </w:pPr>
      <w:r>
        <w:t xml:space="preserve">The underlying difficulty arises from the mismatch between the standardized nature of an implant and the </w:t>
      </w:r>
      <w:r w:rsidR="00BE3B19">
        <w:rPr>
          <w:rFonts w:eastAsia="宋体" w:hint="eastAsia"/>
          <w:lang w:eastAsia="zh-CN"/>
        </w:rPr>
        <w:t>bio</w:t>
      </w:r>
      <w:r>
        <w:t xml:space="preserve">mechanics of the native wrist. A radiographically acceptable implant position does not necessarily reproduce the native </w:t>
      </w:r>
      <w:r w:rsidR="007359AC">
        <w:rPr>
          <w:rFonts w:eastAsia="宋体" w:hint="eastAsia"/>
          <w:lang w:eastAsia="zh-CN"/>
        </w:rPr>
        <w:t>C</w:t>
      </w:r>
      <w:r>
        <w:t>ent</w:t>
      </w:r>
      <w:r w:rsidR="00BE3B19">
        <w:rPr>
          <w:rFonts w:eastAsia="宋体" w:hint="eastAsia"/>
          <w:lang w:eastAsia="zh-CN"/>
        </w:rPr>
        <w:t>er</w:t>
      </w:r>
      <w:r>
        <w:t>-</w:t>
      </w:r>
      <w:r w:rsidR="007359AC">
        <w:rPr>
          <w:rFonts w:eastAsia="宋体" w:hint="eastAsia"/>
          <w:lang w:eastAsia="zh-CN"/>
        </w:rPr>
        <w:t>O</w:t>
      </w:r>
      <w:r>
        <w:t>f-</w:t>
      </w:r>
      <w:r w:rsidR="007359AC">
        <w:rPr>
          <w:rFonts w:eastAsia="宋体" w:hint="eastAsia"/>
          <w:lang w:eastAsia="zh-CN"/>
        </w:rPr>
        <w:t>R</w:t>
      </w:r>
      <w:r>
        <w:t>otation</w:t>
      </w:r>
      <w:r w:rsidR="007359AC">
        <w:rPr>
          <w:rFonts w:eastAsia="宋体" w:hint="eastAsia"/>
          <w:lang w:eastAsia="zh-CN"/>
        </w:rPr>
        <w:t xml:space="preserve"> (COR)</w:t>
      </w:r>
      <w:r>
        <w:t xml:space="preserve"> trajectory, carpal height, contact migration, tendon excursion, or load transfer across fixation interfaces {</w:t>
      </w:r>
      <w:proofErr w:type="spellStart"/>
      <w:r>
        <w:t>Akhbari</w:t>
      </w:r>
      <w:proofErr w:type="spellEnd"/>
      <w:r>
        <w:t xml:space="preserve"> 2020; </w:t>
      </w:r>
      <w:proofErr w:type="spellStart"/>
      <w:r>
        <w:t>Akhbari</w:t>
      </w:r>
      <w:proofErr w:type="spellEnd"/>
      <w:r>
        <w:t xml:space="preserve"> 2021; Bain 2025; </w:t>
      </w:r>
      <w:proofErr w:type="spellStart"/>
      <w:r>
        <w:t>Akhbari</w:t>
      </w:r>
      <w:proofErr w:type="spellEnd"/>
      <w:r>
        <w:t xml:space="preserve"> 2021}. These deviations can propagate through the </w:t>
      </w:r>
      <w:r w:rsidR="00BC639E">
        <w:rPr>
          <w:rFonts w:eastAsia="宋体" w:hint="eastAsia"/>
          <w:lang w:eastAsia="zh-CN"/>
        </w:rPr>
        <w:t xml:space="preserve">implanted </w:t>
      </w:r>
      <w:r>
        <w:t xml:space="preserve">mechanical system: altered kinematics modify contact and loading, which may increase edge loading, impingement, interface micromotion, local bone stress, or wear, ultimately contributing to instability, loosening, or other failure modes {Gislason 2017; McCullough 2012}. Patient age, disease etiology, bone quality, activity level, surgical technique, and learning-curve effects undoubtedly influence clinical outcomes {Pappalardo 2026; Smith 2024}, but they do not fully explain why different implant concepts repeatedly produce different mechanical failure patterns. The persistence and evolution of these failure modes therefore point to a broader methodological challenge: the relationship between </w:t>
      </w:r>
      <w:r w:rsidR="00BC639E">
        <w:rPr>
          <w:rFonts w:eastAsia="宋体" w:hint="eastAsia"/>
          <w:lang w:eastAsia="zh-CN"/>
        </w:rPr>
        <w:t>carpal</w:t>
      </w:r>
      <w:r>
        <w:t xml:space="preserve"> functional requirements and implant design remains insufficiently defined, quantified, and verified.</w:t>
      </w:r>
    </w:p>
    <w:p w14:paraId="3E4CF67F" w14:textId="590E6242" w:rsidR="00C521CB" w:rsidRDefault="00923650">
      <w:pPr>
        <w:ind w:firstLine="317"/>
      </w:pPr>
      <w:r>
        <w:t xml:space="preserve">Historically, establishing such a relationship has been limited by the difficulty of obtaining and integrating the relevant anatomical and mechanical information. Conventional imaging can characterize anatomy but provides limited information about functional motion {Moore 2007; Pfaeffle 2005}, while computational models can estimate mechanical </w:t>
      </w:r>
      <w:r w:rsidR="00BC639E">
        <w:t>behavior</w:t>
      </w:r>
      <w:r>
        <w:t xml:space="preserve"> </w:t>
      </w:r>
      <w:r w:rsidR="00BC639E">
        <w:rPr>
          <w:rFonts w:eastAsia="宋体" w:hint="eastAsia"/>
          <w:lang w:eastAsia="zh-CN"/>
        </w:rPr>
        <w:t>yet</w:t>
      </w:r>
      <w:r>
        <w:t xml:space="preserve"> depend on assumptions regarding geometry, loading, boundary conditions, and kinematics {Eschweiler 2022; Eschweiler 2016; </w:t>
      </w:r>
      <w:proofErr w:type="spellStart"/>
      <w:r>
        <w:t>Mirakhorlo</w:t>
      </w:r>
      <w:proofErr w:type="spellEnd"/>
      <w:r>
        <w:t xml:space="preserve"> 2018}. Experimental measurements provide complementary evidence but are difficult to incorporate into a continuous patient-specific design process {Glanville 2024; Glanville 2025}. As a result, imaging, motion analysis, computational biomechanics, implant optimization, manufacturing, and clinical evaluation have largely developed as parallel research domains rather than as interconnected stages of a single design methodology.</w:t>
      </w:r>
    </w:p>
    <w:p w14:paraId="29993D81" w14:textId="77777777" w:rsidR="00C521CB" w:rsidRDefault="00923650">
      <w:pPr>
        <w:pStyle w:val="21"/>
      </w:pPr>
      <w:r>
        <w:t>1.4 Technological convergence</w:t>
      </w:r>
    </w:p>
    <w:p w14:paraId="76D94FC2" w14:textId="5E5FEE1A" w:rsidR="00C521CB" w:rsidRDefault="00923650">
      <w:pPr>
        <w:ind w:firstLine="317"/>
      </w:pPr>
      <w:r>
        <w:t xml:space="preserve">Recent technological advances have begun to change this situation. Time-resolved imaging and biplanar </w:t>
      </w:r>
      <w:proofErr w:type="spellStart"/>
      <w:r>
        <w:t>videoradiography</w:t>
      </w:r>
      <w:proofErr w:type="spellEnd"/>
      <w:r>
        <w:t xml:space="preserve"> enable increasingly quantitative characterization of </w:t>
      </w:r>
      <w:r w:rsidR="00BC639E" w:rsidRPr="00BC639E">
        <w:rPr>
          <w:i/>
          <w:iCs/>
        </w:rPr>
        <w:t>in-vivo</w:t>
      </w:r>
      <w:r>
        <w:t xml:space="preserve"> wrist motion {Jia 2026; </w:t>
      </w:r>
      <w:proofErr w:type="spellStart"/>
      <w:r>
        <w:t>Akhbari</w:t>
      </w:r>
      <w:proofErr w:type="spellEnd"/>
      <w:r>
        <w:t xml:space="preserve"> 2019; Zhao 2015; Crisco 2026}, while automated segmentation and </w:t>
      </w:r>
      <w:r w:rsidR="00BC639E">
        <w:rPr>
          <w:rFonts w:eastAsia="宋体" w:hint="eastAsia"/>
          <w:lang w:eastAsia="zh-CN"/>
        </w:rPr>
        <w:t>S</w:t>
      </w:r>
      <w:r>
        <w:t xml:space="preserve">tatistical </w:t>
      </w:r>
      <w:r w:rsidR="00BC639E">
        <w:rPr>
          <w:rFonts w:eastAsia="宋体" w:hint="eastAsia"/>
          <w:lang w:eastAsia="zh-CN"/>
        </w:rPr>
        <w:t>S</w:t>
      </w:r>
      <w:r>
        <w:t xml:space="preserve">hape </w:t>
      </w:r>
      <w:r w:rsidR="00BC639E">
        <w:rPr>
          <w:rFonts w:eastAsia="宋体" w:hint="eastAsia"/>
          <w:lang w:eastAsia="zh-CN"/>
        </w:rPr>
        <w:t>M</w:t>
      </w:r>
      <w:r>
        <w:t>odelling</w:t>
      </w:r>
      <w:r w:rsidR="00BC639E">
        <w:rPr>
          <w:rFonts w:eastAsia="宋体" w:hint="eastAsia"/>
          <w:lang w:eastAsia="zh-CN"/>
        </w:rPr>
        <w:t xml:space="preserve"> (SSM)</w:t>
      </w:r>
      <w:r>
        <w:t xml:space="preserve"> provide </w:t>
      </w:r>
      <w:r>
        <w:lastRenderedPageBreak/>
        <w:t>increasingly robust representations of patient-specific anatomy {</w:t>
      </w:r>
      <w:proofErr w:type="spellStart"/>
      <w:r>
        <w:t>Teule</w:t>
      </w:r>
      <w:proofErr w:type="spellEnd"/>
      <w:r>
        <w:t xml:space="preserve"> 2024; Anas 2016; Isensee 2021; Ma 2024; </w:t>
      </w:r>
      <w:proofErr w:type="spellStart"/>
      <w:r>
        <w:t>Sarkalkan</w:t>
      </w:r>
      <w:proofErr w:type="spellEnd"/>
      <w:r>
        <w:t xml:space="preserve"> 2014</w:t>
      </w:r>
      <w:r w:rsidR="00BC639E">
        <w:rPr>
          <w:rFonts w:eastAsia="宋体" w:hint="eastAsia"/>
          <w:lang w:eastAsia="zh-CN"/>
        </w:rPr>
        <w:t xml:space="preserve">; </w:t>
      </w:r>
      <w:proofErr w:type="spellStart"/>
      <w:r w:rsidR="00BC639E" w:rsidRPr="0061414C">
        <w:rPr>
          <w:rFonts w:eastAsia="宋体" w:hint="eastAsia"/>
          <w:color w:val="FF0000"/>
          <w:lang w:eastAsia="zh-CN"/>
        </w:rPr>
        <w:t>tobias</w:t>
      </w:r>
      <w:proofErr w:type="spellEnd"/>
      <w:r>
        <w:t>}. Multi</w:t>
      </w:r>
      <w:r w:rsidR="0061414C">
        <w:rPr>
          <w:rFonts w:eastAsia="宋体" w:hint="eastAsia"/>
          <w:lang w:eastAsia="zh-CN"/>
        </w:rPr>
        <w:t>-B</w:t>
      </w:r>
      <w:r>
        <w:t>ody</w:t>
      </w:r>
      <w:r w:rsidR="0061414C">
        <w:rPr>
          <w:rFonts w:eastAsia="宋体" w:hint="eastAsia"/>
          <w:lang w:eastAsia="zh-CN"/>
        </w:rPr>
        <w:t xml:space="preserve"> Simulation (MBS)</w:t>
      </w:r>
      <w:r>
        <w:t xml:space="preserve"> and </w:t>
      </w:r>
      <w:r w:rsidR="0061414C">
        <w:rPr>
          <w:rFonts w:eastAsia="宋体" w:hint="eastAsia"/>
          <w:lang w:eastAsia="zh-CN"/>
        </w:rPr>
        <w:t>F</w:t>
      </w:r>
      <w:r>
        <w:t xml:space="preserve">inite </w:t>
      </w:r>
      <w:r w:rsidR="0061414C">
        <w:rPr>
          <w:rFonts w:eastAsia="宋体" w:hint="eastAsia"/>
          <w:lang w:eastAsia="zh-CN"/>
        </w:rPr>
        <w:t>E</w:t>
      </w:r>
      <w:r>
        <w:t xml:space="preserve">lement </w:t>
      </w:r>
      <w:r w:rsidR="0061414C">
        <w:rPr>
          <w:rFonts w:eastAsia="宋体" w:hint="eastAsia"/>
          <w:lang w:eastAsia="zh-CN"/>
        </w:rPr>
        <w:t>M</w:t>
      </w:r>
      <w:r>
        <w:t>odelling</w:t>
      </w:r>
      <w:r w:rsidR="0061414C">
        <w:rPr>
          <w:rFonts w:eastAsia="宋体" w:hint="eastAsia"/>
          <w:lang w:eastAsia="zh-CN"/>
        </w:rPr>
        <w:t xml:space="preserve"> (FEM)</w:t>
      </w:r>
      <w:r>
        <w:t xml:space="preserve"> can connect measured anatomy and motion to joint-level loading, contact mechanics, fixation </w:t>
      </w:r>
      <w:r w:rsidR="0061414C">
        <w:t>behavior</w:t>
      </w:r>
      <w:r>
        <w:t>, and tissue stresses {Eschweiler 2022; Gislason 2017; Eschweiler 2016}. Optimization methods and additive manufacturing further provide means of translating these biomechanical requirements into patient-specific implant geometries and manufacturable devices {Xiao 2026; Wei 2025; Wang 2016}. Collectively, these developments create the technological basis for a more integrated approach to wrist arthroplasty design.</w:t>
      </w:r>
    </w:p>
    <w:p w14:paraId="09D5B3C6" w14:textId="77777777" w:rsidR="00C521CB" w:rsidRDefault="00923650">
      <w:pPr>
        <w:pStyle w:val="21"/>
      </w:pPr>
      <w:r>
        <w:t>1.5 Scope and organizing framework</w:t>
      </w:r>
    </w:p>
    <w:p w14:paraId="665E74CA" w14:textId="77777777" w:rsidR="00C521CB" w:rsidRDefault="00923650">
      <w:pPr>
        <w:ind w:firstLine="317"/>
      </w:pPr>
      <w:r>
        <w:t>However, the critical limitation is no longer the absence of individual technologies, but the lack of a clearly defined pathway connecting them. Existing studies have demonstrated important components of the process {</w:t>
      </w:r>
      <w:proofErr w:type="spellStart"/>
      <w:r>
        <w:t>Akhbari</w:t>
      </w:r>
      <w:proofErr w:type="spellEnd"/>
      <w:r>
        <w:t xml:space="preserve"> 2020; </w:t>
      </w:r>
      <w:proofErr w:type="spellStart"/>
      <w:r>
        <w:t>Akhbari</w:t>
      </w:r>
      <w:proofErr w:type="spellEnd"/>
      <w:r>
        <w:t xml:space="preserve"> 2021; Jia 2026; Crisco 2026; Xiao 2026; Wei 2025; Lind 2026}, yet the interfaces between these components remain less well established. In particular, it remains unclear how anatomical and kinematic measurements should be transformed into computational requirements, how biomechanical predictions should determine implant design variables and acceptance criteria, and how postoperative observations should be used to verify and update the original design assumptions. Without such traceability, advances within individual domains may not translate into a reproducible improvement in implant performance.</w:t>
      </w:r>
    </w:p>
    <w:p w14:paraId="50B35C9F" w14:textId="274469F3" w:rsidR="00C521CB" w:rsidRDefault="00923650">
      <w:pPr>
        <w:ind w:firstLine="317"/>
      </w:pPr>
      <w:r>
        <w:t xml:space="preserve">This </w:t>
      </w:r>
      <w:r w:rsidR="0061414C">
        <w:rPr>
          <w:rFonts w:eastAsia="宋体" w:hint="eastAsia"/>
          <w:lang w:eastAsia="zh-CN"/>
        </w:rPr>
        <w:t>r</w:t>
      </w:r>
      <w:r>
        <w:t>eview therefore considers TWA as a</w:t>
      </w:r>
      <w:r w:rsidR="0061414C">
        <w:rPr>
          <w:rFonts w:eastAsia="宋体" w:hint="eastAsia"/>
          <w:lang w:eastAsia="zh-CN"/>
        </w:rPr>
        <w:t>n</w:t>
      </w:r>
      <w:r>
        <w:t xml:space="preserve"> engineering design problem and organizes the literature as a biomechanics-driven image-to-implant pathway. The framework comprises six interconnected stages: requirements definition (Stage 0), imaging-derived anatomical and kinematic characterization (Stage 1), computational biomechanical analysis (Stage 2), implant design and optimization (Stage 3), manufacturing and implementation (Stage 4), and verification and post-implantation surveillance (Stage 5). These stages are not treated as independent topics; each generates inputs and constraints for the subsequent stage, while verification provides feedback to the assumptions and decisions made upstream. By mapping the evidence, inputs, outputs, and validation requirements across this pathway, this </w:t>
      </w:r>
      <w:r w:rsidR="0061414C">
        <w:rPr>
          <w:rFonts w:eastAsia="宋体" w:hint="eastAsia"/>
          <w:lang w:eastAsia="zh-CN"/>
        </w:rPr>
        <w:t>r</w:t>
      </w:r>
      <w:r>
        <w:t xml:space="preserve">eview aims to identify both the advances that have made </w:t>
      </w:r>
      <w:r w:rsidR="0061414C">
        <w:rPr>
          <w:rFonts w:eastAsia="宋体" w:hint="eastAsia"/>
          <w:lang w:eastAsia="zh-CN"/>
        </w:rPr>
        <w:t>the TWA</w:t>
      </w:r>
      <w:r>
        <w:t xml:space="preserve"> increasingly feasible and the critical interfaces that must be resolved to move from iterative implant modification toward a reproducible, traceable, and biomechanically verified design paradigm.</w:t>
      </w:r>
    </w:p>
    <w:p w14:paraId="0BF5278A" w14:textId="77777777" w:rsidR="00C521CB" w:rsidRDefault="00923650">
      <w:pPr>
        <w:ind w:firstLine="317"/>
      </w:pPr>
      <w:r>
        <w:t xml:space="preserve">The synthesis is narrative and interpretive, and its method is stated openly. We searched PubMed and Europe PMC, with coverage through September 2026, using combinations of total wrist arthroplasty, total wrist replacement, wrist prosthesis and wrist implant with domain terms including four-dimensional CT, biplanar </w:t>
      </w:r>
      <w:proofErr w:type="spellStart"/>
      <w:r>
        <w:t>videoradiography</w:t>
      </w:r>
      <w:proofErr w:type="spellEnd"/>
      <w:r>
        <w:t xml:space="preserve">, statistical shape model, multibody dynamics, finite element, customized prosthesis, porous titanium, </w:t>
      </w:r>
      <w:proofErr w:type="spellStart"/>
      <w:r>
        <w:t>radiostereometric</w:t>
      </w:r>
      <w:proofErr w:type="spellEnd"/>
      <w:r>
        <w:t xml:space="preserve"> analysis and photon-counting CT, and we extended the set by citation chaining. Peer-reviewed studies contributing validated measurements or outcome data were prioritized. No study-level screening record or prospective registration was kept, and no meta-analysis was attempted: the quantitative anchors of Table 1 are quoted from their primary sources, not pooled. The six-stage framework is an interpretive lens developed during this assembly: the consolidated evidence table organizes the literature as a reading aid under that lens rather than grading it against an external standard, and the allocation of individual studies reflects this Review's interpretation. Relative to existing reviews of total wrist arthroplasty {Reigstad 2025; Berber 2018; </w:t>
      </w:r>
      <w:proofErr w:type="spellStart"/>
      <w:r>
        <w:t>Zijlker</w:t>
      </w:r>
      <w:proofErr w:type="spellEnd"/>
      <w:r>
        <w:t xml:space="preserve"> 2022; </w:t>
      </w:r>
      <w:proofErr w:type="spellStart"/>
      <w:r>
        <w:t>Pappalardo</w:t>
      </w:r>
      <w:proofErr w:type="spellEnd"/>
      <w:r>
        <w:t xml:space="preserve"> 2026}, the increment this Review offers is the pathway synthesis itself: the interface map of Table 4 and the traceable requirements set of Table 2, which no existing review assembles. For each stage we summarize what is established, what is contested and what is missing, marking where the established tier is borrowed from adjacent fields. The governing proposal that emerges from the assembled evidence is that a successful prosthesis should restore a robust physiological motion-and-load envelope while preserving bone and future revision options, rather than maximizing component fit or passive range alone {</w:t>
      </w:r>
      <w:proofErr w:type="spellStart"/>
      <w:r>
        <w:t>Akhbari</w:t>
      </w:r>
      <w:proofErr w:type="spellEnd"/>
      <w:r>
        <w:t xml:space="preserve"> 2020; Bain 2025; Cash 2025}.</w:t>
      </w:r>
    </w:p>
    <w:p w14:paraId="56FAA290" w14:textId="640DE46B" w:rsidR="00C521CB" w:rsidRDefault="00923650">
      <w:pPr>
        <w:ind w:firstLine="317"/>
      </w:pPr>
      <w:r>
        <w:t xml:space="preserve"> Table 1 assembles the quantitative anchors that motivate treating total wrist arthroplasty as a design problem: registry-era survivorship, its large-joint comparator, and the magnitude of </w:t>
      </w:r>
      <w:r w:rsidR="00BC639E" w:rsidRPr="00BC639E">
        <w:rPr>
          <w:i/>
          <w:iCs/>
        </w:rPr>
        <w:t>in-vivo</w:t>
      </w:r>
      <w:r>
        <w:t xml:space="preserve"> mechanical deviation after implantation. Cross-generation comparison from these series is indicative rather than pooled, because case mix, indication structure and era differ across the cohorts involved.</w:t>
      </w:r>
    </w:p>
    <w:p w14:paraId="683B4873" w14:textId="77777777" w:rsidR="00C521CB" w:rsidRDefault="00923650">
      <w:pPr>
        <w:ind w:firstLine="317"/>
      </w:pPr>
      <w:r>
        <w:t xml:space="preserve"> Table 1 | Quantitative clinical and methodological evidence motivating a design-pathway perspective</w:t>
      </w:r>
    </w:p>
    <w:tbl>
      <w:tblPr>
        <w:tblW w:w="0" w:type="auto"/>
        <w:jc w:val="center"/>
        <w:tblLayout w:type="fixed"/>
        <w:tblLook w:val="04A0" w:firstRow="1" w:lastRow="0" w:firstColumn="1" w:lastColumn="0" w:noHBand="0" w:noVBand="1"/>
      </w:tblPr>
      <w:tblGrid>
        <w:gridCol w:w="1750"/>
        <w:gridCol w:w="620"/>
        <w:gridCol w:w="1560"/>
        <w:gridCol w:w="3300"/>
        <w:gridCol w:w="2330"/>
      </w:tblGrid>
      <w:tr w:rsidR="00C521CB" w14:paraId="00D2C4D3" w14:textId="77777777">
        <w:trPr>
          <w:cantSplit/>
          <w:tblHeader/>
          <w:jc w:val="center"/>
        </w:trPr>
        <w:tc>
          <w:tcPr>
            <w:tcW w:w="1750" w:type="dxa"/>
            <w:shd w:val="clear" w:color="auto" w:fill="E8EEF2"/>
            <w:tcMar>
              <w:top w:w="70" w:type="dxa"/>
              <w:left w:w="90" w:type="dxa"/>
              <w:bottom w:w="70" w:type="dxa"/>
              <w:right w:w="90" w:type="dxa"/>
            </w:tcMar>
            <w:vAlign w:val="center"/>
          </w:tcPr>
          <w:p w14:paraId="45575153" w14:textId="77777777" w:rsidR="00C521CB" w:rsidRDefault="00923650">
            <w:pPr>
              <w:jc w:val="left"/>
            </w:pPr>
            <w:r>
              <w:rPr>
                <w:rFonts w:ascii="Arial" w:hAnsi="Arial"/>
                <w:color w:val="223A49"/>
                <w:sz w:val="15"/>
              </w:rPr>
              <w:lastRenderedPageBreak/>
              <w:t>Study</w:t>
            </w:r>
          </w:p>
        </w:tc>
        <w:tc>
          <w:tcPr>
            <w:tcW w:w="620" w:type="dxa"/>
            <w:shd w:val="clear" w:color="auto" w:fill="E8EEF2"/>
            <w:tcMar>
              <w:top w:w="70" w:type="dxa"/>
              <w:left w:w="90" w:type="dxa"/>
              <w:bottom w:w="70" w:type="dxa"/>
              <w:right w:w="90" w:type="dxa"/>
            </w:tcMar>
            <w:vAlign w:val="center"/>
          </w:tcPr>
          <w:p w14:paraId="41D7A60F" w14:textId="77777777" w:rsidR="00C521CB" w:rsidRDefault="00923650">
            <w:pPr>
              <w:jc w:val="left"/>
            </w:pPr>
            <w:r>
              <w:rPr>
                <w:rFonts w:ascii="Arial" w:hAnsi="Arial"/>
                <w:color w:val="223A49"/>
                <w:sz w:val="15"/>
              </w:rPr>
              <w:t>Year</w:t>
            </w:r>
          </w:p>
        </w:tc>
        <w:tc>
          <w:tcPr>
            <w:tcW w:w="1560" w:type="dxa"/>
            <w:shd w:val="clear" w:color="auto" w:fill="E8EEF2"/>
            <w:tcMar>
              <w:top w:w="70" w:type="dxa"/>
              <w:left w:w="90" w:type="dxa"/>
              <w:bottom w:w="70" w:type="dxa"/>
              <w:right w:w="90" w:type="dxa"/>
            </w:tcMar>
            <w:vAlign w:val="center"/>
          </w:tcPr>
          <w:p w14:paraId="090A5D2D" w14:textId="77777777" w:rsidR="00C521CB" w:rsidRDefault="00923650">
            <w:pPr>
              <w:jc w:val="left"/>
            </w:pPr>
            <w:r>
              <w:rPr>
                <w:rFonts w:ascii="Arial" w:hAnsi="Arial"/>
                <w:color w:val="223A49"/>
                <w:sz w:val="15"/>
              </w:rPr>
              <w:t>Evidence base</w:t>
            </w:r>
          </w:p>
        </w:tc>
        <w:tc>
          <w:tcPr>
            <w:tcW w:w="3300" w:type="dxa"/>
            <w:shd w:val="clear" w:color="auto" w:fill="E8EEF2"/>
            <w:tcMar>
              <w:top w:w="70" w:type="dxa"/>
              <w:left w:w="90" w:type="dxa"/>
              <w:bottom w:w="70" w:type="dxa"/>
              <w:right w:w="90" w:type="dxa"/>
            </w:tcMar>
            <w:vAlign w:val="center"/>
          </w:tcPr>
          <w:p w14:paraId="6DA54503" w14:textId="77777777" w:rsidR="00C521CB" w:rsidRDefault="00923650">
            <w:pPr>
              <w:jc w:val="left"/>
            </w:pPr>
            <w:r>
              <w:rPr>
                <w:rFonts w:ascii="Arial" w:hAnsi="Arial"/>
                <w:color w:val="223A49"/>
                <w:sz w:val="15"/>
              </w:rPr>
              <w:t>Quantitative anchor</w:t>
            </w:r>
          </w:p>
        </w:tc>
        <w:tc>
          <w:tcPr>
            <w:tcW w:w="2330" w:type="dxa"/>
            <w:shd w:val="clear" w:color="auto" w:fill="E8EEF2"/>
            <w:tcMar>
              <w:top w:w="70" w:type="dxa"/>
              <w:left w:w="90" w:type="dxa"/>
              <w:bottom w:w="70" w:type="dxa"/>
              <w:right w:w="90" w:type="dxa"/>
            </w:tcMar>
            <w:vAlign w:val="center"/>
          </w:tcPr>
          <w:p w14:paraId="785570BC" w14:textId="77777777" w:rsidR="00C521CB" w:rsidRDefault="00923650">
            <w:pPr>
              <w:jc w:val="left"/>
            </w:pPr>
            <w:r>
              <w:rPr>
                <w:rFonts w:ascii="Arial" w:hAnsi="Arial"/>
                <w:color w:val="223A49"/>
                <w:sz w:val="15"/>
              </w:rPr>
              <w:t>Reading for this Review</w:t>
            </w:r>
          </w:p>
        </w:tc>
      </w:tr>
      <w:tr w:rsidR="00C521CB" w14:paraId="371DBA02" w14:textId="77777777">
        <w:trPr>
          <w:cantSplit/>
          <w:jc w:val="center"/>
        </w:trPr>
        <w:tc>
          <w:tcPr>
            <w:tcW w:w="1750" w:type="dxa"/>
            <w:tcMar>
              <w:top w:w="70" w:type="dxa"/>
              <w:left w:w="90" w:type="dxa"/>
              <w:bottom w:w="70" w:type="dxa"/>
              <w:right w:w="90" w:type="dxa"/>
            </w:tcMar>
            <w:vAlign w:val="center"/>
          </w:tcPr>
          <w:p w14:paraId="30D5951D" w14:textId="77777777" w:rsidR="00C521CB" w:rsidRDefault="00923650">
            <w:pPr>
              <w:jc w:val="left"/>
            </w:pPr>
            <w:proofErr w:type="spellStart"/>
            <w:r>
              <w:rPr>
                <w:rFonts w:ascii="Arial" w:hAnsi="Arial"/>
                <w:sz w:val="16"/>
              </w:rPr>
              <w:t>Krukhaug</w:t>
            </w:r>
            <w:proofErr w:type="spellEnd"/>
            <w:r>
              <w:rPr>
                <w:rFonts w:ascii="Arial" w:hAnsi="Arial"/>
                <w:sz w:val="16"/>
              </w:rPr>
              <w:t xml:space="preserve"> et al. {</w:t>
            </w:r>
            <w:proofErr w:type="spellStart"/>
            <w:r>
              <w:rPr>
                <w:rFonts w:ascii="Arial" w:hAnsi="Arial"/>
                <w:sz w:val="16"/>
              </w:rPr>
              <w:t>Krukhaug</w:t>
            </w:r>
            <w:proofErr w:type="spellEnd"/>
            <w:r>
              <w:rPr>
                <w:rFonts w:ascii="Arial" w:hAnsi="Arial"/>
                <w:sz w:val="16"/>
              </w:rPr>
              <w:t xml:space="preserve"> 2011} (Norwegian Arthroplasty Register, 189 wrists)</w:t>
            </w:r>
          </w:p>
        </w:tc>
        <w:tc>
          <w:tcPr>
            <w:tcW w:w="620" w:type="dxa"/>
            <w:tcMar>
              <w:top w:w="70" w:type="dxa"/>
              <w:left w:w="90" w:type="dxa"/>
              <w:bottom w:w="70" w:type="dxa"/>
              <w:right w:w="90" w:type="dxa"/>
            </w:tcMar>
            <w:vAlign w:val="center"/>
          </w:tcPr>
          <w:p w14:paraId="0CC657CD" w14:textId="77777777" w:rsidR="00C521CB" w:rsidRDefault="00923650">
            <w:pPr>
              <w:jc w:val="left"/>
            </w:pPr>
            <w:r>
              <w:rPr>
                <w:rFonts w:ascii="Arial" w:hAnsi="Arial"/>
                <w:sz w:val="16"/>
              </w:rPr>
              <w:t>2011</w:t>
            </w:r>
          </w:p>
        </w:tc>
        <w:tc>
          <w:tcPr>
            <w:tcW w:w="1560" w:type="dxa"/>
            <w:tcMar>
              <w:top w:w="70" w:type="dxa"/>
              <w:left w:w="90" w:type="dxa"/>
              <w:bottom w:w="70" w:type="dxa"/>
              <w:right w:w="90" w:type="dxa"/>
            </w:tcMar>
            <w:vAlign w:val="center"/>
          </w:tcPr>
          <w:p w14:paraId="3022FF6B" w14:textId="77777777" w:rsidR="00C521CB" w:rsidRDefault="00923650">
            <w:pPr>
              <w:jc w:val="left"/>
            </w:pPr>
            <w:r>
              <w:rPr>
                <w:rFonts w:ascii="Arial" w:hAnsi="Arial"/>
                <w:sz w:val="16"/>
              </w:rPr>
              <w:t>Registry cohort spanning implant generations</w:t>
            </w:r>
          </w:p>
        </w:tc>
        <w:tc>
          <w:tcPr>
            <w:tcW w:w="3300" w:type="dxa"/>
            <w:tcMar>
              <w:top w:w="70" w:type="dxa"/>
              <w:left w:w="90" w:type="dxa"/>
              <w:bottom w:w="70" w:type="dxa"/>
              <w:right w:w="90" w:type="dxa"/>
            </w:tcMar>
            <w:vAlign w:val="center"/>
          </w:tcPr>
          <w:p w14:paraId="49AD86F2" w14:textId="77777777" w:rsidR="00C521CB" w:rsidRDefault="00923650">
            <w:pPr>
              <w:jc w:val="left"/>
            </w:pPr>
            <w:r>
              <w:rPr>
                <w:rFonts w:ascii="Arial" w:hAnsi="Arial"/>
                <w:sz w:val="16"/>
              </w:rPr>
              <w:t>5-year survival 78% (95% CI 70–85); 10-year survival 71% (59–80)</w:t>
            </w:r>
          </w:p>
        </w:tc>
        <w:tc>
          <w:tcPr>
            <w:tcW w:w="2330" w:type="dxa"/>
            <w:tcMar>
              <w:top w:w="70" w:type="dxa"/>
              <w:left w:w="90" w:type="dxa"/>
              <w:bottom w:w="70" w:type="dxa"/>
              <w:right w:w="90" w:type="dxa"/>
            </w:tcMar>
            <w:vAlign w:val="center"/>
          </w:tcPr>
          <w:p w14:paraId="211ED6A8" w14:textId="77777777" w:rsidR="00C521CB" w:rsidRDefault="00923650">
            <w:pPr>
              <w:jc w:val="left"/>
            </w:pPr>
            <w:r>
              <w:rPr>
                <w:rFonts w:ascii="Arial" w:hAnsi="Arial"/>
                <w:sz w:val="16"/>
              </w:rPr>
              <w:t>The registry-era baseline against which later designs are judged</w:t>
            </w:r>
          </w:p>
        </w:tc>
      </w:tr>
      <w:tr w:rsidR="00C521CB" w14:paraId="02CA9BA1" w14:textId="77777777">
        <w:trPr>
          <w:cantSplit/>
          <w:jc w:val="center"/>
        </w:trPr>
        <w:tc>
          <w:tcPr>
            <w:tcW w:w="1750" w:type="dxa"/>
            <w:tcMar>
              <w:top w:w="70" w:type="dxa"/>
              <w:left w:w="90" w:type="dxa"/>
              <w:bottom w:w="70" w:type="dxa"/>
              <w:right w:w="90" w:type="dxa"/>
            </w:tcMar>
            <w:vAlign w:val="center"/>
          </w:tcPr>
          <w:p w14:paraId="0A75A370" w14:textId="77777777" w:rsidR="00C521CB" w:rsidRDefault="00923650">
            <w:pPr>
              <w:jc w:val="left"/>
            </w:pPr>
            <w:r>
              <w:rPr>
                <w:rFonts w:ascii="Arial" w:hAnsi="Arial"/>
                <w:sz w:val="16"/>
              </w:rPr>
              <w:t>Newton et al. {Newton 2023} (Universal 2 long-term series)</w:t>
            </w:r>
          </w:p>
        </w:tc>
        <w:tc>
          <w:tcPr>
            <w:tcW w:w="620" w:type="dxa"/>
            <w:tcMar>
              <w:top w:w="70" w:type="dxa"/>
              <w:left w:w="90" w:type="dxa"/>
              <w:bottom w:w="70" w:type="dxa"/>
              <w:right w:w="90" w:type="dxa"/>
            </w:tcMar>
            <w:vAlign w:val="center"/>
          </w:tcPr>
          <w:p w14:paraId="5E0BC8D1" w14:textId="77777777" w:rsidR="00C521CB" w:rsidRDefault="00923650">
            <w:pPr>
              <w:jc w:val="left"/>
            </w:pPr>
            <w:r>
              <w:rPr>
                <w:rFonts w:ascii="Arial" w:hAnsi="Arial"/>
                <w:sz w:val="16"/>
              </w:rPr>
              <w:t>2023</w:t>
            </w:r>
          </w:p>
        </w:tc>
        <w:tc>
          <w:tcPr>
            <w:tcW w:w="1560" w:type="dxa"/>
            <w:tcMar>
              <w:top w:w="70" w:type="dxa"/>
              <w:left w:w="90" w:type="dxa"/>
              <w:bottom w:w="70" w:type="dxa"/>
              <w:right w:w="90" w:type="dxa"/>
            </w:tcMar>
            <w:vAlign w:val="center"/>
          </w:tcPr>
          <w:p w14:paraId="0523DE8F" w14:textId="77777777" w:rsidR="00C521CB" w:rsidRDefault="00923650">
            <w:pPr>
              <w:jc w:val="left"/>
            </w:pPr>
            <w:r>
              <w:rPr>
                <w:rFonts w:ascii="Arial" w:hAnsi="Arial"/>
                <w:sz w:val="16"/>
              </w:rPr>
              <w:t>Long-term single-implant clinical series</w:t>
            </w:r>
          </w:p>
        </w:tc>
        <w:tc>
          <w:tcPr>
            <w:tcW w:w="3300" w:type="dxa"/>
            <w:tcMar>
              <w:top w:w="70" w:type="dxa"/>
              <w:left w:w="90" w:type="dxa"/>
              <w:bottom w:w="70" w:type="dxa"/>
              <w:right w:w="90" w:type="dxa"/>
            </w:tcMar>
            <w:vAlign w:val="center"/>
          </w:tcPr>
          <w:p w14:paraId="4C1DC540" w14:textId="77777777" w:rsidR="00C521CB" w:rsidRDefault="00923650">
            <w:pPr>
              <w:jc w:val="left"/>
            </w:pPr>
            <w:r>
              <w:rPr>
                <w:rFonts w:ascii="Arial" w:hAnsi="Arial"/>
                <w:sz w:val="16"/>
              </w:rPr>
              <w:t xml:space="preserve">10-year survival 78%; overall revision 22%; carpal-side and radial </w:t>
            </w:r>
            <w:proofErr w:type="spellStart"/>
            <w:r>
              <w:rPr>
                <w:rFonts w:ascii="Arial" w:hAnsi="Arial"/>
                <w:sz w:val="16"/>
              </w:rPr>
              <w:t>lucency</w:t>
            </w:r>
            <w:proofErr w:type="spellEnd"/>
            <w:r>
              <w:rPr>
                <w:rFonts w:ascii="Arial" w:hAnsi="Arial"/>
                <w:sz w:val="16"/>
              </w:rPr>
              <w:t>; polyethylene wear dominant in late loosening</w:t>
            </w:r>
          </w:p>
        </w:tc>
        <w:tc>
          <w:tcPr>
            <w:tcW w:w="2330" w:type="dxa"/>
            <w:tcMar>
              <w:top w:w="70" w:type="dxa"/>
              <w:left w:w="90" w:type="dxa"/>
              <w:bottom w:w="70" w:type="dxa"/>
              <w:right w:w="90" w:type="dxa"/>
            </w:tcMar>
            <w:vAlign w:val="center"/>
          </w:tcPr>
          <w:p w14:paraId="2D251605" w14:textId="77777777" w:rsidR="00C521CB" w:rsidRDefault="00923650">
            <w:pPr>
              <w:jc w:val="left"/>
            </w:pPr>
            <w:r>
              <w:rPr>
                <w:rFonts w:ascii="Arial" w:hAnsi="Arial"/>
                <w:sz w:val="16"/>
              </w:rPr>
              <w:t>The fourth-generation failure spectrum in absolute terms</w:t>
            </w:r>
          </w:p>
        </w:tc>
      </w:tr>
      <w:tr w:rsidR="00C521CB" w14:paraId="26EC4E17" w14:textId="77777777">
        <w:trPr>
          <w:cantSplit/>
          <w:jc w:val="center"/>
        </w:trPr>
        <w:tc>
          <w:tcPr>
            <w:tcW w:w="1750" w:type="dxa"/>
            <w:tcMar>
              <w:top w:w="70" w:type="dxa"/>
              <w:left w:w="90" w:type="dxa"/>
              <w:bottom w:w="70" w:type="dxa"/>
              <w:right w:w="90" w:type="dxa"/>
            </w:tcMar>
            <w:vAlign w:val="center"/>
          </w:tcPr>
          <w:p w14:paraId="31C132DA" w14:textId="77777777" w:rsidR="00C521CB" w:rsidRDefault="00923650">
            <w:pPr>
              <w:jc w:val="left"/>
            </w:pPr>
            <w:proofErr w:type="spellStart"/>
            <w:r>
              <w:rPr>
                <w:rFonts w:ascii="Arial" w:hAnsi="Arial"/>
                <w:sz w:val="16"/>
              </w:rPr>
              <w:t>Labek</w:t>
            </w:r>
            <w:proofErr w:type="spellEnd"/>
            <w:r>
              <w:rPr>
                <w:rFonts w:ascii="Arial" w:hAnsi="Arial"/>
                <w:sz w:val="16"/>
              </w:rPr>
              <w:t xml:space="preserve"> et al. {</w:t>
            </w:r>
            <w:proofErr w:type="spellStart"/>
            <w:r>
              <w:rPr>
                <w:rFonts w:ascii="Arial" w:hAnsi="Arial"/>
                <w:sz w:val="16"/>
              </w:rPr>
              <w:t>Labek</w:t>
            </w:r>
            <w:proofErr w:type="spellEnd"/>
            <w:r>
              <w:rPr>
                <w:rFonts w:ascii="Arial" w:hAnsi="Arial"/>
                <w:sz w:val="16"/>
              </w:rPr>
              <w:t xml:space="preserve"> 2011} (worldwide joint-register datasets)</w:t>
            </w:r>
          </w:p>
        </w:tc>
        <w:tc>
          <w:tcPr>
            <w:tcW w:w="620" w:type="dxa"/>
            <w:tcMar>
              <w:top w:w="70" w:type="dxa"/>
              <w:left w:w="90" w:type="dxa"/>
              <w:bottom w:w="70" w:type="dxa"/>
              <w:right w:w="90" w:type="dxa"/>
            </w:tcMar>
            <w:vAlign w:val="center"/>
          </w:tcPr>
          <w:p w14:paraId="5BC893FC" w14:textId="77777777" w:rsidR="00C521CB" w:rsidRDefault="00923650">
            <w:pPr>
              <w:jc w:val="left"/>
            </w:pPr>
            <w:r>
              <w:rPr>
                <w:rFonts w:ascii="Arial" w:hAnsi="Arial"/>
                <w:sz w:val="16"/>
              </w:rPr>
              <w:t>2011</w:t>
            </w:r>
          </w:p>
        </w:tc>
        <w:tc>
          <w:tcPr>
            <w:tcW w:w="1560" w:type="dxa"/>
            <w:tcMar>
              <w:top w:w="70" w:type="dxa"/>
              <w:left w:w="90" w:type="dxa"/>
              <w:bottom w:w="70" w:type="dxa"/>
              <w:right w:w="90" w:type="dxa"/>
            </w:tcMar>
            <w:vAlign w:val="center"/>
          </w:tcPr>
          <w:p w14:paraId="38E223A2" w14:textId="77777777" w:rsidR="00C521CB" w:rsidRDefault="00923650">
            <w:pPr>
              <w:jc w:val="left"/>
            </w:pPr>
            <w:r>
              <w:rPr>
                <w:rFonts w:ascii="Arial" w:hAnsi="Arial"/>
                <w:sz w:val="16"/>
              </w:rPr>
              <w:t>Aggregate register comparison, hip and knee</w:t>
            </w:r>
          </w:p>
        </w:tc>
        <w:tc>
          <w:tcPr>
            <w:tcW w:w="3300" w:type="dxa"/>
            <w:tcMar>
              <w:top w:w="70" w:type="dxa"/>
              <w:left w:w="90" w:type="dxa"/>
              <w:bottom w:w="70" w:type="dxa"/>
              <w:right w:w="90" w:type="dxa"/>
            </w:tcMar>
            <w:vAlign w:val="center"/>
          </w:tcPr>
          <w:p w14:paraId="567DC5B5" w14:textId="77777777" w:rsidR="00C521CB" w:rsidRDefault="00923650">
            <w:pPr>
              <w:jc w:val="left"/>
            </w:pPr>
            <w:r>
              <w:rPr>
                <w:rFonts w:ascii="Arial" w:hAnsi="Arial"/>
                <w:sz w:val="16"/>
              </w:rPr>
              <w:t>Cumulative revision about 6% at 5 years and about 12% at 10 years</w:t>
            </w:r>
          </w:p>
        </w:tc>
        <w:tc>
          <w:tcPr>
            <w:tcW w:w="2330" w:type="dxa"/>
            <w:tcMar>
              <w:top w:w="70" w:type="dxa"/>
              <w:left w:w="90" w:type="dxa"/>
              <w:bottom w:w="70" w:type="dxa"/>
              <w:right w:w="90" w:type="dxa"/>
            </w:tcMar>
            <w:vAlign w:val="center"/>
          </w:tcPr>
          <w:p w14:paraId="32169203" w14:textId="77777777" w:rsidR="00C521CB" w:rsidRDefault="00923650">
            <w:pPr>
              <w:jc w:val="left"/>
            </w:pPr>
            <w:r>
              <w:rPr>
                <w:rFonts w:ascii="Arial" w:hAnsi="Arial"/>
                <w:sz w:val="16"/>
              </w:rPr>
              <w:t>The large-joint comparator that quantifies the survivorship gap</w:t>
            </w:r>
          </w:p>
        </w:tc>
      </w:tr>
      <w:tr w:rsidR="00C521CB" w14:paraId="159E5344" w14:textId="77777777">
        <w:trPr>
          <w:cantSplit/>
          <w:jc w:val="center"/>
        </w:trPr>
        <w:tc>
          <w:tcPr>
            <w:tcW w:w="1750" w:type="dxa"/>
            <w:tcMar>
              <w:top w:w="70" w:type="dxa"/>
              <w:left w:w="90" w:type="dxa"/>
              <w:bottom w:w="70" w:type="dxa"/>
              <w:right w:w="90" w:type="dxa"/>
            </w:tcMar>
            <w:vAlign w:val="center"/>
          </w:tcPr>
          <w:p w14:paraId="527C8964" w14:textId="77777777" w:rsidR="00C521CB" w:rsidRPr="00BE3B19" w:rsidRDefault="00923650">
            <w:pPr>
              <w:jc w:val="left"/>
              <w:rPr>
                <w:lang w:val="de-DE"/>
              </w:rPr>
            </w:pPr>
            <w:r w:rsidRPr="00BE3B19">
              <w:rPr>
                <w:rFonts w:ascii="Arial" w:hAnsi="Arial"/>
                <w:sz w:val="16"/>
                <w:lang w:val="de-DE"/>
              </w:rPr>
              <w:t>Akhbari et al. {Akhbari 2020} (biplane videoradiography)</w:t>
            </w:r>
          </w:p>
        </w:tc>
        <w:tc>
          <w:tcPr>
            <w:tcW w:w="620" w:type="dxa"/>
            <w:tcMar>
              <w:top w:w="70" w:type="dxa"/>
              <w:left w:w="90" w:type="dxa"/>
              <w:bottom w:w="70" w:type="dxa"/>
              <w:right w:w="90" w:type="dxa"/>
            </w:tcMar>
            <w:vAlign w:val="center"/>
          </w:tcPr>
          <w:p w14:paraId="0EAFB4A5" w14:textId="77777777" w:rsidR="00C521CB" w:rsidRDefault="00923650">
            <w:pPr>
              <w:jc w:val="left"/>
            </w:pPr>
            <w:r>
              <w:rPr>
                <w:rFonts w:ascii="Arial" w:hAnsi="Arial"/>
                <w:sz w:val="16"/>
              </w:rPr>
              <w:t>2020</w:t>
            </w:r>
          </w:p>
        </w:tc>
        <w:tc>
          <w:tcPr>
            <w:tcW w:w="1560" w:type="dxa"/>
            <w:tcMar>
              <w:top w:w="70" w:type="dxa"/>
              <w:left w:w="90" w:type="dxa"/>
              <w:bottom w:w="70" w:type="dxa"/>
              <w:right w:w="90" w:type="dxa"/>
            </w:tcMar>
            <w:vAlign w:val="center"/>
          </w:tcPr>
          <w:p w14:paraId="05B1E653" w14:textId="2FBAF8C0" w:rsidR="00C521CB" w:rsidRDefault="00BC639E">
            <w:pPr>
              <w:jc w:val="left"/>
            </w:pPr>
            <w:r w:rsidRPr="00BC639E">
              <w:rPr>
                <w:rFonts w:ascii="Arial" w:hAnsi="Arial"/>
                <w:i/>
                <w:iCs/>
                <w:sz w:val="16"/>
              </w:rPr>
              <w:t>In-vivo</w:t>
            </w:r>
            <w:r>
              <w:rPr>
                <w:rFonts w:ascii="Arial" w:hAnsi="Arial"/>
                <w:sz w:val="16"/>
              </w:rPr>
              <w:t xml:space="preserve"> measurement, TWA versus healthy wrists</w:t>
            </w:r>
          </w:p>
        </w:tc>
        <w:tc>
          <w:tcPr>
            <w:tcW w:w="3300" w:type="dxa"/>
            <w:tcMar>
              <w:top w:w="70" w:type="dxa"/>
              <w:left w:w="90" w:type="dxa"/>
              <w:bottom w:w="70" w:type="dxa"/>
              <w:right w:w="90" w:type="dxa"/>
            </w:tcMar>
            <w:vAlign w:val="center"/>
          </w:tcPr>
          <w:p w14:paraId="14DDC377" w14:textId="4626C223" w:rsidR="00C521CB" w:rsidRDefault="008F1480">
            <w:pPr>
              <w:jc w:val="left"/>
            </w:pPr>
            <w:r>
              <w:rPr>
                <w:rFonts w:ascii="Arial" w:hAnsi="Arial"/>
                <w:sz w:val="16"/>
              </w:rPr>
              <w:t>COR excursion about 17.1 mm across coupled tasks versus about 7.2 mm in healthy wrists (same algorithm and tasks)</w:t>
            </w:r>
          </w:p>
        </w:tc>
        <w:tc>
          <w:tcPr>
            <w:tcW w:w="2330" w:type="dxa"/>
            <w:tcMar>
              <w:top w:w="70" w:type="dxa"/>
              <w:left w:w="90" w:type="dxa"/>
              <w:bottom w:w="70" w:type="dxa"/>
              <w:right w:w="90" w:type="dxa"/>
            </w:tcMar>
            <w:vAlign w:val="center"/>
          </w:tcPr>
          <w:p w14:paraId="1AA06062" w14:textId="2DA4DCDD" w:rsidR="00C521CB" w:rsidRDefault="00923650">
            <w:pPr>
              <w:jc w:val="left"/>
            </w:pPr>
            <w:r>
              <w:rPr>
                <w:rFonts w:ascii="Arial" w:hAnsi="Arial"/>
                <w:sz w:val="16"/>
              </w:rPr>
              <w:t xml:space="preserve">The magnitude of </w:t>
            </w:r>
            <w:r w:rsidR="00BC639E" w:rsidRPr="00BC639E">
              <w:rPr>
                <w:rFonts w:ascii="Arial" w:hAnsi="Arial"/>
                <w:i/>
                <w:iCs/>
                <w:sz w:val="16"/>
              </w:rPr>
              <w:t>in-vivo</w:t>
            </w:r>
            <w:r>
              <w:rPr>
                <w:rFonts w:ascii="Arial" w:hAnsi="Arial"/>
                <w:sz w:val="16"/>
              </w:rPr>
              <w:t xml:space="preserve"> mechanical deviation available to design against</w:t>
            </w:r>
          </w:p>
        </w:tc>
      </w:tr>
    </w:tbl>
    <w:p w14:paraId="75ED0C00" w14:textId="77777777" w:rsidR="00C521CB" w:rsidRDefault="00923650">
      <w:pPr>
        <w:spacing w:before="160"/>
        <w:jc w:val="center"/>
      </w:pPr>
      <w:r>
        <w:rPr>
          <w:noProof/>
        </w:rPr>
        <w:drawing>
          <wp:inline distT="0" distB="0" distL="0" distR="0" wp14:anchorId="2D2E34BD" wp14:editId="60AA070E">
            <wp:extent cx="5700000" cy="2665371"/>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pic:cNvPicPr/>
                  </pic:nvPicPr>
                  <pic:blipFill>
                    <a:blip r:embed="rId8"/>
                    <a:stretch>
                      <a:fillRect/>
                    </a:stretch>
                  </pic:blipFill>
                  <pic:spPr>
                    <a:xfrm>
                      <a:off x="0" y="0"/>
                      <a:ext cx="5700000" cy="2665371"/>
                    </a:xfrm>
                    <a:prstGeom prst="rect">
                      <a:avLst/>
                    </a:prstGeom>
                  </pic:spPr>
                </pic:pic>
              </a:graphicData>
            </a:graphic>
          </wp:inline>
        </w:drawing>
      </w:r>
    </w:p>
    <w:p w14:paraId="21F253F6" w14:textId="4C48281D" w:rsidR="00C521CB" w:rsidRDefault="00923650">
      <w:pPr>
        <w:spacing w:after="160"/>
      </w:pPr>
      <w:r>
        <w:t xml:space="preserve">  Fig. 1 | The biomechanics-driven image-to-implant framework for total wrist arthroplasty. Six stages connect patient presentation to verified implant function: Stage 0 defines requirements from the clinical and biomechanical evidence; Stage 1 converts imaging into a coordinated digital anatomy and quantitative target set; Stage 2 subjects candidate designs to validated multibody and finite element analysis informed by </w:t>
      </w:r>
      <w:r w:rsidR="00BC639E" w:rsidRPr="00BC639E">
        <w:rPr>
          <w:i/>
          <w:iCs/>
        </w:rPr>
        <w:t>in-vivo</w:t>
      </w:r>
      <w:r>
        <w:t xml:space="preserve"> evidence from existing implants; Stage 3 synthesizes geometry through </w:t>
      </w:r>
      <w:proofErr w:type="spellStart"/>
      <w:r>
        <w:t>multiobjective</w:t>
      </w:r>
      <w:proofErr w:type="spellEnd"/>
      <w:r>
        <w:t xml:space="preserve"> optimization and selects the customization level; Stage 4 realizes the design in materials, manufacturing and regulatory processes linked by a digital thread; Stage 5 verifies the result experimentally and surveils it </w:t>
      </w:r>
      <w:r w:rsidR="00BC639E" w:rsidRPr="00BC639E">
        <w:rPr>
          <w:i/>
          <w:iCs/>
        </w:rPr>
        <w:t>in-vivo</w:t>
      </w:r>
      <w:r>
        <w:t>, with postoperative measurements feeding back into every upstream stage. Each stage gate requires its inputs, methods and acceptance evidence to be documented before the design passes to the next stage.</w:t>
      </w:r>
    </w:p>
    <w:p w14:paraId="688BD6DC" w14:textId="77777777" w:rsidR="00C521CB" w:rsidRDefault="00C521CB">
      <w:pPr>
        <w:ind w:firstLine="317"/>
      </w:pPr>
    </w:p>
    <w:p w14:paraId="57BEB599" w14:textId="77777777" w:rsidR="00C521CB" w:rsidRDefault="00923650">
      <w:pPr>
        <w:pStyle w:val="1"/>
        <w:pageBreakBefore/>
      </w:pPr>
      <w:r>
        <w:lastRenderedPageBreak/>
        <w:t>2 Clinical and biomechanical requirements for wrist arthroplasty</w:t>
      </w:r>
    </w:p>
    <w:p w14:paraId="4A499C34" w14:textId="77777777" w:rsidR="00C521CB" w:rsidRDefault="00923650">
      <w:pPr>
        <w:ind w:firstLine="317"/>
      </w:pPr>
      <w:r>
        <w:t xml:space="preserve"> This section reviews the literature gathered at Stage 0 of Fig. 1, namely the conversion of clinical and biomechanical evidence into an </w:t>
      </w:r>
      <w:proofErr w:type="gramStart"/>
      <w:r>
        <w:t>explicit requirements</w:t>
      </w:r>
      <w:proofErr w:type="gramEnd"/>
      <w:r>
        <w:t xml:space="preserve"> set: the native wrist as design target, the diseased wrist and patient selection, the ulnar column, and the musculotendinous constraints, consolidated in Table 2, with the primary studies of all stages listed in the consolidated Table 4.</w:t>
      </w:r>
    </w:p>
    <w:p w14:paraId="04FA46C5" w14:textId="77777777" w:rsidR="00C521CB" w:rsidRDefault="00923650">
      <w:pPr>
        <w:ind w:firstLine="317"/>
      </w:pPr>
      <w:r>
        <w:t xml:space="preserve"> Table 2 | Requirements traceability matrix (a synthesis device assembled by this Review)</w:t>
      </w:r>
    </w:p>
    <w:tbl>
      <w:tblPr>
        <w:tblW w:w="0" w:type="auto"/>
        <w:jc w:val="center"/>
        <w:tblLayout w:type="fixed"/>
        <w:tblLook w:val="04A0" w:firstRow="1" w:lastRow="0" w:firstColumn="1" w:lastColumn="0" w:noHBand="0" w:noVBand="1"/>
      </w:tblPr>
      <w:tblGrid>
        <w:gridCol w:w="1750"/>
        <w:gridCol w:w="620"/>
        <w:gridCol w:w="1560"/>
        <w:gridCol w:w="3300"/>
        <w:gridCol w:w="2330"/>
      </w:tblGrid>
      <w:tr w:rsidR="00C521CB" w14:paraId="0D3C060B" w14:textId="77777777">
        <w:trPr>
          <w:cantSplit/>
          <w:tblHeader/>
          <w:jc w:val="center"/>
        </w:trPr>
        <w:tc>
          <w:tcPr>
            <w:tcW w:w="1750" w:type="dxa"/>
            <w:shd w:val="clear" w:color="auto" w:fill="E8EEF2"/>
            <w:tcMar>
              <w:top w:w="70" w:type="dxa"/>
              <w:left w:w="90" w:type="dxa"/>
              <w:bottom w:w="70" w:type="dxa"/>
              <w:right w:w="90" w:type="dxa"/>
            </w:tcMar>
            <w:vAlign w:val="center"/>
          </w:tcPr>
          <w:p w14:paraId="107998CF" w14:textId="77777777" w:rsidR="00C521CB" w:rsidRDefault="00923650">
            <w:pPr>
              <w:jc w:val="left"/>
            </w:pPr>
            <w:r>
              <w:rPr>
                <w:rFonts w:ascii="Arial" w:hAnsi="Arial"/>
                <w:color w:val="223A49"/>
                <w:sz w:val="15"/>
              </w:rPr>
              <w:t>Requirement</w:t>
            </w:r>
          </w:p>
        </w:tc>
        <w:tc>
          <w:tcPr>
            <w:tcW w:w="620" w:type="dxa"/>
            <w:shd w:val="clear" w:color="auto" w:fill="E8EEF2"/>
            <w:tcMar>
              <w:top w:w="70" w:type="dxa"/>
              <w:left w:w="90" w:type="dxa"/>
              <w:bottom w:w="70" w:type="dxa"/>
              <w:right w:w="90" w:type="dxa"/>
            </w:tcMar>
            <w:vAlign w:val="center"/>
          </w:tcPr>
          <w:p w14:paraId="23E7FB3E" w14:textId="77777777" w:rsidR="00C521CB" w:rsidRDefault="00923650">
            <w:pPr>
              <w:jc w:val="left"/>
            </w:pPr>
            <w:r>
              <w:rPr>
                <w:rFonts w:ascii="Arial" w:hAnsi="Arial"/>
                <w:color w:val="223A49"/>
                <w:sz w:val="15"/>
              </w:rPr>
              <w:t>Measurable target and basis</w:t>
            </w:r>
          </w:p>
        </w:tc>
        <w:tc>
          <w:tcPr>
            <w:tcW w:w="1560" w:type="dxa"/>
            <w:shd w:val="clear" w:color="auto" w:fill="E8EEF2"/>
            <w:tcMar>
              <w:top w:w="70" w:type="dxa"/>
              <w:left w:w="90" w:type="dxa"/>
              <w:bottom w:w="70" w:type="dxa"/>
              <w:right w:w="90" w:type="dxa"/>
            </w:tcMar>
            <w:vAlign w:val="center"/>
          </w:tcPr>
          <w:p w14:paraId="159E3C4A" w14:textId="77777777" w:rsidR="00C521CB" w:rsidRDefault="00923650">
            <w:pPr>
              <w:jc w:val="left"/>
            </w:pPr>
            <w:r>
              <w:rPr>
                <w:rFonts w:ascii="Arial" w:hAnsi="Arial"/>
                <w:color w:val="223A49"/>
                <w:sz w:val="15"/>
              </w:rPr>
              <w:t>Evidence basis</w:t>
            </w:r>
          </w:p>
        </w:tc>
        <w:tc>
          <w:tcPr>
            <w:tcW w:w="3300" w:type="dxa"/>
            <w:shd w:val="clear" w:color="auto" w:fill="E8EEF2"/>
            <w:tcMar>
              <w:top w:w="70" w:type="dxa"/>
              <w:left w:w="90" w:type="dxa"/>
              <w:bottom w:w="70" w:type="dxa"/>
              <w:right w:w="90" w:type="dxa"/>
            </w:tcMar>
            <w:vAlign w:val="center"/>
          </w:tcPr>
          <w:p w14:paraId="727B9049" w14:textId="77777777" w:rsidR="00C521CB" w:rsidRDefault="00923650">
            <w:pPr>
              <w:jc w:val="left"/>
            </w:pPr>
            <w:r>
              <w:rPr>
                <w:rFonts w:ascii="Arial" w:hAnsi="Arial"/>
                <w:color w:val="223A49"/>
                <w:sz w:val="15"/>
              </w:rPr>
              <w:t>Where addressed</w:t>
            </w:r>
          </w:p>
        </w:tc>
        <w:tc>
          <w:tcPr>
            <w:tcW w:w="2330" w:type="dxa"/>
            <w:shd w:val="clear" w:color="auto" w:fill="E8EEF2"/>
            <w:tcMar>
              <w:top w:w="70" w:type="dxa"/>
              <w:left w:w="90" w:type="dxa"/>
              <w:bottom w:w="70" w:type="dxa"/>
              <w:right w:w="90" w:type="dxa"/>
            </w:tcMar>
            <w:vAlign w:val="center"/>
          </w:tcPr>
          <w:p w14:paraId="095B4393" w14:textId="77777777" w:rsidR="00C521CB" w:rsidRDefault="00923650">
            <w:pPr>
              <w:jc w:val="left"/>
            </w:pPr>
            <w:r>
              <w:rPr>
                <w:rFonts w:ascii="Arial" w:hAnsi="Arial"/>
                <w:color w:val="223A49"/>
                <w:sz w:val="15"/>
              </w:rPr>
              <w:t>Status of the evidence</w:t>
            </w:r>
          </w:p>
        </w:tc>
      </w:tr>
      <w:tr w:rsidR="00C521CB" w14:paraId="644DFED0" w14:textId="77777777">
        <w:trPr>
          <w:cantSplit/>
          <w:jc w:val="center"/>
        </w:trPr>
        <w:tc>
          <w:tcPr>
            <w:tcW w:w="1750" w:type="dxa"/>
            <w:tcMar>
              <w:top w:w="70" w:type="dxa"/>
              <w:left w:w="90" w:type="dxa"/>
              <w:bottom w:w="70" w:type="dxa"/>
              <w:right w:w="90" w:type="dxa"/>
            </w:tcMar>
            <w:vAlign w:val="center"/>
          </w:tcPr>
          <w:p w14:paraId="52C08AD8" w14:textId="77777777" w:rsidR="00C521CB" w:rsidRDefault="00923650">
            <w:pPr>
              <w:jc w:val="left"/>
            </w:pPr>
            <w:r>
              <w:rPr>
                <w:rFonts w:ascii="Arial" w:hAnsi="Arial"/>
                <w:sz w:val="16"/>
              </w:rPr>
              <w:t>R1 Functional motion</w:t>
            </w:r>
          </w:p>
        </w:tc>
        <w:tc>
          <w:tcPr>
            <w:tcW w:w="620" w:type="dxa"/>
            <w:tcMar>
              <w:top w:w="70" w:type="dxa"/>
              <w:left w:w="90" w:type="dxa"/>
              <w:bottom w:w="70" w:type="dxa"/>
              <w:right w:w="90" w:type="dxa"/>
            </w:tcMar>
            <w:vAlign w:val="center"/>
          </w:tcPr>
          <w:p w14:paraId="3F9B58CF" w14:textId="77777777" w:rsidR="00C521CB" w:rsidRDefault="00923650">
            <w:pPr>
              <w:jc w:val="left"/>
            </w:pPr>
            <w:r>
              <w:rPr>
                <w:rFonts w:ascii="Arial" w:hAnsi="Arial"/>
                <w:sz w:val="16"/>
              </w:rPr>
              <w:t xml:space="preserve">Restore the functional arc (60° </w:t>
            </w:r>
            <w:proofErr w:type="spellStart"/>
            <w:r>
              <w:rPr>
                <w:rFonts w:ascii="Arial" w:hAnsi="Arial"/>
                <w:sz w:val="16"/>
              </w:rPr>
              <w:t>ext</w:t>
            </w:r>
            <w:proofErr w:type="spellEnd"/>
            <w:r>
              <w:rPr>
                <w:rFonts w:ascii="Arial" w:hAnsi="Arial"/>
                <w:sz w:val="16"/>
              </w:rPr>
              <w:t>, 54° flex, 40° UD, 17° RD), not maximal passive range</w:t>
            </w:r>
          </w:p>
        </w:tc>
        <w:tc>
          <w:tcPr>
            <w:tcW w:w="1560" w:type="dxa"/>
            <w:tcMar>
              <w:top w:w="70" w:type="dxa"/>
              <w:left w:w="90" w:type="dxa"/>
              <w:bottom w:w="70" w:type="dxa"/>
              <w:right w:w="90" w:type="dxa"/>
            </w:tcMar>
            <w:vAlign w:val="center"/>
          </w:tcPr>
          <w:p w14:paraId="45AADCF5" w14:textId="77777777" w:rsidR="00C521CB" w:rsidRDefault="00923650">
            <w:pPr>
              <w:jc w:val="left"/>
            </w:pPr>
            <w:r>
              <w:rPr>
                <w:rFonts w:ascii="Arial" w:hAnsi="Arial"/>
                <w:sz w:val="16"/>
              </w:rPr>
              <w:t>Ryu et al. {Ryu 1991}; reviews {Reigstad 2025; Clementson 2024}</w:t>
            </w:r>
          </w:p>
        </w:tc>
        <w:tc>
          <w:tcPr>
            <w:tcW w:w="3300" w:type="dxa"/>
            <w:tcMar>
              <w:top w:w="70" w:type="dxa"/>
              <w:left w:w="90" w:type="dxa"/>
              <w:bottom w:w="70" w:type="dxa"/>
              <w:right w:w="90" w:type="dxa"/>
            </w:tcMar>
            <w:vAlign w:val="center"/>
          </w:tcPr>
          <w:p w14:paraId="46EB8216" w14:textId="77777777" w:rsidR="00C521CB" w:rsidRDefault="00923650">
            <w:pPr>
              <w:jc w:val="left"/>
            </w:pPr>
            <w:r>
              <w:rPr>
                <w:rFonts w:ascii="Arial" w:hAnsi="Arial"/>
                <w:sz w:val="16"/>
              </w:rPr>
              <w:t>§4, §5; verification §7.1</w:t>
            </w:r>
          </w:p>
        </w:tc>
        <w:tc>
          <w:tcPr>
            <w:tcW w:w="2330" w:type="dxa"/>
            <w:tcMar>
              <w:top w:w="70" w:type="dxa"/>
              <w:left w:w="90" w:type="dxa"/>
              <w:bottom w:w="70" w:type="dxa"/>
              <w:right w:w="90" w:type="dxa"/>
            </w:tcMar>
            <w:vAlign w:val="center"/>
          </w:tcPr>
          <w:p w14:paraId="53EA7316" w14:textId="77777777" w:rsidR="00C521CB" w:rsidRDefault="00923650">
            <w:pPr>
              <w:jc w:val="left"/>
            </w:pPr>
            <w:r>
              <w:rPr>
                <w:rFonts w:ascii="Arial" w:hAnsi="Arial"/>
                <w:sz w:val="16"/>
              </w:rPr>
              <w:t>Normative values established; implant-specific verification absent</w:t>
            </w:r>
          </w:p>
        </w:tc>
      </w:tr>
      <w:tr w:rsidR="00C521CB" w14:paraId="71FC3DFC" w14:textId="77777777">
        <w:trPr>
          <w:cantSplit/>
          <w:jc w:val="center"/>
        </w:trPr>
        <w:tc>
          <w:tcPr>
            <w:tcW w:w="1750" w:type="dxa"/>
            <w:tcMar>
              <w:top w:w="70" w:type="dxa"/>
              <w:left w:w="90" w:type="dxa"/>
              <w:bottom w:w="70" w:type="dxa"/>
              <w:right w:w="90" w:type="dxa"/>
            </w:tcMar>
            <w:vAlign w:val="center"/>
          </w:tcPr>
          <w:p w14:paraId="1F355A04" w14:textId="77777777" w:rsidR="00C521CB" w:rsidRDefault="00923650">
            <w:pPr>
              <w:jc w:val="left"/>
            </w:pPr>
            <w:r>
              <w:rPr>
                <w:rFonts w:ascii="Arial" w:hAnsi="Arial"/>
                <w:sz w:val="16"/>
              </w:rPr>
              <w:t>R2 Distributed load transfer</w:t>
            </w:r>
          </w:p>
        </w:tc>
        <w:tc>
          <w:tcPr>
            <w:tcW w:w="620" w:type="dxa"/>
            <w:tcMar>
              <w:top w:w="70" w:type="dxa"/>
              <w:left w:w="90" w:type="dxa"/>
              <w:bottom w:w="70" w:type="dxa"/>
              <w:right w:w="90" w:type="dxa"/>
            </w:tcMar>
            <w:vAlign w:val="center"/>
          </w:tcPr>
          <w:p w14:paraId="5CCB06DF" w14:textId="77777777" w:rsidR="00C521CB" w:rsidRDefault="00923650">
            <w:pPr>
              <w:jc w:val="left"/>
            </w:pPr>
            <w:r>
              <w:rPr>
                <w:rFonts w:ascii="Arial" w:hAnsi="Arial"/>
                <w:sz w:val="16"/>
              </w:rPr>
              <w:t>Preserve a radiocarpal/ulnocarpal envelope near the native ~80/20 split with migrating contact</w:t>
            </w:r>
          </w:p>
        </w:tc>
        <w:tc>
          <w:tcPr>
            <w:tcW w:w="1560" w:type="dxa"/>
            <w:tcMar>
              <w:top w:w="70" w:type="dxa"/>
              <w:left w:w="90" w:type="dxa"/>
              <w:bottom w:w="70" w:type="dxa"/>
              <w:right w:w="90" w:type="dxa"/>
            </w:tcMar>
            <w:vAlign w:val="center"/>
          </w:tcPr>
          <w:p w14:paraId="73D3746C" w14:textId="77777777" w:rsidR="00C521CB" w:rsidRDefault="00923650">
            <w:pPr>
              <w:jc w:val="left"/>
            </w:pPr>
            <w:r>
              <w:rPr>
                <w:rFonts w:ascii="Arial" w:hAnsi="Arial"/>
                <w:sz w:val="16"/>
              </w:rPr>
              <w:t>Eschweiler et al. {Eschweiler 2022}; FEA {Gislason 2017; McCullough 2012}</w:t>
            </w:r>
          </w:p>
        </w:tc>
        <w:tc>
          <w:tcPr>
            <w:tcW w:w="3300" w:type="dxa"/>
            <w:tcMar>
              <w:top w:w="70" w:type="dxa"/>
              <w:left w:w="90" w:type="dxa"/>
              <w:bottom w:w="70" w:type="dxa"/>
              <w:right w:w="90" w:type="dxa"/>
            </w:tcMar>
            <w:vAlign w:val="center"/>
          </w:tcPr>
          <w:p w14:paraId="12264428" w14:textId="77777777" w:rsidR="00C521CB" w:rsidRDefault="00923650">
            <w:pPr>
              <w:jc w:val="left"/>
            </w:pPr>
            <w:r>
              <w:rPr>
                <w:rFonts w:ascii="Arial" w:hAnsi="Arial"/>
                <w:sz w:val="16"/>
              </w:rPr>
              <w:t>§4</w:t>
            </w:r>
          </w:p>
        </w:tc>
        <w:tc>
          <w:tcPr>
            <w:tcW w:w="2330" w:type="dxa"/>
            <w:tcMar>
              <w:top w:w="70" w:type="dxa"/>
              <w:left w:w="90" w:type="dxa"/>
              <w:bottom w:w="70" w:type="dxa"/>
              <w:right w:w="90" w:type="dxa"/>
            </w:tcMar>
            <w:vAlign w:val="center"/>
          </w:tcPr>
          <w:p w14:paraId="61115BD1" w14:textId="77777777" w:rsidR="00C521CB" w:rsidRDefault="00923650">
            <w:pPr>
              <w:jc w:val="left"/>
            </w:pPr>
            <w:r>
              <w:rPr>
                <w:rFonts w:ascii="Arial" w:hAnsi="Arial"/>
                <w:sz w:val="16"/>
              </w:rPr>
              <w:t>Reference values only; posture- and method-dependent</w:t>
            </w:r>
          </w:p>
        </w:tc>
      </w:tr>
      <w:tr w:rsidR="00C521CB" w14:paraId="2B71739A" w14:textId="77777777">
        <w:trPr>
          <w:cantSplit/>
          <w:jc w:val="center"/>
        </w:trPr>
        <w:tc>
          <w:tcPr>
            <w:tcW w:w="1750" w:type="dxa"/>
            <w:tcMar>
              <w:top w:w="70" w:type="dxa"/>
              <w:left w:w="90" w:type="dxa"/>
              <w:bottom w:w="70" w:type="dxa"/>
              <w:right w:w="90" w:type="dxa"/>
            </w:tcMar>
            <w:vAlign w:val="center"/>
          </w:tcPr>
          <w:p w14:paraId="74E2DD50" w14:textId="77777777" w:rsidR="00C521CB" w:rsidRDefault="00923650">
            <w:pPr>
              <w:jc w:val="left"/>
            </w:pPr>
            <w:r>
              <w:rPr>
                <w:rFonts w:ascii="Arial" w:hAnsi="Arial"/>
                <w:sz w:val="16"/>
              </w:rPr>
              <w:t xml:space="preserve">R3 Controlled </w:t>
            </w:r>
            <w:proofErr w:type="spellStart"/>
            <w:r>
              <w:rPr>
                <w:rFonts w:ascii="Arial" w:hAnsi="Arial"/>
                <w:sz w:val="16"/>
              </w:rPr>
              <w:t>CoR</w:t>
            </w:r>
            <w:proofErr w:type="spellEnd"/>
            <w:r>
              <w:rPr>
                <w:rFonts w:ascii="Arial" w:hAnsi="Arial"/>
                <w:sz w:val="16"/>
              </w:rPr>
              <w:t xml:space="preserve"> </w:t>
            </w:r>
            <w:proofErr w:type="spellStart"/>
            <w:r>
              <w:rPr>
                <w:rFonts w:ascii="Arial" w:hAnsi="Arial"/>
                <w:sz w:val="16"/>
              </w:rPr>
              <w:t>behaviour</w:t>
            </w:r>
            <w:proofErr w:type="spellEnd"/>
          </w:p>
        </w:tc>
        <w:tc>
          <w:tcPr>
            <w:tcW w:w="620" w:type="dxa"/>
            <w:tcMar>
              <w:top w:w="70" w:type="dxa"/>
              <w:left w:w="90" w:type="dxa"/>
              <w:bottom w:w="70" w:type="dxa"/>
              <w:right w:w="90" w:type="dxa"/>
            </w:tcMar>
            <w:vAlign w:val="center"/>
          </w:tcPr>
          <w:p w14:paraId="3E512E23" w14:textId="77777777" w:rsidR="00C521CB" w:rsidRDefault="00923650">
            <w:pPr>
              <w:jc w:val="left"/>
            </w:pPr>
            <w:r>
              <w:rPr>
                <w:rFonts w:ascii="Arial" w:hAnsi="Arial"/>
                <w:sz w:val="16"/>
              </w:rPr>
              <w:t>Penalize migration; healthy excursion (~7.2 mm) as reference</w:t>
            </w:r>
          </w:p>
        </w:tc>
        <w:tc>
          <w:tcPr>
            <w:tcW w:w="1560" w:type="dxa"/>
            <w:tcMar>
              <w:top w:w="70" w:type="dxa"/>
              <w:left w:w="90" w:type="dxa"/>
              <w:bottom w:w="70" w:type="dxa"/>
              <w:right w:w="90" w:type="dxa"/>
            </w:tcMar>
            <w:vAlign w:val="center"/>
          </w:tcPr>
          <w:p w14:paraId="4B63DA18" w14:textId="77777777" w:rsidR="00C521CB" w:rsidRDefault="00923650">
            <w:pPr>
              <w:jc w:val="left"/>
            </w:pPr>
            <w:proofErr w:type="spellStart"/>
            <w:r>
              <w:rPr>
                <w:rFonts w:ascii="Arial" w:hAnsi="Arial"/>
                <w:sz w:val="16"/>
              </w:rPr>
              <w:t>Akhbari</w:t>
            </w:r>
            <w:proofErr w:type="spellEnd"/>
            <w:r>
              <w:rPr>
                <w:rFonts w:ascii="Arial" w:hAnsi="Arial"/>
                <w:sz w:val="16"/>
              </w:rPr>
              <w:t xml:space="preserve"> et al. {</w:t>
            </w:r>
            <w:proofErr w:type="spellStart"/>
            <w:r>
              <w:rPr>
                <w:rFonts w:ascii="Arial" w:hAnsi="Arial"/>
                <w:sz w:val="16"/>
              </w:rPr>
              <w:t>Akhbari</w:t>
            </w:r>
            <w:proofErr w:type="spellEnd"/>
            <w:r>
              <w:rPr>
                <w:rFonts w:ascii="Arial" w:hAnsi="Arial"/>
                <w:sz w:val="16"/>
              </w:rPr>
              <w:t xml:space="preserve"> 2020}</w:t>
            </w:r>
          </w:p>
        </w:tc>
        <w:tc>
          <w:tcPr>
            <w:tcW w:w="3300" w:type="dxa"/>
            <w:tcMar>
              <w:top w:w="70" w:type="dxa"/>
              <w:left w:w="90" w:type="dxa"/>
              <w:bottom w:w="70" w:type="dxa"/>
              <w:right w:w="90" w:type="dxa"/>
            </w:tcMar>
            <w:vAlign w:val="center"/>
          </w:tcPr>
          <w:p w14:paraId="50B29B57" w14:textId="77777777" w:rsidR="00C521CB" w:rsidRDefault="00923650">
            <w:pPr>
              <w:jc w:val="left"/>
            </w:pPr>
            <w:r>
              <w:rPr>
                <w:rFonts w:ascii="Arial" w:hAnsi="Arial"/>
                <w:sz w:val="16"/>
              </w:rPr>
              <w:t>§4, §5; verification §7.3</w:t>
            </w:r>
          </w:p>
        </w:tc>
        <w:tc>
          <w:tcPr>
            <w:tcW w:w="2330" w:type="dxa"/>
            <w:tcMar>
              <w:top w:w="70" w:type="dxa"/>
              <w:left w:w="90" w:type="dxa"/>
              <w:bottom w:w="70" w:type="dxa"/>
              <w:right w:w="90" w:type="dxa"/>
            </w:tcMar>
            <w:vAlign w:val="center"/>
          </w:tcPr>
          <w:p w14:paraId="6EFE4387" w14:textId="77777777" w:rsidR="00C521CB" w:rsidRDefault="00923650">
            <w:pPr>
              <w:jc w:val="left"/>
            </w:pPr>
            <w:r>
              <w:rPr>
                <w:rFonts w:ascii="Arial" w:hAnsi="Arial"/>
                <w:sz w:val="16"/>
              </w:rPr>
              <w:t>Mechanism established in one design; small cohorts</w:t>
            </w:r>
          </w:p>
        </w:tc>
      </w:tr>
      <w:tr w:rsidR="00C521CB" w14:paraId="3A6750CD" w14:textId="77777777">
        <w:trPr>
          <w:cantSplit/>
          <w:jc w:val="center"/>
        </w:trPr>
        <w:tc>
          <w:tcPr>
            <w:tcW w:w="1750" w:type="dxa"/>
            <w:tcMar>
              <w:top w:w="70" w:type="dxa"/>
              <w:left w:w="90" w:type="dxa"/>
              <w:bottom w:w="70" w:type="dxa"/>
              <w:right w:w="90" w:type="dxa"/>
            </w:tcMar>
            <w:vAlign w:val="center"/>
          </w:tcPr>
          <w:p w14:paraId="3A6CA19A" w14:textId="77777777" w:rsidR="00C521CB" w:rsidRDefault="00923650">
            <w:pPr>
              <w:jc w:val="left"/>
            </w:pPr>
            <w:r>
              <w:rPr>
                <w:rFonts w:ascii="Arial" w:hAnsi="Arial"/>
                <w:sz w:val="16"/>
              </w:rPr>
              <w:lastRenderedPageBreak/>
              <w:t>R4 Fixation within micromotion limits</w:t>
            </w:r>
          </w:p>
        </w:tc>
        <w:tc>
          <w:tcPr>
            <w:tcW w:w="620" w:type="dxa"/>
            <w:tcMar>
              <w:top w:w="70" w:type="dxa"/>
              <w:left w:w="90" w:type="dxa"/>
              <w:bottom w:w="70" w:type="dxa"/>
              <w:right w:w="90" w:type="dxa"/>
            </w:tcMar>
            <w:vAlign w:val="center"/>
          </w:tcPr>
          <w:p w14:paraId="748075CC" w14:textId="77777777" w:rsidR="00C521CB" w:rsidRDefault="00923650">
            <w:pPr>
              <w:jc w:val="left"/>
            </w:pPr>
            <w:r>
              <w:rPr>
                <w:rFonts w:ascii="Arial" w:hAnsi="Arial"/>
                <w:sz w:val="16"/>
              </w:rPr>
              <w:t>Interface micromotion within the ingrowth-compatible range (ingrowth below roughly 28 µm; fibrous at 150 µm or more)</w:t>
            </w:r>
          </w:p>
        </w:tc>
        <w:tc>
          <w:tcPr>
            <w:tcW w:w="1560" w:type="dxa"/>
            <w:tcMar>
              <w:top w:w="70" w:type="dxa"/>
              <w:left w:w="90" w:type="dxa"/>
              <w:bottom w:w="70" w:type="dxa"/>
              <w:right w:w="90" w:type="dxa"/>
            </w:tcMar>
            <w:vAlign w:val="center"/>
          </w:tcPr>
          <w:p w14:paraId="7F33FFAD" w14:textId="77777777" w:rsidR="00C521CB" w:rsidRDefault="00923650">
            <w:pPr>
              <w:jc w:val="left"/>
            </w:pPr>
            <w:r>
              <w:rPr>
                <w:rFonts w:ascii="Arial" w:hAnsi="Arial"/>
                <w:sz w:val="16"/>
              </w:rPr>
              <w:t>Porous-fixation literature {</w:t>
            </w:r>
            <w:proofErr w:type="spellStart"/>
            <w:r>
              <w:rPr>
                <w:rFonts w:ascii="Arial" w:hAnsi="Arial"/>
                <w:sz w:val="16"/>
              </w:rPr>
              <w:t>Pilliar</w:t>
            </w:r>
            <w:proofErr w:type="spellEnd"/>
            <w:r>
              <w:rPr>
                <w:rFonts w:ascii="Arial" w:hAnsi="Arial"/>
                <w:sz w:val="16"/>
              </w:rPr>
              <w:t xml:space="preserve"> 1986; </w:t>
            </w:r>
            <w:proofErr w:type="spellStart"/>
            <w:r>
              <w:rPr>
                <w:rFonts w:ascii="Arial" w:hAnsi="Arial"/>
                <w:sz w:val="16"/>
              </w:rPr>
              <w:t>Bobyn</w:t>
            </w:r>
            <w:proofErr w:type="spellEnd"/>
            <w:r>
              <w:rPr>
                <w:rFonts w:ascii="Arial" w:hAnsi="Arial"/>
                <w:sz w:val="16"/>
              </w:rPr>
              <w:t xml:space="preserve"> 1999}; FEA {Gislason 2017}</w:t>
            </w:r>
          </w:p>
        </w:tc>
        <w:tc>
          <w:tcPr>
            <w:tcW w:w="3300" w:type="dxa"/>
            <w:tcMar>
              <w:top w:w="70" w:type="dxa"/>
              <w:left w:w="90" w:type="dxa"/>
              <w:bottom w:w="70" w:type="dxa"/>
              <w:right w:w="90" w:type="dxa"/>
            </w:tcMar>
            <w:vAlign w:val="center"/>
          </w:tcPr>
          <w:p w14:paraId="08E497B2" w14:textId="77777777" w:rsidR="00C521CB" w:rsidRDefault="00923650">
            <w:pPr>
              <w:jc w:val="left"/>
            </w:pPr>
            <w:r>
              <w:rPr>
                <w:rFonts w:ascii="Arial" w:hAnsi="Arial"/>
                <w:sz w:val="16"/>
              </w:rPr>
              <w:t>§4, §7</w:t>
            </w:r>
          </w:p>
        </w:tc>
        <w:tc>
          <w:tcPr>
            <w:tcW w:w="2330" w:type="dxa"/>
            <w:tcMar>
              <w:top w:w="70" w:type="dxa"/>
              <w:left w:w="90" w:type="dxa"/>
              <w:bottom w:w="70" w:type="dxa"/>
              <w:right w:w="90" w:type="dxa"/>
            </w:tcMar>
            <w:vAlign w:val="center"/>
          </w:tcPr>
          <w:p w14:paraId="449C4747" w14:textId="77777777" w:rsidR="00C521CB" w:rsidRDefault="00923650">
            <w:pPr>
              <w:jc w:val="left"/>
            </w:pPr>
            <w:r>
              <w:rPr>
                <w:rFonts w:ascii="Arial" w:hAnsi="Arial"/>
                <w:sz w:val="16"/>
              </w:rPr>
              <w:t>Thresholds imported from large-joint data; wrist-specific validation lacking</w:t>
            </w:r>
          </w:p>
        </w:tc>
      </w:tr>
      <w:tr w:rsidR="00C521CB" w14:paraId="06EC90E8" w14:textId="77777777">
        <w:trPr>
          <w:cantSplit/>
          <w:jc w:val="center"/>
        </w:trPr>
        <w:tc>
          <w:tcPr>
            <w:tcW w:w="1750" w:type="dxa"/>
            <w:tcMar>
              <w:top w:w="70" w:type="dxa"/>
              <w:left w:w="90" w:type="dxa"/>
              <w:bottom w:w="70" w:type="dxa"/>
              <w:right w:w="90" w:type="dxa"/>
            </w:tcMar>
            <w:vAlign w:val="center"/>
          </w:tcPr>
          <w:p w14:paraId="2893926E" w14:textId="77777777" w:rsidR="00C521CB" w:rsidRDefault="00923650">
            <w:pPr>
              <w:jc w:val="left"/>
            </w:pPr>
            <w:r>
              <w:rPr>
                <w:rFonts w:ascii="Arial" w:hAnsi="Arial"/>
                <w:sz w:val="16"/>
              </w:rPr>
              <w:t>R5 Soft-tissue compatibility</w:t>
            </w:r>
          </w:p>
        </w:tc>
        <w:tc>
          <w:tcPr>
            <w:tcW w:w="620" w:type="dxa"/>
            <w:tcMar>
              <w:top w:w="70" w:type="dxa"/>
              <w:left w:w="90" w:type="dxa"/>
              <w:bottom w:w="70" w:type="dxa"/>
              <w:right w:w="90" w:type="dxa"/>
            </w:tcMar>
            <w:vAlign w:val="center"/>
          </w:tcPr>
          <w:p w14:paraId="40654427" w14:textId="77777777" w:rsidR="00C521CB" w:rsidRDefault="00923650">
            <w:pPr>
              <w:jc w:val="left"/>
            </w:pPr>
            <w:r>
              <w:rPr>
                <w:rFonts w:ascii="Arial" w:hAnsi="Arial"/>
                <w:sz w:val="16"/>
              </w:rPr>
              <w:t>Preserve tendon clearance, carpal height and moment arms</w:t>
            </w:r>
          </w:p>
        </w:tc>
        <w:tc>
          <w:tcPr>
            <w:tcW w:w="1560" w:type="dxa"/>
            <w:tcMar>
              <w:top w:w="70" w:type="dxa"/>
              <w:left w:w="90" w:type="dxa"/>
              <w:bottom w:w="70" w:type="dxa"/>
              <w:right w:w="90" w:type="dxa"/>
            </w:tcMar>
            <w:vAlign w:val="center"/>
          </w:tcPr>
          <w:p w14:paraId="07F45CDF" w14:textId="77777777" w:rsidR="00C521CB" w:rsidRDefault="00923650">
            <w:pPr>
              <w:jc w:val="left"/>
            </w:pPr>
            <w:r>
              <w:rPr>
                <w:rFonts w:ascii="Arial" w:hAnsi="Arial"/>
                <w:sz w:val="16"/>
              </w:rPr>
              <w:t>Cadaveric and simulation studies {Bain 2025; Glanville 2025; Hooke 2015}</w:t>
            </w:r>
          </w:p>
        </w:tc>
        <w:tc>
          <w:tcPr>
            <w:tcW w:w="3300" w:type="dxa"/>
            <w:tcMar>
              <w:top w:w="70" w:type="dxa"/>
              <w:left w:w="90" w:type="dxa"/>
              <w:bottom w:w="70" w:type="dxa"/>
              <w:right w:w="90" w:type="dxa"/>
            </w:tcMar>
            <w:vAlign w:val="center"/>
          </w:tcPr>
          <w:p w14:paraId="449B7C2D" w14:textId="77777777" w:rsidR="00C521CB" w:rsidRDefault="00923650">
            <w:pPr>
              <w:jc w:val="left"/>
            </w:pPr>
            <w:r>
              <w:rPr>
                <w:rFonts w:ascii="Arial" w:hAnsi="Arial"/>
                <w:sz w:val="16"/>
              </w:rPr>
              <w:t>§2.4, §4, §5</w:t>
            </w:r>
          </w:p>
        </w:tc>
        <w:tc>
          <w:tcPr>
            <w:tcW w:w="2330" w:type="dxa"/>
            <w:tcMar>
              <w:top w:w="70" w:type="dxa"/>
              <w:left w:w="90" w:type="dxa"/>
              <w:bottom w:w="70" w:type="dxa"/>
              <w:right w:w="90" w:type="dxa"/>
            </w:tcMar>
            <w:vAlign w:val="center"/>
          </w:tcPr>
          <w:p w14:paraId="1BF7A7C9" w14:textId="77777777" w:rsidR="00C521CB" w:rsidRDefault="00923650">
            <w:pPr>
              <w:jc w:val="left"/>
            </w:pPr>
            <w:r>
              <w:rPr>
                <w:rFonts w:ascii="Arial" w:hAnsi="Arial"/>
                <w:sz w:val="16"/>
              </w:rPr>
              <w:t>Mechanism-level evidence only</w:t>
            </w:r>
          </w:p>
        </w:tc>
      </w:tr>
      <w:tr w:rsidR="00C521CB" w14:paraId="6BE1A177" w14:textId="77777777">
        <w:trPr>
          <w:cantSplit/>
          <w:jc w:val="center"/>
        </w:trPr>
        <w:tc>
          <w:tcPr>
            <w:tcW w:w="1750" w:type="dxa"/>
            <w:tcMar>
              <w:top w:w="70" w:type="dxa"/>
              <w:left w:w="90" w:type="dxa"/>
              <w:bottom w:w="70" w:type="dxa"/>
              <w:right w:w="90" w:type="dxa"/>
            </w:tcMar>
            <w:vAlign w:val="center"/>
          </w:tcPr>
          <w:p w14:paraId="3C7FC150" w14:textId="77777777" w:rsidR="00C521CB" w:rsidRDefault="00923650">
            <w:pPr>
              <w:jc w:val="left"/>
            </w:pPr>
            <w:r>
              <w:rPr>
                <w:rFonts w:ascii="Arial" w:hAnsi="Arial"/>
                <w:sz w:val="16"/>
              </w:rPr>
              <w:t>R6 Revision stewardship</w:t>
            </w:r>
          </w:p>
        </w:tc>
        <w:tc>
          <w:tcPr>
            <w:tcW w:w="620" w:type="dxa"/>
            <w:tcMar>
              <w:top w:w="70" w:type="dxa"/>
              <w:left w:w="90" w:type="dxa"/>
              <w:bottom w:w="70" w:type="dxa"/>
              <w:right w:w="90" w:type="dxa"/>
            </w:tcMar>
            <w:vAlign w:val="center"/>
          </w:tcPr>
          <w:p w14:paraId="0C27FA46" w14:textId="77777777" w:rsidR="00C521CB" w:rsidRDefault="00923650">
            <w:pPr>
              <w:jc w:val="left"/>
            </w:pPr>
            <w:r>
              <w:rPr>
                <w:rFonts w:ascii="Arial" w:hAnsi="Arial"/>
                <w:sz w:val="16"/>
              </w:rPr>
              <w:t>Bone-preserving resection, extraction features, planned fusion options</w:t>
            </w:r>
          </w:p>
        </w:tc>
        <w:tc>
          <w:tcPr>
            <w:tcW w:w="1560" w:type="dxa"/>
            <w:tcMar>
              <w:top w:w="70" w:type="dxa"/>
              <w:left w:w="90" w:type="dxa"/>
              <w:bottom w:w="70" w:type="dxa"/>
              <w:right w:w="90" w:type="dxa"/>
            </w:tcMar>
            <w:vAlign w:val="center"/>
          </w:tcPr>
          <w:p w14:paraId="74B90B98" w14:textId="77777777" w:rsidR="00C521CB" w:rsidRDefault="00923650">
            <w:pPr>
              <w:jc w:val="left"/>
            </w:pPr>
            <w:r>
              <w:rPr>
                <w:rFonts w:ascii="Arial" w:hAnsi="Arial"/>
                <w:sz w:val="16"/>
              </w:rPr>
              <w:t>Salvage literature {Cash 2025; Berber 2020}</w:t>
            </w:r>
          </w:p>
        </w:tc>
        <w:tc>
          <w:tcPr>
            <w:tcW w:w="3300" w:type="dxa"/>
            <w:tcMar>
              <w:top w:w="70" w:type="dxa"/>
              <w:left w:w="90" w:type="dxa"/>
              <w:bottom w:w="70" w:type="dxa"/>
              <w:right w:w="90" w:type="dxa"/>
            </w:tcMar>
            <w:vAlign w:val="center"/>
          </w:tcPr>
          <w:p w14:paraId="79FEC0F3" w14:textId="77777777" w:rsidR="00C521CB" w:rsidRDefault="00923650">
            <w:pPr>
              <w:jc w:val="left"/>
            </w:pPr>
            <w:r>
              <w:rPr>
                <w:rFonts w:ascii="Arial" w:hAnsi="Arial"/>
                <w:sz w:val="16"/>
              </w:rPr>
              <w:t>§5, §7</w:t>
            </w:r>
          </w:p>
        </w:tc>
        <w:tc>
          <w:tcPr>
            <w:tcW w:w="2330" w:type="dxa"/>
            <w:tcMar>
              <w:top w:w="70" w:type="dxa"/>
              <w:left w:w="90" w:type="dxa"/>
              <w:bottom w:w="70" w:type="dxa"/>
              <w:right w:w="90" w:type="dxa"/>
            </w:tcMar>
            <w:vAlign w:val="center"/>
          </w:tcPr>
          <w:p w14:paraId="3D3D187F" w14:textId="77777777" w:rsidR="00C521CB" w:rsidRDefault="00923650">
            <w:pPr>
              <w:jc w:val="left"/>
            </w:pPr>
            <w:r>
              <w:rPr>
                <w:rFonts w:ascii="Arial" w:hAnsi="Arial"/>
                <w:sz w:val="16"/>
              </w:rPr>
              <w:t>Descriptive; no quantitative design criteria</w:t>
            </w:r>
          </w:p>
        </w:tc>
      </w:tr>
      <w:tr w:rsidR="00C521CB" w14:paraId="36C1C3A0" w14:textId="77777777">
        <w:trPr>
          <w:cantSplit/>
          <w:jc w:val="center"/>
        </w:trPr>
        <w:tc>
          <w:tcPr>
            <w:tcW w:w="1750" w:type="dxa"/>
            <w:tcMar>
              <w:top w:w="70" w:type="dxa"/>
              <w:left w:w="90" w:type="dxa"/>
              <w:bottom w:w="70" w:type="dxa"/>
              <w:right w:w="90" w:type="dxa"/>
            </w:tcMar>
            <w:vAlign w:val="center"/>
          </w:tcPr>
          <w:p w14:paraId="49FC508F" w14:textId="77777777" w:rsidR="00C521CB" w:rsidRDefault="00923650">
            <w:pPr>
              <w:jc w:val="left"/>
            </w:pPr>
            <w:r>
              <w:rPr>
                <w:rFonts w:ascii="Arial" w:hAnsi="Arial"/>
                <w:sz w:val="16"/>
              </w:rPr>
              <w:lastRenderedPageBreak/>
              <w:t>R7 Imaging compatibility</w:t>
            </w:r>
          </w:p>
        </w:tc>
        <w:tc>
          <w:tcPr>
            <w:tcW w:w="620" w:type="dxa"/>
            <w:tcMar>
              <w:top w:w="70" w:type="dxa"/>
              <w:left w:w="90" w:type="dxa"/>
              <w:bottom w:w="70" w:type="dxa"/>
              <w:right w:w="90" w:type="dxa"/>
            </w:tcMar>
            <w:vAlign w:val="center"/>
          </w:tcPr>
          <w:p w14:paraId="6FAB6160" w14:textId="77777777" w:rsidR="00C521CB" w:rsidRDefault="00923650">
            <w:pPr>
              <w:jc w:val="left"/>
            </w:pPr>
            <w:r>
              <w:rPr>
                <w:rFonts w:ascii="Arial" w:hAnsi="Arial"/>
                <w:sz w:val="16"/>
              </w:rPr>
              <w:t>Artefact-managed CT/radiographic surveillance; migration measurable</w:t>
            </w:r>
          </w:p>
        </w:tc>
        <w:tc>
          <w:tcPr>
            <w:tcW w:w="1560" w:type="dxa"/>
            <w:tcMar>
              <w:top w:w="70" w:type="dxa"/>
              <w:left w:w="90" w:type="dxa"/>
              <w:bottom w:w="70" w:type="dxa"/>
              <w:right w:w="90" w:type="dxa"/>
            </w:tcMar>
            <w:vAlign w:val="center"/>
          </w:tcPr>
          <w:p w14:paraId="1CC3A181" w14:textId="77777777" w:rsidR="00C521CB" w:rsidRDefault="00923650">
            <w:pPr>
              <w:jc w:val="left"/>
            </w:pPr>
            <w:r>
              <w:rPr>
                <w:rFonts w:ascii="Arial" w:hAnsi="Arial"/>
                <w:sz w:val="16"/>
              </w:rPr>
              <w:t>MAR and photon-counting CT studies {Lind 2026; Koo 2026}; RSA {</w:t>
            </w:r>
            <w:proofErr w:type="spellStart"/>
            <w:r>
              <w:rPr>
                <w:rFonts w:ascii="Arial" w:hAnsi="Arial"/>
                <w:sz w:val="16"/>
              </w:rPr>
              <w:t>Jürgens-Lahnstein</w:t>
            </w:r>
            <w:proofErr w:type="spellEnd"/>
            <w:r>
              <w:rPr>
                <w:rFonts w:ascii="Arial" w:hAnsi="Arial"/>
                <w:sz w:val="16"/>
              </w:rPr>
              <w:t xml:space="preserve"> 2026}</w:t>
            </w:r>
          </w:p>
        </w:tc>
        <w:tc>
          <w:tcPr>
            <w:tcW w:w="3300" w:type="dxa"/>
            <w:tcMar>
              <w:top w:w="70" w:type="dxa"/>
              <w:left w:w="90" w:type="dxa"/>
              <w:bottom w:w="70" w:type="dxa"/>
              <w:right w:w="90" w:type="dxa"/>
            </w:tcMar>
            <w:vAlign w:val="center"/>
          </w:tcPr>
          <w:p w14:paraId="18178EA2" w14:textId="77777777" w:rsidR="00C521CB" w:rsidRDefault="00923650">
            <w:pPr>
              <w:jc w:val="left"/>
            </w:pPr>
            <w:r>
              <w:rPr>
                <w:rFonts w:ascii="Arial" w:hAnsi="Arial"/>
                <w:sz w:val="16"/>
              </w:rPr>
              <w:t>§6, §7</w:t>
            </w:r>
          </w:p>
        </w:tc>
        <w:tc>
          <w:tcPr>
            <w:tcW w:w="2330" w:type="dxa"/>
            <w:tcMar>
              <w:top w:w="70" w:type="dxa"/>
              <w:left w:w="90" w:type="dxa"/>
              <w:bottom w:w="70" w:type="dxa"/>
              <w:right w:w="90" w:type="dxa"/>
            </w:tcMar>
            <w:vAlign w:val="center"/>
          </w:tcPr>
          <w:p w14:paraId="5AC79C3D" w14:textId="77777777" w:rsidR="00C521CB" w:rsidRDefault="00923650">
            <w:pPr>
              <w:jc w:val="left"/>
            </w:pPr>
            <w:r>
              <w:rPr>
                <w:rFonts w:ascii="Arial" w:hAnsi="Arial"/>
                <w:sz w:val="16"/>
              </w:rPr>
              <w:t>Methods demonstrated in adjacent contexts, not yet wrist-routine</w:t>
            </w:r>
          </w:p>
        </w:tc>
      </w:tr>
      <w:tr w:rsidR="00C521CB" w14:paraId="7B222AD9" w14:textId="77777777">
        <w:trPr>
          <w:cantSplit/>
          <w:jc w:val="center"/>
        </w:trPr>
        <w:tc>
          <w:tcPr>
            <w:tcW w:w="1750" w:type="dxa"/>
            <w:tcMar>
              <w:top w:w="70" w:type="dxa"/>
              <w:left w:w="90" w:type="dxa"/>
              <w:bottom w:w="70" w:type="dxa"/>
              <w:right w:w="90" w:type="dxa"/>
            </w:tcMar>
            <w:vAlign w:val="center"/>
          </w:tcPr>
          <w:p w14:paraId="427AA771" w14:textId="77777777" w:rsidR="00C521CB" w:rsidRDefault="00923650">
            <w:pPr>
              <w:jc w:val="left"/>
            </w:pPr>
            <w:r>
              <w:rPr>
                <w:rFonts w:ascii="Arial" w:hAnsi="Arial"/>
                <w:sz w:val="16"/>
              </w:rPr>
              <w:t>R8 Implementation feasibility</w:t>
            </w:r>
          </w:p>
        </w:tc>
        <w:tc>
          <w:tcPr>
            <w:tcW w:w="620" w:type="dxa"/>
            <w:tcMar>
              <w:top w:w="70" w:type="dxa"/>
              <w:left w:w="90" w:type="dxa"/>
              <w:bottom w:w="70" w:type="dxa"/>
              <w:right w:w="90" w:type="dxa"/>
            </w:tcMar>
            <w:vAlign w:val="center"/>
          </w:tcPr>
          <w:p w14:paraId="76767D7A" w14:textId="77777777" w:rsidR="00C521CB" w:rsidRDefault="00923650">
            <w:pPr>
              <w:jc w:val="left"/>
            </w:pPr>
            <w:r>
              <w:rPr>
                <w:rFonts w:ascii="Arial" w:hAnsi="Arial"/>
                <w:sz w:val="16"/>
              </w:rPr>
              <w:t>Manufacturable by qualified AM processes within a custom-device regulatory route</w:t>
            </w:r>
          </w:p>
        </w:tc>
        <w:tc>
          <w:tcPr>
            <w:tcW w:w="1560" w:type="dxa"/>
            <w:tcMar>
              <w:top w:w="70" w:type="dxa"/>
              <w:left w:w="90" w:type="dxa"/>
              <w:bottom w:w="70" w:type="dxa"/>
              <w:right w:w="90" w:type="dxa"/>
            </w:tcMar>
            <w:vAlign w:val="center"/>
          </w:tcPr>
          <w:p w14:paraId="3AB8B2F2" w14:textId="77777777" w:rsidR="00C521CB" w:rsidRDefault="00923650">
            <w:pPr>
              <w:jc w:val="left"/>
            </w:pPr>
            <w:r>
              <w:rPr>
                <w:rFonts w:ascii="Arial" w:hAnsi="Arial"/>
                <w:sz w:val="16"/>
              </w:rPr>
              <w:t>Manufacturing reviews {Mani 2024; Abd-</w:t>
            </w:r>
            <w:proofErr w:type="spellStart"/>
            <w:r>
              <w:rPr>
                <w:rFonts w:ascii="Arial" w:hAnsi="Arial"/>
                <w:sz w:val="16"/>
              </w:rPr>
              <w:t>Elaziem</w:t>
            </w:r>
            <w:proofErr w:type="spellEnd"/>
            <w:r>
              <w:rPr>
                <w:rFonts w:ascii="Arial" w:hAnsi="Arial"/>
                <w:sz w:val="16"/>
              </w:rPr>
              <w:t xml:space="preserve"> 2024; </w:t>
            </w:r>
            <w:proofErr w:type="spellStart"/>
            <w:r>
              <w:rPr>
                <w:rFonts w:ascii="Arial" w:hAnsi="Arial"/>
                <w:sz w:val="16"/>
              </w:rPr>
              <w:t>Kutluay</w:t>
            </w:r>
            <w:proofErr w:type="spellEnd"/>
            <w:r>
              <w:rPr>
                <w:rFonts w:ascii="Arial" w:hAnsi="Arial"/>
                <w:sz w:val="16"/>
              </w:rPr>
              <w:t xml:space="preserve"> 2026}; customization series {Xiao 2026; Wei 2025; Cai 2023}</w:t>
            </w:r>
          </w:p>
        </w:tc>
        <w:tc>
          <w:tcPr>
            <w:tcW w:w="3300" w:type="dxa"/>
            <w:tcMar>
              <w:top w:w="70" w:type="dxa"/>
              <w:left w:w="90" w:type="dxa"/>
              <w:bottom w:w="70" w:type="dxa"/>
              <w:right w:w="90" w:type="dxa"/>
            </w:tcMar>
            <w:vAlign w:val="center"/>
          </w:tcPr>
          <w:p w14:paraId="5AB5D10B" w14:textId="77777777" w:rsidR="00C521CB" w:rsidRDefault="00923650">
            <w:pPr>
              <w:jc w:val="left"/>
            </w:pPr>
            <w:r>
              <w:rPr>
                <w:rFonts w:ascii="Arial" w:hAnsi="Arial"/>
                <w:sz w:val="16"/>
              </w:rPr>
              <w:t>§6</w:t>
            </w:r>
          </w:p>
        </w:tc>
        <w:tc>
          <w:tcPr>
            <w:tcW w:w="2330" w:type="dxa"/>
            <w:tcMar>
              <w:top w:w="70" w:type="dxa"/>
              <w:left w:w="90" w:type="dxa"/>
              <w:bottom w:w="70" w:type="dxa"/>
              <w:right w:w="90" w:type="dxa"/>
            </w:tcMar>
            <w:vAlign w:val="center"/>
          </w:tcPr>
          <w:p w14:paraId="0C2178C1" w14:textId="77777777" w:rsidR="00C521CB" w:rsidRDefault="00923650">
            <w:pPr>
              <w:jc w:val="left"/>
            </w:pPr>
            <w:r>
              <w:rPr>
                <w:rFonts w:ascii="Arial" w:hAnsi="Arial"/>
                <w:sz w:val="16"/>
              </w:rPr>
              <w:t>Feasibility shown; qualification and regulatory evidence thin</w:t>
            </w:r>
          </w:p>
        </w:tc>
      </w:tr>
      <w:tr w:rsidR="00C521CB" w14:paraId="558D5FAA" w14:textId="77777777">
        <w:trPr>
          <w:cantSplit/>
          <w:jc w:val="center"/>
        </w:trPr>
        <w:tc>
          <w:tcPr>
            <w:tcW w:w="1750" w:type="dxa"/>
            <w:tcMar>
              <w:top w:w="70" w:type="dxa"/>
              <w:left w:w="90" w:type="dxa"/>
              <w:bottom w:w="70" w:type="dxa"/>
              <w:right w:w="90" w:type="dxa"/>
            </w:tcMar>
            <w:vAlign w:val="center"/>
          </w:tcPr>
          <w:p w14:paraId="68D2C383" w14:textId="77777777" w:rsidR="00C521CB" w:rsidRDefault="00923650">
            <w:pPr>
              <w:jc w:val="left"/>
            </w:pPr>
            <w:r>
              <w:rPr>
                <w:rFonts w:ascii="Arial" w:hAnsi="Arial"/>
                <w:sz w:val="16"/>
              </w:rPr>
              <w:t>R9 Clinical outcome validation</w:t>
            </w:r>
          </w:p>
        </w:tc>
        <w:tc>
          <w:tcPr>
            <w:tcW w:w="620" w:type="dxa"/>
            <w:tcMar>
              <w:top w:w="70" w:type="dxa"/>
              <w:left w:w="90" w:type="dxa"/>
              <w:bottom w:w="70" w:type="dxa"/>
              <w:right w:w="90" w:type="dxa"/>
            </w:tcMar>
            <w:vAlign w:val="center"/>
          </w:tcPr>
          <w:p w14:paraId="78A35C04" w14:textId="77777777" w:rsidR="00C521CB" w:rsidRDefault="00923650">
            <w:pPr>
              <w:jc w:val="left"/>
            </w:pPr>
            <w:r>
              <w:rPr>
                <w:rFonts w:ascii="Arial" w:hAnsi="Arial"/>
                <w:sz w:val="16"/>
              </w:rPr>
              <w:t>Pain relief and function reaching accepted patient-reported thresholds alongside implant survival</w:t>
            </w:r>
          </w:p>
        </w:tc>
        <w:tc>
          <w:tcPr>
            <w:tcW w:w="1560" w:type="dxa"/>
            <w:tcMar>
              <w:top w:w="70" w:type="dxa"/>
              <w:left w:w="90" w:type="dxa"/>
              <w:bottom w:w="70" w:type="dxa"/>
              <w:right w:w="90" w:type="dxa"/>
            </w:tcMar>
            <w:vAlign w:val="center"/>
          </w:tcPr>
          <w:p w14:paraId="2E0E0715" w14:textId="77777777" w:rsidR="00C521CB" w:rsidRDefault="00923650">
            <w:pPr>
              <w:jc w:val="left"/>
            </w:pPr>
            <w:r>
              <w:rPr>
                <w:rFonts w:ascii="Arial" w:hAnsi="Arial"/>
                <w:sz w:val="16"/>
              </w:rPr>
              <w:t>Outcome instruments {MacDermid 1998; Chung 1998}; cohort evidence {Pappalardo 2026; Clementson 2024}</w:t>
            </w:r>
          </w:p>
        </w:tc>
        <w:tc>
          <w:tcPr>
            <w:tcW w:w="3300" w:type="dxa"/>
            <w:tcMar>
              <w:top w:w="70" w:type="dxa"/>
              <w:left w:w="90" w:type="dxa"/>
              <w:bottom w:w="70" w:type="dxa"/>
              <w:right w:w="90" w:type="dxa"/>
            </w:tcMar>
            <w:vAlign w:val="center"/>
          </w:tcPr>
          <w:p w14:paraId="6B326D65" w14:textId="77777777" w:rsidR="00C521CB" w:rsidRDefault="00923650">
            <w:pPr>
              <w:jc w:val="left"/>
            </w:pPr>
            <w:r>
              <w:rPr>
                <w:rFonts w:ascii="Arial" w:hAnsi="Arial"/>
                <w:sz w:val="16"/>
              </w:rPr>
              <w:t>§5, §7, §8</w:t>
            </w:r>
          </w:p>
        </w:tc>
        <w:tc>
          <w:tcPr>
            <w:tcW w:w="2330" w:type="dxa"/>
            <w:tcMar>
              <w:top w:w="70" w:type="dxa"/>
              <w:left w:w="90" w:type="dxa"/>
              <w:bottom w:w="70" w:type="dxa"/>
              <w:right w:w="90" w:type="dxa"/>
            </w:tcMar>
            <w:vAlign w:val="center"/>
          </w:tcPr>
          <w:p w14:paraId="089BA173" w14:textId="77777777" w:rsidR="00C521CB" w:rsidRDefault="00923650">
            <w:pPr>
              <w:jc w:val="left"/>
            </w:pPr>
            <w:r>
              <w:rPr>
                <w:rFonts w:ascii="Arial" w:hAnsi="Arial"/>
                <w:sz w:val="16"/>
              </w:rPr>
              <w:t>Instruments validated; wrist-specific thresholds not yet agreed</w:t>
            </w:r>
          </w:p>
        </w:tc>
      </w:tr>
    </w:tbl>
    <w:p w14:paraId="2B9BE103" w14:textId="77777777" w:rsidR="00C521CB" w:rsidRDefault="00C521CB">
      <w:pPr>
        <w:ind w:firstLine="317"/>
      </w:pPr>
    </w:p>
    <w:p w14:paraId="16140B48" w14:textId="77777777" w:rsidR="00C521CB" w:rsidRDefault="00923650">
      <w:pPr>
        <w:pStyle w:val="21"/>
      </w:pPr>
      <w:r>
        <w:t>2.1 The native wrist as the functional reference</w:t>
      </w:r>
    </w:p>
    <w:p w14:paraId="1A017ECF" w14:textId="70497047" w:rsidR="00C521CB" w:rsidRDefault="00923650">
      <w:pPr>
        <w:ind w:firstLine="317"/>
      </w:pPr>
      <w:r>
        <w:t xml:space="preserve">The wrist is formed by the distal radius and ulna, eight carpal bones and the proximal metacarpals, with </w:t>
      </w:r>
      <w:r w:rsidR="0061414C">
        <w:t>behavior</w:t>
      </w:r>
      <w:r>
        <w:t xml:space="preserve"> governed by interlocking geometry and ligament architecture rather than by any single hinge {Eschweiler 2022; </w:t>
      </w:r>
      <w:proofErr w:type="spellStart"/>
      <w:r>
        <w:t>Moritomo</w:t>
      </w:r>
      <w:proofErr w:type="spellEnd"/>
      <w:r>
        <w:t xml:space="preserve"> 2007; Berger 1996}. Load is shared unevenly: approximately 80% of axial force crosses the </w:t>
      </w:r>
      <w:r>
        <w:lastRenderedPageBreak/>
        <w:t>radiocarpal and 20% the ulnocarpal column in the neutral wrist, reference envelopes rather than validated targets {Eschweiler 2022}, and contact locations migrate along the carpal surfaces during motion {</w:t>
      </w:r>
      <w:proofErr w:type="spellStart"/>
      <w:r>
        <w:t>Moritomo</w:t>
      </w:r>
      <w:proofErr w:type="spellEnd"/>
      <w:r>
        <w:t xml:space="preserve"> 2007; </w:t>
      </w:r>
      <w:proofErr w:type="spellStart"/>
      <w:r>
        <w:t>Akhbari</w:t>
      </w:r>
      <w:proofErr w:type="spellEnd"/>
      <w:r>
        <w:t xml:space="preserve"> 2021}. Motion is coupled: flexion and extension ride on radial and ulnar deviation, and the dart-thrower</w:t>
      </w:r>
      <w:r w:rsidR="0061414C">
        <w:rPr>
          <w:rFonts w:eastAsia="宋体"/>
          <w:lang w:eastAsia="zh-CN"/>
        </w:rPr>
        <w:t>’</w:t>
      </w:r>
      <w:r>
        <w:t>s path couples extension with radial deviation and flexion with ulnar deviation while sparing the midcarpal joints {</w:t>
      </w:r>
      <w:proofErr w:type="spellStart"/>
      <w:r>
        <w:t>Moritomo</w:t>
      </w:r>
      <w:proofErr w:type="spellEnd"/>
      <w:r>
        <w:t xml:space="preserve"> 2007; Jia 2026; </w:t>
      </w:r>
      <w:proofErr w:type="spellStart"/>
      <w:r>
        <w:t>Moritomo</w:t>
      </w:r>
      <w:proofErr w:type="spellEnd"/>
      <w:r>
        <w:t xml:space="preserve"> </w:t>
      </w:r>
      <w:proofErr w:type="gramStart"/>
      <w:r>
        <w:t>2014</w:t>
      </w:r>
      <w:r w:rsidR="0061414C">
        <w:rPr>
          <w:rFonts w:eastAsia="宋体" w:hint="eastAsia"/>
          <w:lang w:eastAsia="zh-CN"/>
        </w:rPr>
        <w:t>,</w:t>
      </w:r>
      <w:r w:rsidR="0061414C" w:rsidRPr="0061414C">
        <w:rPr>
          <w:rFonts w:eastAsia="宋体" w:hint="eastAsia"/>
          <w:color w:val="FF0000"/>
          <w:lang w:eastAsia="zh-CN"/>
        </w:rPr>
        <w:t>li</w:t>
      </w:r>
      <w:proofErr w:type="gramEnd"/>
      <w:r w:rsidR="0061414C" w:rsidRPr="0061414C">
        <w:rPr>
          <w:rFonts w:eastAsia="宋体" w:hint="eastAsia"/>
          <w:color w:val="FF0000"/>
          <w:lang w:eastAsia="zh-CN"/>
        </w:rPr>
        <w:t>2022</w:t>
      </w:r>
      <w:r>
        <w:t>}.</w:t>
      </w:r>
    </w:p>
    <w:p w14:paraId="4A28A2BB" w14:textId="5D4028E0" w:rsidR="00C521CB" w:rsidRDefault="00923650" w:rsidP="007359AC">
      <w:pPr>
        <w:ind w:firstLine="317"/>
      </w:pPr>
      <w:r>
        <w:t xml:space="preserve">Clinical motion summaries, based on flexion-extension and radial-ulnar deviation of the third metacarpal, conceal this coupling, and each carpal bone follows its own six-degree-of-freedom path {Moore 2007; </w:t>
      </w:r>
      <w:proofErr w:type="spellStart"/>
      <w:r>
        <w:t>Moritomo</w:t>
      </w:r>
      <w:proofErr w:type="spellEnd"/>
      <w:r>
        <w:t xml:space="preserve"> 2007}. The functional arc required for daily activities, approximately 60° of extension, 54° of flexion, 40° of ulnar deviation and 17° of radial deviation, is narrower than the passive envelope and anchors the motion requirements adopted below {Ryu 1991}.</w:t>
      </w:r>
    </w:p>
    <w:p w14:paraId="13F7C324" w14:textId="77777777" w:rsidR="00C521CB" w:rsidRDefault="00923650">
      <w:pPr>
        <w:pStyle w:val="21"/>
      </w:pPr>
      <w:r>
        <w:t>2.3 Musculotendinous and soft-tissue constraints</w:t>
      </w:r>
    </w:p>
    <w:p w14:paraId="016CF6F7" w14:textId="1B185184" w:rsidR="007359AC" w:rsidRDefault="00923650" w:rsidP="007359AC">
      <w:pPr>
        <w:ind w:firstLine="317"/>
      </w:pPr>
      <w:r>
        <w:t xml:space="preserve">The wrist flexors and extensors act through position-dependent moment arms and co-contract to stabilize the carpus during grip {Eschweiler 2022; </w:t>
      </w:r>
      <w:proofErr w:type="spellStart"/>
      <w:r>
        <w:t>Mirakhorlo</w:t>
      </w:r>
      <w:proofErr w:type="spellEnd"/>
      <w:r>
        <w:t xml:space="preserve"> 2018; Hooke 2015; Nichols 2017}. Carpal height and the location of the </w:t>
      </w:r>
      <w:r w:rsidR="007359AC">
        <w:rPr>
          <w:rFonts w:eastAsia="宋体" w:hint="eastAsia"/>
          <w:lang w:eastAsia="zh-CN"/>
        </w:rPr>
        <w:t>COR</w:t>
      </w:r>
      <w:r>
        <w:t xml:space="preserve"> set tendon tension and moment arms together, so a reconstruction that changes either alters the muscle system it relies on {Bain 2025; Gislason 2017; Hooke 2015}.</w:t>
      </w:r>
    </w:p>
    <w:p w14:paraId="4C4B1030" w14:textId="77777777" w:rsidR="007359AC" w:rsidRPr="007359AC" w:rsidRDefault="007359AC" w:rsidP="007359AC">
      <w:pPr>
        <w:pStyle w:val="21"/>
        <w:rPr>
          <w:color w:val="FF0000"/>
        </w:rPr>
      </w:pPr>
      <w:r w:rsidRPr="007359AC">
        <w:rPr>
          <w:color w:val="FF0000"/>
        </w:rPr>
        <w:t>2.2 Disease- and patient-specific constraints</w:t>
      </w:r>
    </w:p>
    <w:p w14:paraId="76B8CC97" w14:textId="5E62E537" w:rsidR="007359AC" w:rsidRDefault="007359AC" w:rsidP="007359AC">
      <w:pPr>
        <w:ind w:firstLine="317"/>
      </w:pPr>
      <w:r>
        <w:t xml:space="preserve">The pathological wrist requires its own representation rather than a healthy wrist with thinner cartilage. Inflammatory disease combines ligament attrition, carpal collapse and osteopenia; osteoarthritis and post-traumatic destruction alter anatomy in different, often asymmetric patterns {Reigstad 2025; Berber 2018; </w:t>
      </w:r>
      <w:proofErr w:type="spellStart"/>
      <w:r>
        <w:t>Zijlker</w:t>
      </w:r>
      <w:proofErr w:type="spellEnd"/>
      <w:r>
        <w:t xml:space="preserve"> 2022}. Indications follow this case structure: inflammatory disease with intact soft tissues, osteoarthritis after trauma or avascular necrosis, and selected post-traumatic reconstructions, against the standard contraindications of fixed deformity with soft-tissue loss, previous infection, absent wrist extensors and inadequate bone stock {Reigstad 2025; </w:t>
      </w:r>
      <w:proofErr w:type="spellStart"/>
      <w:r>
        <w:t>Pappalardo</w:t>
      </w:r>
      <w:proofErr w:type="spellEnd"/>
      <w:r>
        <w:t xml:space="preserve"> 2026; </w:t>
      </w:r>
      <w:proofErr w:type="spellStart"/>
      <w:r>
        <w:t>Boeckstyns</w:t>
      </w:r>
      <w:proofErr w:type="spellEnd"/>
      <w:r>
        <w:t xml:space="preserve"> 2013}. </w:t>
      </w:r>
      <w:r w:rsidRPr="007359AC">
        <w:rPr>
          <w:color w:val="FF0000"/>
        </w:rPr>
        <w:t>Total wrist fusion remains the salvage benchmark, and modern arthroplasty and arthrodesis achieve comparable pain relief and patient-reported function at two years, so the choice turns on the patient</w:t>
      </w:r>
      <w:r>
        <w:rPr>
          <w:rFonts w:eastAsia="宋体"/>
          <w:color w:val="FF0000"/>
          <w:lang w:eastAsia="zh-CN"/>
        </w:rPr>
        <w:t>’</w:t>
      </w:r>
      <w:r w:rsidRPr="007359AC">
        <w:rPr>
          <w:color w:val="FF0000"/>
        </w:rPr>
        <w:t xml:space="preserve">s demand for motion rather than on analgesic superiority {Berber 2018; Clementson 2024}. </w:t>
      </w:r>
      <w:r>
        <w:t>Low-volume learning curves affect complication rates, and severely destroyed post-traumatic wrists can be treated selectively in experienced hands {</w:t>
      </w:r>
      <w:proofErr w:type="spellStart"/>
      <w:r>
        <w:t>Reigstad</w:t>
      </w:r>
      <w:proofErr w:type="spellEnd"/>
      <w:r>
        <w:t xml:space="preserve"> 2025; </w:t>
      </w:r>
      <w:proofErr w:type="spellStart"/>
      <w:r>
        <w:t>Boeckstyns</w:t>
      </w:r>
      <w:proofErr w:type="spellEnd"/>
      <w:r>
        <w:t xml:space="preserve"> 2013}.</w:t>
      </w:r>
    </w:p>
    <w:p w14:paraId="2A8DA947" w14:textId="08395330" w:rsidR="007359AC" w:rsidRDefault="007359AC" w:rsidP="007359AC">
      <w:pPr>
        <w:ind w:firstLine="317"/>
      </w:pPr>
      <w:r>
        <w:t xml:space="preserve">The ulnar column is not a bystander: about one fifth of axial load normally crosses the ulnocarpal region, and the distal radioulnar joint participates in forearm rotation {Eschweiler 2022; </w:t>
      </w:r>
      <w:proofErr w:type="spellStart"/>
      <w:r>
        <w:t>Gvozdenovic</w:t>
      </w:r>
      <w:proofErr w:type="spellEnd"/>
      <w:r>
        <w:t xml:space="preserve"> 2020; Amundsen 2023}. When the distal radioulnar joint is diseased, its management</w:t>
      </w:r>
      <w:r>
        <w:rPr>
          <w:rFonts w:eastAsia="宋体" w:hint="eastAsia"/>
          <w:lang w:eastAsia="zh-CN"/>
        </w:rPr>
        <w:t xml:space="preserve"> (</w:t>
      </w:r>
      <w:r>
        <w:t>by retention, resection or prosthetic replacement isolated or combined with wrist arthroplasty</w:t>
      </w:r>
      <w:r>
        <w:rPr>
          <w:rFonts w:eastAsia="宋体" w:hint="eastAsia"/>
          <w:lang w:eastAsia="zh-CN"/>
        </w:rPr>
        <w:t>)</w:t>
      </w:r>
      <w:r>
        <w:t xml:space="preserve"> changes the load environment the implant sees; matched ulnar-head or combined replacements show mid-term durability {</w:t>
      </w:r>
      <w:proofErr w:type="spellStart"/>
      <w:r>
        <w:t>Gvozdenovic</w:t>
      </w:r>
      <w:proofErr w:type="spellEnd"/>
      <w:r>
        <w:t xml:space="preserve"> 2020; Amundsen 2023}.</w:t>
      </w:r>
    </w:p>
    <w:p w14:paraId="23060270" w14:textId="17A3DC57" w:rsidR="00C521CB" w:rsidRDefault="00C521CB">
      <w:pPr>
        <w:ind w:firstLine="317"/>
      </w:pPr>
    </w:p>
    <w:p w14:paraId="38984BAB" w14:textId="77777777" w:rsidR="00C521CB" w:rsidRDefault="00923650">
      <w:pPr>
        <w:pStyle w:val="21"/>
      </w:pPr>
      <w:r>
        <w:t>2.4 Translating clinical needs into engineering requirements</w:t>
      </w:r>
    </w:p>
    <w:p w14:paraId="459BB5D0" w14:textId="64622301" w:rsidR="00C521CB" w:rsidRDefault="00923650">
      <w:pPr>
        <w:ind w:firstLine="317"/>
      </w:pPr>
      <w:r w:rsidRPr="007359AC">
        <w:rPr>
          <w:color w:val="FF0000"/>
        </w:rPr>
        <w:t>Translating these constraints into engineering requirements proceeds requirement by requirement.</w:t>
      </w:r>
      <w:r>
        <w:t xml:space="preserve"> Motion requirements fix the functional arc and the coupled paths the reconstruction must reproduce, anchored to the activities a patient actually needs rather than to maximal passive range {Jia 2026; Ryu 1991}. Stability requirements specify the constraint and conformity a bearing must provide under the patient</w:t>
      </w:r>
      <w:r w:rsidR="007359AC">
        <w:rPr>
          <w:rFonts w:eastAsia="宋体"/>
          <w:lang w:eastAsia="zh-CN"/>
        </w:rPr>
        <w:t>’</w:t>
      </w:r>
      <w:r>
        <w:t xml:space="preserve">s soft-tissue condition {McCullough 2012; Hooke 2015}. Load-transfer requirements describe how axial force should partition across the columns and how contact should migrate {Eschweiler 2022; </w:t>
      </w:r>
      <w:proofErr w:type="spellStart"/>
      <w:r>
        <w:t>Akhbari</w:t>
      </w:r>
      <w:proofErr w:type="spellEnd"/>
      <w:r>
        <w:t xml:space="preserve"> 2021}. Fixation requirements bound interface micromotion to the range that permits ingrowth and respect the remaining bone stock {</w:t>
      </w:r>
      <w:proofErr w:type="spellStart"/>
      <w:r>
        <w:t>Pilliar</w:t>
      </w:r>
      <w:proofErr w:type="spellEnd"/>
      <w:r>
        <w:t xml:space="preserve"> 1986; </w:t>
      </w:r>
      <w:proofErr w:type="spellStart"/>
      <w:r>
        <w:t>Bobyn</w:t>
      </w:r>
      <w:proofErr w:type="spellEnd"/>
      <w:r>
        <w:t xml:space="preserve"> 1999}. Bone preservation, wear, revision and implementation follow the same logic: bone removed is lost to revision {Cash 2025; Berber 2020}; activity expectations become bearing pressure and cross-shear budgets {Wang 1998; Baykal 2014}; extraction features and planned fusion options are standard outputs {Cash 2025; Berber 2020}; and the design must remain manufacturable and regulable {Mani 2024; Kutluay 2026}. Each requirement becomes a quantity that Stage 1 must measure, Stage 2 must predict and Stage 5 must verify.</w:t>
      </w:r>
    </w:p>
    <w:p w14:paraId="019ACC7A" w14:textId="77777777" w:rsidR="00C521CB" w:rsidRDefault="00923650">
      <w:pPr>
        <w:pStyle w:val="21"/>
      </w:pPr>
      <w:r>
        <w:t>2.5 The requirements traceability matrix</w:t>
      </w:r>
    </w:p>
    <w:p w14:paraId="2AA3049E" w14:textId="6078DB7D" w:rsidR="00C521CB" w:rsidRDefault="00923650">
      <w:pPr>
        <w:ind w:firstLine="317"/>
      </w:pPr>
      <w:r>
        <w:t xml:space="preserve">Table 2 consolidates the requirements distilled above, together with those arising later in this </w:t>
      </w:r>
      <w:r w:rsidR="009C34F7">
        <w:rPr>
          <w:rFonts w:eastAsia="宋体" w:hint="eastAsia"/>
          <w:lang w:eastAsia="zh-CN"/>
        </w:rPr>
        <w:t>r</w:t>
      </w:r>
      <w:r>
        <w:t xml:space="preserve">eview (imaging compatibility from Stage 5 surveillance needs {Lind 2026; Koo 2026; </w:t>
      </w:r>
      <w:proofErr w:type="spellStart"/>
      <w:r>
        <w:t>Jürgens-Lahnstein</w:t>
      </w:r>
      <w:proofErr w:type="spellEnd"/>
      <w:r>
        <w:t xml:space="preserve"> 2026}; implementation feasibility from the manufacturing and regulatory evidence {Mani 2024; Abd-</w:t>
      </w:r>
      <w:proofErr w:type="spellStart"/>
      <w:r>
        <w:t>Elaziem</w:t>
      </w:r>
      <w:proofErr w:type="spellEnd"/>
      <w:r>
        <w:t xml:space="preserve"> 2024; </w:t>
      </w:r>
      <w:proofErr w:type="spellStart"/>
      <w:r>
        <w:t>Kutluay</w:t>
      </w:r>
      <w:proofErr w:type="spellEnd"/>
      <w:r>
        <w:t xml:space="preserve"> 2026}). The </w:t>
      </w:r>
      <w:r>
        <w:lastRenderedPageBreak/>
        <w:t>matrix is a synthesis device assembled by this Review rather than a normative design-control document; its value is that gaps in the evidence base become visible as gaps in the matrix. Each requirement is stated with a measurable target and an evidence basis, so that later stages can be audited against it, and the status column records how thin the wrist-specific evidence is: micromotion tolerances are imported from large-joint porous-fixation experience {</w:t>
      </w:r>
      <w:proofErr w:type="spellStart"/>
      <w:r>
        <w:t>Pilliar</w:t>
      </w:r>
      <w:proofErr w:type="spellEnd"/>
      <w:r>
        <w:t xml:space="preserve"> 1986; </w:t>
      </w:r>
      <w:proofErr w:type="spellStart"/>
      <w:r>
        <w:t>Bobyn</w:t>
      </w:r>
      <w:proofErr w:type="spellEnd"/>
      <w:r>
        <w:t xml:space="preserve"> 1999; Karageorgiou 2005}, load-distribution values are reference envelopes {Eschweiler 2022}, and motion-</w:t>
      </w:r>
      <w:r w:rsidR="00A71CFF">
        <w:t xml:space="preserve">behavior </w:t>
      </w:r>
      <w:r>
        <w:t>requirements rest on single-design cohorts {</w:t>
      </w:r>
      <w:proofErr w:type="spellStart"/>
      <w:r>
        <w:t>Akhbari</w:t>
      </w:r>
      <w:proofErr w:type="spellEnd"/>
      <w:r>
        <w:t xml:space="preserve"> 2020}. Several targets (R2, R3, R5, R6 and R9) are directional rather than quantitative; wrist-specific acceptance values for them do not yet exist.</w:t>
      </w:r>
    </w:p>
    <w:p w14:paraId="4AF4DFE4" w14:textId="77777777" w:rsidR="00C521CB" w:rsidRDefault="00923650">
      <w:pPr>
        <w:pStyle w:val="1"/>
        <w:pageBreakBefore/>
      </w:pPr>
      <w:r>
        <w:lastRenderedPageBreak/>
        <w:t>3 Patient-specific imaging, reconstruction, and quantitative motion characterization</w:t>
      </w:r>
    </w:p>
    <w:p w14:paraId="2F3DFF8A" w14:textId="77777777" w:rsidR="00C521CB" w:rsidRDefault="00923650">
      <w:pPr>
        <w:ind w:firstLine="317"/>
      </w:pPr>
      <w:r>
        <w:t xml:space="preserve"> This section reviews the literature gathered at Stage 1 of Fig. 1, namely the conversion of patient imaging into the two design inputs that everything downstream consumes: a coordinated digital anatomy, and quantitative kinematic and morphological target sets with their uncertainties attached (Table 4).</w:t>
      </w:r>
    </w:p>
    <w:p w14:paraId="78811ADC" w14:textId="77777777" w:rsidR="00C521CB" w:rsidRDefault="00923650">
      <w:pPr>
        <w:pStyle w:val="21"/>
      </w:pPr>
      <w:r>
        <w:t>3.1 Imaging according to the design quantity</w:t>
      </w:r>
    </w:p>
    <w:p w14:paraId="0BF05FF0" w14:textId="18B998CB" w:rsidR="00C521CB" w:rsidRDefault="00923650">
      <w:pPr>
        <w:ind w:firstLine="317"/>
      </w:pPr>
      <w:r>
        <w:t xml:space="preserve">Acquisition should be selected by the quantity that a Stage 0 requirement demands, </w:t>
      </w:r>
      <w:r w:rsidR="009C34F7">
        <w:rPr>
          <w:rFonts w:eastAsia="宋体" w:hint="eastAsia"/>
          <w:lang w:eastAsia="zh-CN"/>
        </w:rPr>
        <w:t>since</w:t>
      </w:r>
      <w:r>
        <w:t xml:space="preserve"> no modality resolves bone morphology, bone quality, motion and soft tissue together {Moore 2007; Pfaeffle 2005; Zhao 2015}. CT remains the workhorse for cortical and cancellous morphology and, with calibrated protocols, for density-based bone-quality mapping; dynamic four-dimensional CT adds task-specific motion; biplanar </w:t>
      </w:r>
      <w:proofErr w:type="spellStart"/>
      <w:r>
        <w:t>videoradiography</w:t>
      </w:r>
      <w:proofErr w:type="spellEnd"/>
      <w:r>
        <w:t xml:space="preserve"> tracks implanted components at high temporal resolution; </w:t>
      </w:r>
      <w:r w:rsidRPr="009C34F7">
        <w:rPr>
          <w:color w:val="FF0000"/>
        </w:rPr>
        <w:t>MRI visualizes cartilage and soft tissues but tolerates metal poorly</w:t>
      </w:r>
      <w:r w:rsidR="00907D9E" w:rsidRPr="00907D9E">
        <w:rPr>
          <w:rFonts w:ascii="宋体" w:eastAsia="宋体" w:hAnsi="宋体" w:cs="宋体"/>
          <w:color w:val="FF0000"/>
          <w:lang w:eastAsia="zh-CN"/>
        </w:rPr>
        <w:t xml:space="preserve"> </w:t>
      </w:r>
      <w:r w:rsidR="00907D9E">
        <w:rPr>
          <w:rFonts w:ascii="宋体" w:eastAsia="宋体" w:hAnsi="宋体" w:cs="宋体"/>
          <w:color w:val="FF0000"/>
          <w:lang w:eastAsia="zh-CN"/>
        </w:rPr>
        <w:t xml:space="preserve">TODO: further discuss </w:t>
      </w:r>
      <w:r w:rsidR="00907D9E">
        <w:rPr>
          <w:rFonts w:ascii="宋体" w:eastAsia="宋体" w:hAnsi="宋体" w:cs="宋体"/>
          <w:color w:val="FF0000"/>
          <w:lang w:eastAsia="zh-CN"/>
        </w:rPr>
        <w:t>adv and disadv</w:t>
      </w:r>
      <w:bookmarkStart w:id="0" w:name="_GoBack"/>
      <w:bookmarkEnd w:id="0"/>
      <w:r>
        <w:t xml:space="preserve"> {</w:t>
      </w:r>
      <w:proofErr w:type="spellStart"/>
      <w:r>
        <w:t>Akhbari</w:t>
      </w:r>
      <w:proofErr w:type="spellEnd"/>
      <w:r>
        <w:t xml:space="preserve"> 2019; Zhao 2015; </w:t>
      </w:r>
      <w:proofErr w:type="spellStart"/>
      <w:r>
        <w:t>Zarenia</w:t>
      </w:r>
      <w:proofErr w:type="spellEnd"/>
      <w:r>
        <w:t xml:space="preserve"> 2022}.</w:t>
      </w:r>
    </w:p>
    <w:p w14:paraId="1F9D30F6" w14:textId="77777777" w:rsidR="00C521CB" w:rsidRDefault="00923650">
      <w:pPr>
        <w:ind w:firstLine="317"/>
      </w:pPr>
      <w:r>
        <w:t xml:space="preserve">Dynamic CT should be prescribed around a specific task and modelling objective rather than acquired as an undirected sequence {Jia 2026; Zhao 2015; </w:t>
      </w:r>
      <w:proofErr w:type="spellStart"/>
      <w:r>
        <w:t>Zarenia</w:t>
      </w:r>
      <w:proofErr w:type="spellEnd"/>
      <w:r>
        <w:t xml:space="preserve"> 2022; </w:t>
      </w:r>
      <w:proofErr w:type="spellStart"/>
      <w:r>
        <w:t>Dobbe</w:t>
      </w:r>
      <w:proofErr w:type="spellEnd"/>
      <w:r>
        <w:t xml:space="preserve"> 2019}; open-source tracking pipelines then register sequential volumes and output bone pose with published accuracy {Crisco 2026}.</w:t>
      </w:r>
    </w:p>
    <w:p w14:paraId="6C6C1EBD" w14:textId="77777777" w:rsidR="00C521CB" w:rsidRDefault="00923650">
      <w:pPr>
        <w:pStyle w:val="21"/>
      </w:pPr>
      <w:r>
        <w:t>3.2 Anatomical reconstruction and segmentation</w:t>
      </w:r>
    </w:p>
    <w:p w14:paraId="0AE41C8B" w14:textId="52790C2F" w:rsidR="00C521CB" w:rsidRDefault="00923650">
      <w:pPr>
        <w:ind w:firstLine="317"/>
      </w:pPr>
      <w:r>
        <w:t xml:space="preserve">Processing should preserve the original series and traceable derivatives for resampling, artefact correction, segmentation and registration {Pfaeffle 2005; Zhao 2015}. Segmentation has moved from thresholding through shape-and-pose models to self-configuring deep learning: </w:t>
      </w:r>
      <w:proofErr w:type="spellStart"/>
      <w:r>
        <w:t>nnU</w:t>
      </w:r>
      <w:proofErr w:type="spellEnd"/>
      <w:r>
        <w:t>-Net and foundation-model segmentation approach routine quality for intact wrists {</w:t>
      </w:r>
      <w:proofErr w:type="spellStart"/>
      <w:r>
        <w:t>Teule</w:t>
      </w:r>
      <w:proofErr w:type="spellEnd"/>
      <w:r>
        <w:t xml:space="preserve"> 2024; Anas 2016; Isensee 2021; Ma 202</w:t>
      </w:r>
      <w:r w:rsidR="009C34F7">
        <w:rPr>
          <w:rFonts w:eastAsia="宋体" w:hint="eastAsia"/>
          <w:lang w:eastAsia="zh-CN"/>
        </w:rPr>
        <w:t>4;</w:t>
      </w:r>
      <w:r w:rsidR="009C34F7" w:rsidRPr="009C34F7">
        <w:rPr>
          <w:rFonts w:eastAsia="宋体" w:hint="eastAsia"/>
          <w:color w:val="FF0000"/>
          <w:lang w:eastAsia="zh-CN"/>
        </w:rPr>
        <w:t xml:space="preserve"> T</w:t>
      </w:r>
      <w:r w:rsidR="009C34F7" w:rsidRPr="009C34F7">
        <w:rPr>
          <w:rFonts w:eastAsia="宋体"/>
          <w:color w:val="FF0000"/>
          <w:lang w:eastAsia="zh-CN"/>
        </w:rPr>
        <w:t>o</w:t>
      </w:r>
      <w:r w:rsidR="009C34F7" w:rsidRPr="009C34F7">
        <w:rPr>
          <w:rFonts w:eastAsia="宋体" w:hint="eastAsia"/>
          <w:color w:val="FF0000"/>
          <w:lang w:eastAsia="zh-CN"/>
        </w:rPr>
        <w:t>bias</w:t>
      </w:r>
      <w:r w:rsidR="009C34F7">
        <w:rPr>
          <w:rFonts w:eastAsia="宋体" w:hint="eastAsia"/>
          <w:color w:val="FF0000"/>
          <w:lang w:eastAsia="zh-CN"/>
        </w:rPr>
        <w:t>, Li</w:t>
      </w:r>
      <w:r>
        <w:t>}, while fused or eroded pathological bones, partial-volume effects and metal artefact around implants remain the difficult cases {</w:t>
      </w:r>
      <w:proofErr w:type="spellStart"/>
      <w:r>
        <w:t>Teule</w:t>
      </w:r>
      <w:proofErr w:type="spellEnd"/>
      <w:r>
        <w:t xml:space="preserve"> 2024; Anas 2016; Koo 2026}.</w:t>
      </w:r>
    </w:p>
    <w:p w14:paraId="6C27B8EA" w14:textId="77777777" w:rsidR="00C521CB" w:rsidRDefault="00923650">
      <w:pPr>
        <w:ind w:firstLine="317"/>
      </w:pPr>
      <w:r>
        <w:t xml:space="preserve">Quality assurance should use endpoints linked to the design decision rather than generic overlap scores: surface distance and local boundary error for geometry, repeatability for landmarks and coordinate systems, and explicit metal-artefact management where implants are present {Pfaeffle 2005; Zhao 2015; </w:t>
      </w:r>
      <w:proofErr w:type="spellStart"/>
      <w:r>
        <w:t>Teule</w:t>
      </w:r>
      <w:proofErr w:type="spellEnd"/>
      <w:r>
        <w:t xml:space="preserve"> 2024}.</w:t>
      </w:r>
    </w:p>
    <w:p w14:paraId="4AEDE098" w14:textId="77777777" w:rsidR="00C521CB" w:rsidRDefault="00923650">
      <w:pPr>
        <w:pStyle w:val="21"/>
      </w:pPr>
      <w:r>
        <w:t>3.3 Patient-specific surface and volumetric models</w:t>
      </w:r>
    </w:p>
    <w:p w14:paraId="22CDFD2A" w14:textId="39F8990E" w:rsidR="00C521CB" w:rsidRDefault="00923650">
      <w:pPr>
        <w:ind w:firstLine="317"/>
      </w:pPr>
      <w:r>
        <w:t>Segmented volumes must become anatomically valid surfaces before measurement, simulation, design or manufacture {</w:t>
      </w:r>
      <w:r w:rsidR="009C34F7" w:rsidRPr="009C34F7">
        <w:rPr>
          <w:rFonts w:eastAsia="宋体" w:hint="eastAsia"/>
          <w:color w:val="FF0000"/>
          <w:lang w:eastAsia="zh-CN"/>
        </w:rPr>
        <w:t>Ji 2022</w:t>
      </w:r>
      <w:r>
        <w:t>; Pfaeffle 2005; Zhao 2015}: connected-component repair, smoothing constrained by volume preservation and mesh-quality control couple segmentation error to every later use. The intended model class should be defined before extensive repair: a cortical surface may suffice for coverage and collision, finite element meshes need conforming elements and material assignment, kinematic models need landmarks, and manufacturing models need watertight, tolerance-checked geometry {Pfaeffle 2005; Eschweiler 2016; Falcinelli 2023}. Cortical and articular surfaces should be reconstructed separately, with cartilage uncertainty carried as a band rather than ignored {Brui 2020; van de Giessen 2010}.</w:t>
      </w:r>
    </w:p>
    <w:p w14:paraId="5375F4D8" w14:textId="77777777" w:rsidR="00C521CB" w:rsidRDefault="00923650">
      <w:pPr>
        <w:pStyle w:val="21"/>
      </w:pPr>
      <w:r>
        <w:t>3.4 Reconstruction of deficient anatomy</w:t>
      </w:r>
    </w:p>
    <w:p w14:paraId="6F3EF256" w14:textId="7C32D9C8" w:rsidR="00C521CB" w:rsidRDefault="00923650">
      <w:pPr>
        <w:ind w:firstLine="317"/>
      </w:pPr>
      <w:r>
        <w:t>Damaged anatomy requires an explicit target rather than interpolation across missing voxels {</w:t>
      </w:r>
      <w:proofErr w:type="spellStart"/>
      <w:r>
        <w:t>Teule</w:t>
      </w:r>
      <w:proofErr w:type="spellEnd"/>
      <w:r>
        <w:t xml:space="preserve"> 2024; </w:t>
      </w:r>
      <w:proofErr w:type="spellStart"/>
      <w:r>
        <w:t>Sarkalkan</w:t>
      </w:r>
      <w:proofErr w:type="spellEnd"/>
      <w:r>
        <w:t xml:space="preserve"> 2014; Wei 2025}. A mirrored contralateral model provides the first estimate where pathology is unilateral; </w:t>
      </w:r>
      <w:r w:rsidR="009C34F7">
        <w:rPr>
          <w:rFonts w:eastAsia="宋体" w:hint="eastAsia"/>
          <w:lang w:eastAsia="zh-CN"/>
        </w:rPr>
        <w:t>SSMs</w:t>
      </w:r>
      <w:r>
        <w:t xml:space="preserve"> reconstruct population-plausible anatomy from partial observations and quantify their own uncertainty; surgeon-guided correction aligns the reconstruction with the operative plan {</w:t>
      </w:r>
      <w:proofErr w:type="spellStart"/>
      <w:r>
        <w:t>Sarkalkan</w:t>
      </w:r>
      <w:proofErr w:type="spellEnd"/>
      <w:r>
        <w:t xml:space="preserve"> 2014; Cai 2024; van de Giessen 2010; Trentadue 2024}. Bone quality follows a separate chain, from Hounsfield units through calibrated density to elastic modulus, which must be calibrated per scanner protocol rather than assumed {Gislason 2017; Eschweiler 2016; Falcinelli 2023}.</w:t>
      </w:r>
    </w:p>
    <w:p w14:paraId="5CE3AE59" w14:textId="77777777" w:rsidR="00C521CB" w:rsidRDefault="00923650">
      <w:pPr>
        <w:pStyle w:val="21"/>
      </w:pPr>
      <w:r>
        <w:t>3.5 Quantitative kinematic targets</w:t>
      </w:r>
    </w:p>
    <w:p w14:paraId="25A475C2" w14:textId="29998BA1" w:rsidR="00C521CB" w:rsidRDefault="00923650">
      <w:pPr>
        <w:ind w:firstLine="317"/>
      </w:pPr>
      <w:r>
        <w:t>A consistent motion description first requires coordinate systems reproducible across subjects, sides, sessions and pathological states {Moore 2007; Pfaeffle 2005; Dobbe 2019}. Bone centroid trajectories and complete orientation descriptors, Cardan angles or quaternions, then summarize each bone</w:t>
      </w:r>
      <w:r w:rsidR="009C34F7">
        <w:rPr>
          <w:rFonts w:eastAsia="宋体"/>
          <w:lang w:eastAsia="zh-CN"/>
        </w:rPr>
        <w:t>’</w:t>
      </w:r>
      <w:r>
        <w:t>s path, and helical-axis parameters add instantaneous axis information {</w:t>
      </w:r>
      <w:proofErr w:type="spellStart"/>
      <w:r>
        <w:t>Moritomo</w:t>
      </w:r>
      <w:proofErr w:type="spellEnd"/>
      <w:r>
        <w:t xml:space="preserve"> 2007; </w:t>
      </w:r>
      <w:proofErr w:type="spellStart"/>
      <w:r>
        <w:t>Pfaeffle</w:t>
      </w:r>
      <w:proofErr w:type="spellEnd"/>
      <w:r>
        <w:t xml:space="preserve"> 2005; Zheng 2013</w:t>
      </w:r>
      <w:r w:rsidR="009C34F7">
        <w:rPr>
          <w:rFonts w:eastAsia="宋体" w:hint="eastAsia"/>
          <w:lang w:eastAsia="zh-CN"/>
        </w:rPr>
        <w:t xml:space="preserve">, </w:t>
      </w:r>
      <w:r w:rsidR="009C34F7" w:rsidRPr="009C34F7">
        <w:rPr>
          <w:rFonts w:eastAsia="宋体" w:hint="eastAsia"/>
          <w:color w:val="FF0000"/>
          <w:lang w:eastAsia="zh-CN"/>
        </w:rPr>
        <w:t>Li2022</w:t>
      </w:r>
      <w:r>
        <w:t>}.</w:t>
      </w:r>
    </w:p>
    <w:p w14:paraId="31465CC2" w14:textId="0C816361" w:rsidR="00C521CB" w:rsidRDefault="00923650">
      <w:pPr>
        <w:ind w:firstLine="317"/>
      </w:pPr>
      <w:r>
        <w:t xml:space="preserve">The geometric centroid of a segmented bone provides a concise position descriptor whose three-dimensional trajectory, distinct from a </w:t>
      </w:r>
      <w:r w:rsidR="00643D26">
        <w:t>center</w:t>
      </w:r>
      <w:r>
        <w:t xml:space="preserve"> of rotation, is measurable with </w:t>
      </w:r>
      <w:proofErr w:type="spellStart"/>
      <w:r>
        <w:t>submillimetre</w:t>
      </w:r>
      <w:proofErr w:type="spellEnd"/>
      <w:r>
        <w:t xml:space="preserve"> repeatability and comparable across </w:t>
      </w:r>
      <w:r>
        <w:lastRenderedPageBreak/>
        <w:t xml:space="preserve">designs and patients {Moore 2007; </w:t>
      </w:r>
      <w:proofErr w:type="spellStart"/>
      <w:r>
        <w:t>Sarkalkan</w:t>
      </w:r>
      <w:proofErr w:type="spellEnd"/>
      <w:r>
        <w:t xml:space="preserve"> 2014; Zheng 2013</w:t>
      </w:r>
      <w:r w:rsidR="00643D26">
        <w:rPr>
          <w:rFonts w:eastAsia="宋体" w:hint="eastAsia"/>
          <w:lang w:eastAsia="zh-CN"/>
        </w:rPr>
        <w:t xml:space="preserve">, </w:t>
      </w:r>
      <w:r w:rsidR="00643D26" w:rsidRPr="009C34F7">
        <w:rPr>
          <w:rFonts w:eastAsia="宋体" w:hint="eastAsia"/>
          <w:color w:val="FF0000"/>
          <w:lang w:eastAsia="zh-CN"/>
        </w:rPr>
        <w:t>Li2022</w:t>
      </w:r>
      <w:r>
        <w:t>}. External cortical contours, characterized by dense statistical descriptions, define component fit, resection coverage, stem entry, edge clearance and soft-tissue space {</w:t>
      </w:r>
      <w:proofErr w:type="spellStart"/>
      <w:r>
        <w:t>Sarkalkan</w:t>
      </w:r>
      <w:proofErr w:type="spellEnd"/>
      <w:r>
        <w:t xml:space="preserve"> 2014; Cai 2024; van de Giessen 2010}.</w:t>
      </w:r>
    </w:p>
    <w:p w14:paraId="73614AAD" w14:textId="77777777" w:rsidR="00C521CB" w:rsidRDefault="00923650">
      <w:pPr>
        <w:pStyle w:val="21"/>
      </w:pPr>
      <w:r>
        <w:t>3.6 From imaging data to design-ready information</w:t>
      </w:r>
    </w:p>
    <w:p w14:paraId="767AC4A2" w14:textId="70C3F823" w:rsidR="00C521CB" w:rsidRDefault="00923650">
      <w:pPr>
        <w:ind w:firstLine="317"/>
      </w:pPr>
      <w:r>
        <w:t>The deliverable of Stage 1 is a defined set of design-ready quantities. Geometric inputs flow forward as reconstructed surfaces, coordinate systems anchored to reproducible landmarks, and density-modulus bone-quality maps for finite element assignment {Gislason 2017; Pfaeffle 2005; Eschweiler 2016; Falcinelli 2023}. Kinematic inputs flow forward as centroid trajectories, orientation descriptors and helical-axis parameters against which simulations are driven and scored {Moore 2007; Eschweiler 2022; Zheng 2013}. Optimization receives the same quantities as targets: functional arc limits,</w:t>
      </w:r>
      <w:r w:rsidR="00643D26">
        <w:rPr>
          <w:rFonts w:eastAsia="宋体" w:hint="eastAsia"/>
          <w:lang w:eastAsia="zh-CN"/>
        </w:rPr>
        <w:t xml:space="preserve"> COR</w:t>
      </w:r>
      <w:r>
        <w:t xml:space="preserve"> trajectories and contact-path envelopes that Stage 3 minimizes deviation from {</w:t>
      </w:r>
      <w:proofErr w:type="spellStart"/>
      <w:r>
        <w:t>Akhbari</w:t>
      </w:r>
      <w:proofErr w:type="spellEnd"/>
      <w:r>
        <w:t xml:space="preserve"> 2020; </w:t>
      </w:r>
      <w:proofErr w:type="spellStart"/>
      <w:r>
        <w:t>Pfaeffle</w:t>
      </w:r>
      <w:proofErr w:type="spellEnd"/>
      <w:r>
        <w:t xml:space="preserve"> 2005; Zheng 2013}. Each output carries its measurement uncertainty, and that uncertainty should be propagated rather than discarded: segmentation and registration residuals bound anatomical inputs, tracking accuracy bounds kinematic targets, and both become the sampling distributions that Stage 2 uncertainty quantification requires {Eschweiler 2022; Pfaeffle 2005; Zhao 2015}.</w:t>
      </w:r>
    </w:p>
    <w:p w14:paraId="5ED6695F" w14:textId="66B51EA2" w:rsidR="00C521CB" w:rsidRDefault="00923650">
      <w:pPr>
        <w:ind w:firstLine="317"/>
      </w:pPr>
      <w:r>
        <w:t xml:space="preserve">In summary, Stage 1 can deliver a coordinated digital anatomy and quantitative target sets with </w:t>
      </w:r>
      <w:proofErr w:type="spellStart"/>
      <w:r>
        <w:t>submillimetre</w:t>
      </w:r>
      <w:proofErr w:type="spellEnd"/>
      <w:r>
        <w:t xml:space="preserve"> accuracy under validated protocols {</w:t>
      </w:r>
      <w:proofErr w:type="spellStart"/>
      <w:r>
        <w:t>Pfaeffle</w:t>
      </w:r>
      <w:proofErr w:type="spellEnd"/>
      <w:r>
        <w:t xml:space="preserve"> 2005; </w:t>
      </w:r>
      <w:proofErr w:type="spellStart"/>
      <w:r>
        <w:t>Akhbari</w:t>
      </w:r>
      <w:proofErr w:type="spellEnd"/>
      <w:r>
        <w:t xml:space="preserve"> 2019; Zhao 2015; Crisco 2026}; acquisition and reconstruction practices remain incompletely standardized across </w:t>
      </w:r>
      <w:r w:rsidR="00643D26">
        <w:t>centers</w:t>
      </w:r>
      <w:r>
        <w:t>, and imaging uncertainty must be propagated into every subsequent stage rather than disclosed post hoc.</w:t>
      </w:r>
    </w:p>
    <w:p w14:paraId="6295385A" w14:textId="77777777" w:rsidR="00C521CB" w:rsidRDefault="00923650">
      <w:pPr>
        <w:pStyle w:val="1"/>
        <w:pageBreakBefore/>
      </w:pPr>
      <w:r>
        <w:lastRenderedPageBreak/>
        <w:t>4 Computational biomechanics of the replaced wrist</w:t>
      </w:r>
    </w:p>
    <w:p w14:paraId="119FC28B" w14:textId="02CD05D5" w:rsidR="00C521CB" w:rsidRDefault="00923650">
      <w:pPr>
        <w:ind w:firstLine="317"/>
      </w:pPr>
      <w:r>
        <w:t xml:space="preserve"> This section reviews the literature gathered at Stage 2 of Fig. 1, namely the computational analysis that converts Stage 1 targets and Stage 0 requirements into predictions of motion </w:t>
      </w:r>
      <w:proofErr w:type="spellStart"/>
      <w:r>
        <w:t>behaviour</w:t>
      </w:r>
      <w:proofErr w:type="spellEnd"/>
      <w:r>
        <w:t xml:space="preserve">, contact, fixation loading and their sensitivities, together with the model architecture and equations, the boundary-condition discipline, validation and uncertainty quantification, and, because analytical assumptions are disciplined by </w:t>
      </w:r>
      <w:r w:rsidR="00BC639E" w:rsidRPr="00BC639E">
        <w:rPr>
          <w:i/>
          <w:iCs/>
        </w:rPr>
        <w:t>in-vivo</w:t>
      </w:r>
      <w:r>
        <w:t xml:space="preserve"> and cadaveric evidence, what implanted wrists have already taught about which quantities matter (Table 3, with the stage evidence consolidated in Table 4).</w:t>
      </w:r>
    </w:p>
    <w:p w14:paraId="38F70CEA" w14:textId="77777777" w:rsidR="00C521CB" w:rsidRDefault="00923650">
      <w:pPr>
        <w:ind w:firstLine="317"/>
      </w:pPr>
      <w:r>
        <w:t xml:space="preserve"> Table 3 | Observed biomechanical deviations and their design implications</w:t>
      </w:r>
    </w:p>
    <w:tbl>
      <w:tblPr>
        <w:tblW w:w="0" w:type="auto"/>
        <w:jc w:val="center"/>
        <w:tblLayout w:type="fixed"/>
        <w:tblLook w:val="04A0" w:firstRow="1" w:lastRow="0" w:firstColumn="1" w:lastColumn="0" w:noHBand="0" w:noVBand="1"/>
      </w:tblPr>
      <w:tblGrid>
        <w:gridCol w:w="1750"/>
        <w:gridCol w:w="620"/>
        <w:gridCol w:w="1560"/>
        <w:gridCol w:w="3300"/>
        <w:gridCol w:w="2330"/>
      </w:tblGrid>
      <w:tr w:rsidR="00C521CB" w14:paraId="150B7052" w14:textId="77777777">
        <w:trPr>
          <w:cantSplit/>
          <w:tblHeader/>
          <w:jc w:val="center"/>
        </w:trPr>
        <w:tc>
          <w:tcPr>
            <w:tcW w:w="1750" w:type="dxa"/>
            <w:shd w:val="clear" w:color="auto" w:fill="E8EEF2"/>
            <w:tcMar>
              <w:top w:w="70" w:type="dxa"/>
              <w:left w:w="90" w:type="dxa"/>
              <w:bottom w:w="70" w:type="dxa"/>
              <w:right w:w="90" w:type="dxa"/>
            </w:tcMar>
            <w:vAlign w:val="center"/>
          </w:tcPr>
          <w:p w14:paraId="78B72C3F" w14:textId="77777777" w:rsidR="00C521CB" w:rsidRDefault="00923650">
            <w:pPr>
              <w:jc w:val="left"/>
            </w:pPr>
            <w:r>
              <w:rPr>
                <w:rFonts w:ascii="Arial" w:hAnsi="Arial"/>
                <w:color w:val="223A49"/>
                <w:sz w:val="15"/>
              </w:rPr>
              <w:t>Study</w:t>
            </w:r>
          </w:p>
        </w:tc>
        <w:tc>
          <w:tcPr>
            <w:tcW w:w="620" w:type="dxa"/>
            <w:shd w:val="clear" w:color="auto" w:fill="E8EEF2"/>
            <w:tcMar>
              <w:top w:w="70" w:type="dxa"/>
              <w:left w:w="90" w:type="dxa"/>
              <w:bottom w:w="70" w:type="dxa"/>
              <w:right w:w="90" w:type="dxa"/>
            </w:tcMar>
            <w:vAlign w:val="center"/>
          </w:tcPr>
          <w:p w14:paraId="2629526B" w14:textId="77777777" w:rsidR="00C521CB" w:rsidRDefault="00923650">
            <w:pPr>
              <w:jc w:val="left"/>
            </w:pPr>
            <w:r>
              <w:rPr>
                <w:rFonts w:ascii="Arial" w:hAnsi="Arial"/>
                <w:color w:val="223A49"/>
                <w:sz w:val="15"/>
              </w:rPr>
              <w:t>Year</w:t>
            </w:r>
          </w:p>
        </w:tc>
        <w:tc>
          <w:tcPr>
            <w:tcW w:w="1560" w:type="dxa"/>
            <w:shd w:val="clear" w:color="auto" w:fill="E8EEF2"/>
            <w:tcMar>
              <w:top w:w="70" w:type="dxa"/>
              <w:left w:w="90" w:type="dxa"/>
              <w:bottom w:w="70" w:type="dxa"/>
              <w:right w:w="90" w:type="dxa"/>
            </w:tcMar>
            <w:vAlign w:val="center"/>
          </w:tcPr>
          <w:p w14:paraId="1A4B8B25" w14:textId="77777777" w:rsidR="00C521CB" w:rsidRDefault="00923650">
            <w:pPr>
              <w:jc w:val="left"/>
            </w:pPr>
            <w:r>
              <w:rPr>
                <w:rFonts w:ascii="Arial" w:hAnsi="Arial"/>
                <w:color w:val="223A49"/>
                <w:sz w:val="15"/>
              </w:rPr>
              <w:t>Evidence type</w:t>
            </w:r>
          </w:p>
        </w:tc>
        <w:tc>
          <w:tcPr>
            <w:tcW w:w="3300" w:type="dxa"/>
            <w:shd w:val="clear" w:color="auto" w:fill="E8EEF2"/>
            <w:tcMar>
              <w:top w:w="70" w:type="dxa"/>
              <w:left w:w="90" w:type="dxa"/>
              <w:bottom w:w="70" w:type="dxa"/>
              <w:right w:w="90" w:type="dxa"/>
            </w:tcMar>
            <w:vAlign w:val="center"/>
          </w:tcPr>
          <w:p w14:paraId="5F25CDBA" w14:textId="77777777" w:rsidR="00C521CB" w:rsidRDefault="00923650">
            <w:pPr>
              <w:jc w:val="left"/>
            </w:pPr>
            <w:r>
              <w:rPr>
                <w:rFonts w:ascii="Arial" w:hAnsi="Arial"/>
                <w:color w:val="223A49"/>
                <w:sz w:val="15"/>
              </w:rPr>
              <w:t>Observed consequence of implantation</w:t>
            </w:r>
          </w:p>
        </w:tc>
        <w:tc>
          <w:tcPr>
            <w:tcW w:w="2330" w:type="dxa"/>
            <w:shd w:val="clear" w:color="auto" w:fill="E8EEF2"/>
            <w:tcMar>
              <w:top w:w="70" w:type="dxa"/>
              <w:left w:w="90" w:type="dxa"/>
              <w:bottom w:w="70" w:type="dxa"/>
              <w:right w:w="90" w:type="dxa"/>
            </w:tcMar>
            <w:vAlign w:val="center"/>
          </w:tcPr>
          <w:p w14:paraId="485236C1" w14:textId="77777777" w:rsidR="00C521CB" w:rsidRDefault="00923650">
            <w:pPr>
              <w:jc w:val="left"/>
            </w:pPr>
            <w:r>
              <w:rPr>
                <w:rFonts w:ascii="Arial" w:hAnsi="Arial"/>
                <w:color w:val="223A49"/>
                <w:sz w:val="15"/>
              </w:rPr>
              <w:t>Design driver derived</w:t>
            </w:r>
          </w:p>
        </w:tc>
      </w:tr>
      <w:tr w:rsidR="00C521CB" w14:paraId="33E284F8" w14:textId="77777777">
        <w:trPr>
          <w:cantSplit/>
          <w:jc w:val="center"/>
        </w:trPr>
        <w:tc>
          <w:tcPr>
            <w:tcW w:w="1750" w:type="dxa"/>
            <w:tcMar>
              <w:top w:w="70" w:type="dxa"/>
              <w:left w:w="90" w:type="dxa"/>
              <w:bottom w:w="70" w:type="dxa"/>
              <w:right w:w="90" w:type="dxa"/>
            </w:tcMar>
            <w:vAlign w:val="center"/>
          </w:tcPr>
          <w:p w14:paraId="72E0A3F9" w14:textId="77777777" w:rsidR="00C521CB" w:rsidRDefault="00923650">
            <w:pPr>
              <w:jc w:val="left"/>
            </w:pPr>
            <w:proofErr w:type="spellStart"/>
            <w:r>
              <w:rPr>
                <w:rFonts w:ascii="Arial" w:hAnsi="Arial"/>
                <w:sz w:val="16"/>
              </w:rPr>
              <w:t>Akhbari</w:t>
            </w:r>
            <w:proofErr w:type="spellEnd"/>
            <w:r>
              <w:rPr>
                <w:rFonts w:ascii="Arial" w:hAnsi="Arial"/>
                <w:sz w:val="16"/>
              </w:rPr>
              <w:t xml:space="preserve"> et al. {</w:t>
            </w:r>
            <w:proofErr w:type="spellStart"/>
            <w:r>
              <w:rPr>
                <w:rFonts w:ascii="Arial" w:hAnsi="Arial"/>
                <w:sz w:val="16"/>
              </w:rPr>
              <w:t>Akhbari</w:t>
            </w:r>
            <w:proofErr w:type="spellEnd"/>
            <w:r>
              <w:rPr>
                <w:rFonts w:ascii="Arial" w:hAnsi="Arial"/>
                <w:sz w:val="16"/>
              </w:rPr>
              <w:t xml:space="preserve"> 2020}</w:t>
            </w:r>
          </w:p>
        </w:tc>
        <w:tc>
          <w:tcPr>
            <w:tcW w:w="620" w:type="dxa"/>
            <w:tcMar>
              <w:top w:w="70" w:type="dxa"/>
              <w:left w:w="90" w:type="dxa"/>
              <w:bottom w:w="70" w:type="dxa"/>
              <w:right w:w="90" w:type="dxa"/>
            </w:tcMar>
            <w:vAlign w:val="center"/>
          </w:tcPr>
          <w:p w14:paraId="2EFF6B6A" w14:textId="77777777" w:rsidR="00C521CB" w:rsidRDefault="00923650">
            <w:pPr>
              <w:jc w:val="left"/>
            </w:pPr>
            <w:r>
              <w:rPr>
                <w:rFonts w:ascii="Arial" w:hAnsi="Arial"/>
                <w:sz w:val="16"/>
              </w:rPr>
              <w:t>2020</w:t>
            </w:r>
          </w:p>
        </w:tc>
        <w:tc>
          <w:tcPr>
            <w:tcW w:w="1560" w:type="dxa"/>
            <w:tcMar>
              <w:top w:w="70" w:type="dxa"/>
              <w:left w:w="90" w:type="dxa"/>
              <w:bottom w:w="70" w:type="dxa"/>
              <w:right w:w="90" w:type="dxa"/>
            </w:tcMar>
            <w:vAlign w:val="center"/>
          </w:tcPr>
          <w:p w14:paraId="17C880FA" w14:textId="636A22C7" w:rsidR="00C521CB" w:rsidRDefault="00BC639E">
            <w:pPr>
              <w:jc w:val="left"/>
            </w:pPr>
            <w:r w:rsidRPr="00BC639E">
              <w:rPr>
                <w:rFonts w:ascii="Arial" w:hAnsi="Arial"/>
                <w:i/>
                <w:iCs/>
                <w:sz w:val="16"/>
              </w:rPr>
              <w:t>In-vivo</w:t>
            </w:r>
            <w:r>
              <w:rPr>
                <w:rFonts w:ascii="Arial" w:hAnsi="Arial"/>
                <w:sz w:val="16"/>
              </w:rPr>
              <w:t xml:space="preserve"> biplane </w:t>
            </w:r>
            <w:proofErr w:type="spellStart"/>
            <w:r>
              <w:rPr>
                <w:rFonts w:ascii="Arial" w:hAnsi="Arial"/>
                <w:sz w:val="16"/>
              </w:rPr>
              <w:t>videoradiography</w:t>
            </w:r>
            <w:proofErr w:type="spellEnd"/>
          </w:p>
        </w:tc>
        <w:tc>
          <w:tcPr>
            <w:tcW w:w="3300" w:type="dxa"/>
            <w:tcMar>
              <w:top w:w="70" w:type="dxa"/>
              <w:left w:w="90" w:type="dxa"/>
              <w:bottom w:w="70" w:type="dxa"/>
              <w:right w:w="90" w:type="dxa"/>
            </w:tcMar>
            <w:vAlign w:val="center"/>
          </w:tcPr>
          <w:p w14:paraId="0208A488" w14:textId="0DA87D63" w:rsidR="00C521CB" w:rsidRDefault="008F1480">
            <w:pPr>
              <w:jc w:val="left"/>
            </w:pPr>
            <w:r>
              <w:rPr>
                <w:rFonts w:ascii="Arial" w:hAnsi="Arial"/>
                <w:sz w:val="16"/>
              </w:rPr>
              <w:t>COR excursion ~17.1 mm after TWA versus ~7.2 mm in healthy wrists (same algorithm, same tasks)</w:t>
            </w:r>
          </w:p>
        </w:tc>
        <w:tc>
          <w:tcPr>
            <w:tcW w:w="2330" w:type="dxa"/>
            <w:tcMar>
              <w:top w:w="70" w:type="dxa"/>
              <w:left w:w="90" w:type="dxa"/>
              <w:bottom w:w="70" w:type="dxa"/>
              <w:right w:w="90" w:type="dxa"/>
            </w:tcMar>
            <w:vAlign w:val="center"/>
          </w:tcPr>
          <w:p w14:paraId="209CA13E" w14:textId="77777777" w:rsidR="00C521CB" w:rsidRDefault="00923650">
            <w:pPr>
              <w:jc w:val="left"/>
            </w:pPr>
            <w:r>
              <w:rPr>
                <w:rFonts w:ascii="Arial" w:hAnsi="Arial"/>
                <w:sz w:val="16"/>
              </w:rPr>
              <w:t xml:space="preserve">Penalize </w:t>
            </w:r>
            <w:proofErr w:type="spellStart"/>
            <w:r>
              <w:rPr>
                <w:rFonts w:ascii="Arial" w:hAnsi="Arial"/>
                <w:sz w:val="16"/>
              </w:rPr>
              <w:t>CoR</w:t>
            </w:r>
            <w:proofErr w:type="spellEnd"/>
            <w:r>
              <w:rPr>
                <w:rFonts w:ascii="Arial" w:hAnsi="Arial"/>
                <w:sz w:val="16"/>
              </w:rPr>
              <w:t xml:space="preserve"> migration in optimization; sample across placement distributions</w:t>
            </w:r>
          </w:p>
        </w:tc>
      </w:tr>
      <w:tr w:rsidR="00C521CB" w14:paraId="6C4B1C10" w14:textId="77777777">
        <w:trPr>
          <w:cantSplit/>
          <w:jc w:val="center"/>
        </w:trPr>
        <w:tc>
          <w:tcPr>
            <w:tcW w:w="1750" w:type="dxa"/>
            <w:tcMar>
              <w:top w:w="70" w:type="dxa"/>
              <w:left w:w="90" w:type="dxa"/>
              <w:bottom w:w="70" w:type="dxa"/>
              <w:right w:w="90" w:type="dxa"/>
            </w:tcMar>
            <w:vAlign w:val="center"/>
          </w:tcPr>
          <w:p w14:paraId="1413E67A" w14:textId="77777777" w:rsidR="00C521CB" w:rsidRDefault="00923650">
            <w:pPr>
              <w:jc w:val="left"/>
            </w:pPr>
            <w:proofErr w:type="spellStart"/>
            <w:r>
              <w:rPr>
                <w:rFonts w:ascii="Arial" w:hAnsi="Arial"/>
                <w:sz w:val="16"/>
              </w:rPr>
              <w:t>Akhbari</w:t>
            </w:r>
            <w:proofErr w:type="spellEnd"/>
            <w:r>
              <w:rPr>
                <w:rFonts w:ascii="Arial" w:hAnsi="Arial"/>
                <w:sz w:val="16"/>
              </w:rPr>
              <w:t xml:space="preserve"> et al. {</w:t>
            </w:r>
            <w:proofErr w:type="spellStart"/>
            <w:r>
              <w:rPr>
                <w:rFonts w:ascii="Arial" w:hAnsi="Arial"/>
                <w:sz w:val="16"/>
              </w:rPr>
              <w:t>Akhbari</w:t>
            </w:r>
            <w:proofErr w:type="spellEnd"/>
            <w:r>
              <w:rPr>
                <w:rFonts w:ascii="Arial" w:hAnsi="Arial"/>
                <w:sz w:val="16"/>
              </w:rPr>
              <w:t xml:space="preserve"> 2021}</w:t>
            </w:r>
          </w:p>
        </w:tc>
        <w:tc>
          <w:tcPr>
            <w:tcW w:w="620" w:type="dxa"/>
            <w:tcMar>
              <w:top w:w="70" w:type="dxa"/>
              <w:left w:w="90" w:type="dxa"/>
              <w:bottom w:w="70" w:type="dxa"/>
              <w:right w:w="90" w:type="dxa"/>
            </w:tcMar>
            <w:vAlign w:val="center"/>
          </w:tcPr>
          <w:p w14:paraId="5A7D9BA1" w14:textId="77777777" w:rsidR="00C521CB" w:rsidRDefault="00923650">
            <w:pPr>
              <w:jc w:val="left"/>
            </w:pPr>
            <w:r>
              <w:rPr>
                <w:rFonts w:ascii="Arial" w:hAnsi="Arial"/>
                <w:sz w:val="16"/>
              </w:rPr>
              <w:t>2021</w:t>
            </w:r>
          </w:p>
        </w:tc>
        <w:tc>
          <w:tcPr>
            <w:tcW w:w="1560" w:type="dxa"/>
            <w:tcMar>
              <w:top w:w="70" w:type="dxa"/>
              <w:left w:w="90" w:type="dxa"/>
              <w:bottom w:w="70" w:type="dxa"/>
              <w:right w:w="90" w:type="dxa"/>
            </w:tcMar>
            <w:vAlign w:val="center"/>
          </w:tcPr>
          <w:p w14:paraId="1FC84A01" w14:textId="16949782" w:rsidR="00C521CB" w:rsidRDefault="00BC639E">
            <w:pPr>
              <w:jc w:val="left"/>
            </w:pPr>
            <w:r w:rsidRPr="00BC639E">
              <w:rPr>
                <w:rFonts w:ascii="Arial" w:hAnsi="Arial"/>
                <w:i/>
                <w:iCs/>
                <w:sz w:val="16"/>
              </w:rPr>
              <w:t>In-vivo</w:t>
            </w:r>
            <w:r>
              <w:rPr>
                <w:rFonts w:ascii="Arial" w:hAnsi="Arial"/>
                <w:sz w:val="16"/>
              </w:rPr>
              <w:t xml:space="preserve"> contact analysis</w:t>
            </w:r>
          </w:p>
        </w:tc>
        <w:tc>
          <w:tcPr>
            <w:tcW w:w="3300" w:type="dxa"/>
            <w:tcMar>
              <w:top w:w="70" w:type="dxa"/>
              <w:left w:w="90" w:type="dxa"/>
              <w:bottom w:w="70" w:type="dxa"/>
              <w:right w:w="90" w:type="dxa"/>
            </w:tcMar>
            <w:vAlign w:val="center"/>
          </w:tcPr>
          <w:p w14:paraId="61CBCC06" w14:textId="76438DC8" w:rsidR="00C521CB" w:rsidRDefault="00923650">
            <w:pPr>
              <w:jc w:val="left"/>
            </w:pPr>
            <w:r>
              <w:rPr>
                <w:rFonts w:ascii="Arial" w:hAnsi="Arial"/>
                <w:sz w:val="16"/>
              </w:rPr>
              <w:t xml:space="preserve">Contact offset from geometric </w:t>
            </w:r>
            <w:r w:rsidR="008F1480">
              <w:rPr>
                <w:rFonts w:ascii="Arial" w:hAnsi="Arial"/>
                <w:sz w:val="16"/>
              </w:rPr>
              <w:t>center</w:t>
            </w:r>
            <w:r>
              <w:rPr>
                <w:rFonts w:ascii="Arial" w:hAnsi="Arial"/>
                <w:sz w:val="16"/>
              </w:rPr>
              <w:t>s in neutral and migrating differently on radial and carpal surfaces</w:t>
            </w:r>
          </w:p>
        </w:tc>
        <w:tc>
          <w:tcPr>
            <w:tcW w:w="2330" w:type="dxa"/>
            <w:tcMar>
              <w:top w:w="70" w:type="dxa"/>
              <w:left w:w="90" w:type="dxa"/>
              <w:bottom w:w="70" w:type="dxa"/>
              <w:right w:w="90" w:type="dxa"/>
            </w:tcMar>
            <w:vAlign w:val="center"/>
          </w:tcPr>
          <w:p w14:paraId="625EDCD7" w14:textId="77777777" w:rsidR="00C521CB" w:rsidRDefault="00923650">
            <w:pPr>
              <w:jc w:val="left"/>
            </w:pPr>
            <w:r>
              <w:rPr>
                <w:rFonts w:ascii="Arial" w:hAnsi="Arial"/>
                <w:sz w:val="16"/>
              </w:rPr>
              <w:t>Require dynamic contact analysis; distrust idealized curvature alone</w:t>
            </w:r>
          </w:p>
        </w:tc>
      </w:tr>
      <w:tr w:rsidR="00C521CB" w14:paraId="3ACA32F9" w14:textId="77777777">
        <w:trPr>
          <w:cantSplit/>
          <w:jc w:val="center"/>
        </w:trPr>
        <w:tc>
          <w:tcPr>
            <w:tcW w:w="1750" w:type="dxa"/>
            <w:tcMar>
              <w:top w:w="70" w:type="dxa"/>
              <w:left w:w="90" w:type="dxa"/>
              <w:bottom w:w="70" w:type="dxa"/>
              <w:right w:w="90" w:type="dxa"/>
            </w:tcMar>
            <w:vAlign w:val="center"/>
          </w:tcPr>
          <w:p w14:paraId="18808A9A" w14:textId="77777777" w:rsidR="00C521CB" w:rsidRDefault="00923650">
            <w:pPr>
              <w:jc w:val="left"/>
            </w:pPr>
            <w:r>
              <w:rPr>
                <w:rFonts w:ascii="Arial" w:hAnsi="Arial"/>
                <w:sz w:val="16"/>
              </w:rPr>
              <w:t>McCullough et al. {McCullough 2012}</w:t>
            </w:r>
          </w:p>
        </w:tc>
        <w:tc>
          <w:tcPr>
            <w:tcW w:w="620" w:type="dxa"/>
            <w:tcMar>
              <w:top w:w="70" w:type="dxa"/>
              <w:left w:w="90" w:type="dxa"/>
              <w:bottom w:w="70" w:type="dxa"/>
              <w:right w:w="90" w:type="dxa"/>
            </w:tcMar>
            <w:vAlign w:val="center"/>
          </w:tcPr>
          <w:p w14:paraId="1651E1EE" w14:textId="77777777" w:rsidR="00C521CB" w:rsidRDefault="00923650">
            <w:pPr>
              <w:jc w:val="left"/>
            </w:pPr>
            <w:r>
              <w:rPr>
                <w:rFonts w:ascii="Arial" w:hAnsi="Arial"/>
                <w:sz w:val="16"/>
              </w:rPr>
              <w:t>2012</w:t>
            </w:r>
          </w:p>
        </w:tc>
        <w:tc>
          <w:tcPr>
            <w:tcW w:w="1560" w:type="dxa"/>
            <w:tcMar>
              <w:top w:w="70" w:type="dxa"/>
              <w:left w:w="90" w:type="dxa"/>
              <w:bottom w:w="70" w:type="dxa"/>
              <w:right w:w="90" w:type="dxa"/>
            </w:tcMar>
            <w:vAlign w:val="center"/>
          </w:tcPr>
          <w:p w14:paraId="5E5532D6" w14:textId="77777777" w:rsidR="00C521CB" w:rsidRDefault="00923650">
            <w:pPr>
              <w:jc w:val="left"/>
            </w:pPr>
            <w:r>
              <w:rPr>
                <w:rFonts w:ascii="Arial" w:hAnsi="Arial"/>
                <w:sz w:val="16"/>
              </w:rPr>
              <w:t>Finite element comparison</w:t>
            </w:r>
          </w:p>
        </w:tc>
        <w:tc>
          <w:tcPr>
            <w:tcW w:w="3300" w:type="dxa"/>
            <w:tcMar>
              <w:top w:w="70" w:type="dxa"/>
              <w:left w:w="90" w:type="dxa"/>
              <w:bottom w:w="70" w:type="dxa"/>
              <w:right w:w="90" w:type="dxa"/>
            </w:tcMar>
            <w:vAlign w:val="center"/>
          </w:tcPr>
          <w:p w14:paraId="058C319C" w14:textId="77777777" w:rsidR="00C521CB" w:rsidRDefault="00923650">
            <w:pPr>
              <w:jc w:val="left"/>
            </w:pPr>
            <w:r>
              <w:rPr>
                <w:rFonts w:ascii="Arial" w:hAnsi="Arial"/>
                <w:sz w:val="16"/>
              </w:rPr>
              <w:t>Articular shape and tendon loading change contact area, pressure and stability</w:t>
            </w:r>
          </w:p>
        </w:tc>
        <w:tc>
          <w:tcPr>
            <w:tcW w:w="2330" w:type="dxa"/>
            <w:tcMar>
              <w:top w:w="70" w:type="dxa"/>
              <w:left w:w="90" w:type="dxa"/>
              <w:bottom w:w="70" w:type="dxa"/>
              <w:right w:w="90" w:type="dxa"/>
            </w:tcMar>
            <w:vAlign w:val="center"/>
          </w:tcPr>
          <w:p w14:paraId="6E57D66E" w14:textId="77777777" w:rsidR="00C521CB" w:rsidRDefault="00923650">
            <w:pPr>
              <w:jc w:val="left"/>
            </w:pPr>
            <w:r>
              <w:rPr>
                <w:rFonts w:ascii="Arial" w:hAnsi="Arial"/>
                <w:sz w:val="16"/>
              </w:rPr>
              <w:t>Conformity is a trade-off variable, not a target</w:t>
            </w:r>
          </w:p>
        </w:tc>
      </w:tr>
      <w:tr w:rsidR="00C521CB" w14:paraId="0FDDAAD6" w14:textId="77777777">
        <w:trPr>
          <w:cantSplit/>
          <w:jc w:val="center"/>
        </w:trPr>
        <w:tc>
          <w:tcPr>
            <w:tcW w:w="1750" w:type="dxa"/>
            <w:tcMar>
              <w:top w:w="70" w:type="dxa"/>
              <w:left w:w="90" w:type="dxa"/>
              <w:bottom w:w="70" w:type="dxa"/>
              <w:right w:w="90" w:type="dxa"/>
            </w:tcMar>
            <w:vAlign w:val="center"/>
          </w:tcPr>
          <w:p w14:paraId="7A123B6B" w14:textId="77777777" w:rsidR="00C521CB" w:rsidRDefault="00923650">
            <w:pPr>
              <w:jc w:val="left"/>
            </w:pPr>
            <w:r>
              <w:rPr>
                <w:rFonts w:ascii="Arial" w:hAnsi="Arial"/>
                <w:sz w:val="16"/>
              </w:rPr>
              <w:t>Gislason et al. {Gislason 2017}</w:t>
            </w:r>
          </w:p>
        </w:tc>
        <w:tc>
          <w:tcPr>
            <w:tcW w:w="620" w:type="dxa"/>
            <w:tcMar>
              <w:top w:w="70" w:type="dxa"/>
              <w:left w:w="90" w:type="dxa"/>
              <w:bottom w:w="70" w:type="dxa"/>
              <w:right w:w="90" w:type="dxa"/>
            </w:tcMar>
            <w:vAlign w:val="center"/>
          </w:tcPr>
          <w:p w14:paraId="287E6438" w14:textId="77777777" w:rsidR="00C521CB" w:rsidRDefault="00923650">
            <w:pPr>
              <w:jc w:val="left"/>
            </w:pPr>
            <w:r>
              <w:rPr>
                <w:rFonts w:ascii="Arial" w:hAnsi="Arial"/>
                <w:sz w:val="16"/>
              </w:rPr>
              <w:t>2017</w:t>
            </w:r>
          </w:p>
        </w:tc>
        <w:tc>
          <w:tcPr>
            <w:tcW w:w="1560" w:type="dxa"/>
            <w:tcMar>
              <w:top w:w="70" w:type="dxa"/>
              <w:left w:w="90" w:type="dxa"/>
              <w:bottom w:w="70" w:type="dxa"/>
              <w:right w:w="90" w:type="dxa"/>
            </w:tcMar>
            <w:vAlign w:val="center"/>
          </w:tcPr>
          <w:p w14:paraId="13D78500" w14:textId="77777777" w:rsidR="00C521CB" w:rsidRDefault="00923650">
            <w:pPr>
              <w:jc w:val="left"/>
            </w:pPr>
            <w:r>
              <w:rPr>
                <w:rFonts w:ascii="Arial" w:hAnsi="Arial"/>
                <w:sz w:val="16"/>
              </w:rPr>
              <w:t>Finite element study</w:t>
            </w:r>
          </w:p>
        </w:tc>
        <w:tc>
          <w:tcPr>
            <w:tcW w:w="3300" w:type="dxa"/>
            <w:tcMar>
              <w:top w:w="70" w:type="dxa"/>
              <w:left w:w="90" w:type="dxa"/>
              <w:bottom w:w="70" w:type="dxa"/>
              <w:right w:w="90" w:type="dxa"/>
            </w:tcMar>
            <w:vAlign w:val="center"/>
          </w:tcPr>
          <w:p w14:paraId="4E15FD82" w14:textId="77777777" w:rsidR="00C521CB" w:rsidRDefault="00923650">
            <w:pPr>
              <w:jc w:val="left"/>
            </w:pPr>
            <w:r>
              <w:rPr>
                <w:rFonts w:ascii="Arial" w:hAnsi="Arial"/>
                <w:sz w:val="16"/>
              </w:rPr>
              <w:t>Dorsal-ulnar loading with load transmitted mainly through the radius</w:t>
            </w:r>
          </w:p>
        </w:tc>
        <w:tc>
          <w:tcPr>
            <w:tcW w:w="2330" w:type="dxa"/>
            <w:tcMar>
              <w:top w:w="70" w:type="dxa"/>
              <w:left w:w="90" w:type="dxa"/>
              <w:bottom w:w="70" w:type="dxa"/>
              <w:right w:w="90" w:type="dxa"/>
            </w:tcMar>
            <w:vAlign w:val="center"/>
          </w:tcPr>
          <w:p w14:paraId="3CAB3A05" w14:textId="77777777" w:rsidR="00C521CB" w:rsidRDefault="00923650">
            <w:pPr>
              <w:jc w:val="left"/>
            </w:pPr>
            <w:r>
              <w:rPr>
                <w:rFonts w:ascii="Arial" w:hAnsi="Arial"/>
                <w:sz w:val="16"/>
              </w:rPr>
              <w:t>Evaluate complete loading paths, not isolated bearings under central load</w:t>
            </w:r>
          </w:p>
        </w:tc>
      </w:tr>
      <w:tr w:rsidR="00C521CB" w14:paraId="185509F5" w14:textId="77777777">
        <w:trPr>
          <w:cantSplit/>
          <w:jc w:val="center"/>
        </w:trPr>
        <w:tc>
          <w:tcPr>
            <w:tcW w:w="1750" w:type="dxa"/>
            <w:tcMar>
              <w:top w:w="70" w:type="dxa"/>
              <w:left w:w="90" w:type="dxa"/>
              <w:bottom w:w="70" w:type="dxa"/>
              <w:right w:w="90" w:type="dxa"/>
            </w:tcMar>
            <w:vAlign w:val="center"/>
          </w:tcPr>
          <w:p w14:paraId="45EF7F20" w14:textId="77777777" w:rsidR="00C521CB" w:rsidRDefault="00923650">
            <w:pPr>
              <w:jc w:val="left"/>
            </w:pPr>
            <w:r>
              <w:rPr>
                <w:rFonts w:ascii="Arial" w:hAnsi="Arial"/>
                <w:sz w:val="16"/>
              </w:rPr>
              <w:t>Bain et al. {Bain 2025}</w:t>
            </w:r>
          </w:p>
        </w:tc>
        <w:tc>
          <w:tcPr>
            <w:tcW w:w="620" w:type="dxa"/>
            <w:tcMar>
              <w:top w:w="70" w:type="dxa"/>
              <w:left w:w="90" w:type="dxa"/>
              <w:bottom w:w="70" w:type="dxa"/>
              <w:right w:w="90" w:type="dxa"/>
            </w:tcMar>
            <w:vAlign w:val="center"/>
          </w:tcPr>
          <w:p w14:paraId="0FECCEFC" w14:textId="77777777" w:rsidR="00C521CB" w:rsidRDefault="00923650">
            <w:pPr>
              <w:jc w:val="left"/>
            </w:pPr>
            <w:r>
              <w:rPr>
                <w:rFonts w:ascii="Arial" w:hAnsi="Arial"/>
                <w:sz w:val="16"/>
              </w:rPr>
              <w:t>2025</w:t>
            </w:r>
          </w:p>
        </w:tc>
        <w:tc>
          <w:tcPr>
            <w:tcW w:w="1560" w:type="dxa"/>
            <w:tcMar>
              <w:top w:w="70" w:type="dxa"/>
              <w:left w:w="90" w:type="dxa"/>
              <w:bottom w:w="70" w:type="dxa"/>
              <w:right w:w="90" w:type="dxa"/>
            </w:tcMar>
            <w:vAlign w:val="center"/>
          </w:tcPr>
          <w:p w14:paraId="0ACD63A8" w14:textId="77777777" w:rsidR="00C521CB" w:rsidRDefault="00923650">
            <w:pPr>
              <w:jc w:val="left"/>
            </w:pPr>
            <w:r>
              <w:rPr>
                <w:rFonts w:ascii="Arial" w:hAnsi="Arial"/>
                <w:sz w:val="16"/>
              </w:rPr>
              <w:t>Cadaveric hexapod study</w:t>
            </w:r>
          </w:p>
        </w:tc>
        <w:tc>
          <w:tcPr>
            <w:tcW w:w="3300" w:type="dxa"/>
            <w:tcMar>
              <w:top w:w="70" w:type="dxa"/>
              <w:left w:w="90" w:type="dxa"/>
              <w:bottom w:w="70" w:type="dxa"/>
              <w:right w:w="90" w:type="dxa"/>
            </w:tcMar>
            <w:vAlign w:val="center"/>
          </w:tcPr>
          <w:p w14:paraId="0474C9CD" w14:textId="48A28C53" w:rsidR="00C521CB" w:rsidRDefault="00923650">
            <w:pPr>
              <w:jc w:val="left"/>
            </w:pPr>
            <w:r>
              <w:rPr>
                <w:rFonts w:ascii="Arial" w:hAnsi="Arial"/>
                <w:sz w:val="16"/>
              </w:rPr>
              <w:t xml:space="preserve">Increased stiffness, +14% carpal height, proximal-dorsal-radial </w:t>
            </w:r>
            <w:r w:rsidR="008F1480">
              <w:rPr>
                <w:rFonts w:ascii="Arial" w:hAnsi="Arial"/>
                <w:sz w:val="16"/>
              </w:rPr>
              <w:t>center</w:t>
            </w:r>
            <w:r>
              <w:rPr>
                <w:rFonts w:ascii="Arial" w:hAnsi="Arial"/>
                <w:sz w:val="16"/>
              </w:rPr>
              <w:t xml:space="preserve"> displacement after </w:t>
            </w:r>
            <w:proofErr w:type="spellStart"/>
            <w:r>
              <w:rPr>
                <w:rFonts w:ascii="Arial" w:hAnsi="Arial"/>
                <w:sz w:val="16"/>
              </w:rPr>
              <w:t>Motec</w:t>
            </w:r>
            <w:proofErr w:type="spellEnd"/>
            <w:r>
              <w:rPr>
                <w:rFonts w:ascii="Arial" w:hAnsi="Arial"/>
                <w:sz w:val="16"/>
              </w:rPr>
              <w:t xml:space="preserve"> implantation</w:t>
            </w:r>
          </w:p>
        </w:tc>
        <w:tc>
          <w:tcPr>
            <w:tcW w:w="2330" w:type="dxa"/>
            <w:tcMar>
              <w:top w:w="70" w:type="dxa"/>
              <w:left w:w="90" w:type="dxa"/>
              <w:bottom w:w="70" w:type="dxa"/>
              <w:right w:w="90" w:type="dxa"/>
            </w:tcMar>
            <w:vAlign w:val="center"/>
          </w:tcPr>
          <w:p w14:paraId="0F6E5F91" w14:textId="2EC48F03" w:rsidR="00C521CB" w:rsidRDefault="00923650">
            <w:pPr>
              <w:jc w:val="left"/>
            </w:pPr>
            <w:r>
              <w:rPr>
                <w:rFonts w:ascii="Arial" w:hAnsi="Arial"/>
                <w:sz w:val="16"/>
              </w:rPr>
              <w:t xml:space="preserve">Carpal height and </w:t>
            </w:r>
            <w:r w:rsidR="008F1480">
              <w:rPr>
                <w:rFonts w:ascii="Arial" w:hAnsi="Arial"/>
                <w:sz w:val="16"/>
              </w:rPr>
              <w:t>center</w:t>
            </w:r>
            <w:r>
              <w:rPr>
                <w:rFonts w:ascii="Arial" w:hAnsi="Arial"/>
                <w:sz w:val="16"/>
              </w:rPr>
              <w:t xml:space="preserve"> position are moment-arm variables</w:t>
            </w:r>
          </w:p>
        </w:tc>
      </w:tr>
      <w:tr w:rsidR="00C521CB" w14:paraId="1125B82F" w14:textId="77777777">
        <w:trPr>
          <w:cantSplit/>
          <w:jc w:val="center"/>
        </w:trPr>
        <w:tc>
          <w:tcPr>
            <w:tcW w:w="1750" w:type="dxa"/>
            <w:tcMar>
              <w:top w:w="70" w:type="dxa"/>
              <w:left w:w="90" w:type="dxa"/>
              <w:bottom w:w="70" w:type="dxa"/>
              <w:right w:w="90" w:type="dxa"/>
            </w:tcMar>
            <w:vAlign w:val="center"/>
          </w:tcPr>
          <w:p w14:paraId="116BAC09" w14:textId="77777777" w:rsidR="00C521CB" w:rsidRDefault="00923650">
            <w:pPr>
              <w:jc w:val="left"/>
            </w:pPr>
            <w:r>
              <w:rPr>
                <w:rFonts w:ascii="Arial" w:hAnsi="Arial"/>
                <w:sz w:val="16"/>
              </w:rPr>
              <w:t>Norman-</w:t>
            </w:r>
            <w:proofErr w:type="spellStart"/>
            <w:r>
              <w:rPr>
                <w:rFonts w:ascii="Arial" w:hAnsi="Arial"/>
                <w:sz w:val="16"/>
              </w:rPr>
              <w:t>Puim</w:t>
            </w:r>
            <w:proofErr w:type="spellEnd"/>
            <w:r>
              <w:rPr>
                <w:rFonts w:ascii="Arial" w:hAnsi="Arial"/>
                <w:sz w:val="16"/>
              </w:rPr>
              <w:t xml:space="preserve"> et al. {Norman-</w:t>
            </w:r>
            <w:proofErr w:type="spellStart"/>
            <w:r>
              <w:rPr>
                <w:rFonts w:ascii="Arial" w:hAnsi="Arial"/>
                <w:sz w:val="16"/>
              </w:rPr>
              <w:t>Puim</w:t>
            </w:r>
            <w:proofErr w:type="spellEnd"/>
            <w:r>
              <w:rPr>
                <w:rFonts w:ascii="Arial" w:hAnsi="Arial"/>
                <w:sz w:val="16"/>
              </w:rPr>
              <w:t xml:space="preserve"> 2026}</w:t>
            </w:r>
          </w:p>
        </w:tc>
        <w:tc>
          <w:tcPr>
            <w:tcW w:w="620" w:type="dxa"/>
            <w:tcMar>
              <w:top w:w="70" w:type="dxa"/>
              <w:left w:w="90" w:type="dxa"/>
              <w:bottom w:w="70" w:type="dxa"/>
              <w:right w:w="90" w:type="dxa"/>
            </w:tcMar>
            <w:vAlign w:val="center"/>
          </w:tcPr>
          <w:p w14:paraId="6AB3994D" w14:textId="77777777" w:rsidR="00C521CB" w:rsidRDefault="00923650">
            <w:pPr>
              <w:jc w:val="left"/>
            </w:pPr>
            <w:r>
              <w:rPr>
                <w:rFonts w:ascii="Arial" w:hAnsi="Arial"/>
                <w:sz w:val="16"/>
              </w:rPr>
              <w:t>2026</w:t>
            </w:r>
          </w:p>
        </w:tc>
        <w:tc>
          <w:tcPr>
            <w:tcW w:w="1560" w:type="dxa"/>
            <w:tcMar>
              <w:top w:w="70" w:type="dxa"/>
              <w:left w:w="90" w:type="dxa"/>
              <w:bottom w:w="70" w:type="dxa"/>
              <w:right w:w="90" w:type="dxa"/>
            </w:tcMar>
            <w:vAlign w:val="center"/>
          </w:tcPr>
          <w:p w14:paraId="070D1C7B" w14:textId="77777777" w:rsidR="00C521CB" w:rsidRDefault="00923650">
            <w:pPr>
              <w:jc w:val="left"/>
            </w:pPr>
            <w:r>
              <w:rPr>
                <w:rFonts w:ascii="Arial" w:hAnsi="Arial"/>
                <w:sz w:val="16"/>
              </w:rPr>
              <w:t>Cadaveric comparison, reverse configuration</w:t>
            </w:r>
          </w:p>
        </w:tc>
        <w:tc>
          <w:tcPr>
            <w:tcW w:w="3300" w:type="dxa"/>
            <w:tcMar>
              <w:top w:w="70" w:type="dxa"/>
              <w:left w:w="90" w:type="dxa"/>
              <w:bottom w:w="70" w:type="dxa"/>
              <w:right w:w="90" w:type="dxa"/>
            </w:tcMar>
            <w:vAlign w:val="center"/>
          </w:tcPr>
          <w:p w14:paraId="1D0A57AD" w14:textId="77777777" w:rsidR="00C521CB" w:rsidRDefault="00923650">
            <w:pPr>
              <w:jc w:val="left"/>
            </w:pPr>
            <w:r>
              <w:rPr>
                <w:rFonts w:ascii="Arial" w:hAnsi="Arial"/>
                <w:sz w:val="16"/>
              </w:rPr>
              <w:t>Reverse polarity reduced several muscle forces and carpal-component loading in flexion-extension (deviation underpowered)</w:t>
            </w:r>
          </w:p>
        </w:tc>
        <w:tc>
          <w:tcPr>
            <w:tcW w:w="2330" w:type="dxa"/>
            <w:tcMar>
              <w:top w:w="70" w:type="dxa"/>
              <w:left w:w="90" w:type="dxa"/>
              <w:bottom w:w="70" w:type="dxa"/>
              <w:right w:w="90" w:type="dxa"/>
            </w:tcMar>
            <w:vAlign w:val="center"/>
          </w:tcPr>
          <w:p w14:paraId="30D25C25" w14:textId="77777777" w:rsidR="00C521CB" w:rsidRDefault="00923650">
            <w:pPr>
              <w:jc w:val="left"/>
            </w:pPr>
            <w:r>
              <w:rPr>
                <w:rFonts w:ascii="Arial" w:hAnsi="Arial"/>
                <w:sz w:val="16"/>
              </w:rPr>
              <w:t>Articulation polarity is a legitimate design variable</w:t>
            </w:r>
          </w:p>
        </w:tc>
      </w:tr>
    </w:tbl>
    <w:p w14:paraId="6F179426" w14:textId="77777777" w:rsidR="00C521CB" w:rsidRDefault="00C521CB">
      <w:pPr>
        <w:ind w:firstLine="317"/>
      </w:pPr>
    </w:p>
    <w:p w14:paraId="769B7508" w14:textId="77777777" w:rsidR="00C521CB" w:rsidRDefault="00923650">
      <w:pPr>
        <w:pStyle w:val="21"/>
      </w:pPr>
      <w:r>
        <w:t>4.1 Model architecture</w:t>
      </w:r>
    </w:p>
    <w:p w14:paraId="44E59E3B" w14:textId="3D86E35F" w:rsidR="00C521CB" w:rsidRDefault="00923650">
      <w:pPr>
        <w:ind w:firstLine="317"/>
      </w:pPr>
      <w:r>
        <w:t xml:space="preserve">Multibody dynamics represents bones and implant components as bodies connected by joints, compliant contacts, ligaments and musculotendinous units, trading geometric detail for whole-system motion and force across tasks {Eschweiler 2022; Eschweiler 2016; </w:t>
      </w:r>
      <w:proofErr w:type="spellStart"/>
      <w:r>
        <w:t>Mirakhorlo</w:t>
      </w:r>
      <w:proofErr w:type="spellEnd"/>
      <w:r>
        <w:t xml:space="preserve"> 2018}. </w:t>
      </w:r>
      <w:r w:rsidRPr="00643D26">
        <w:rPr>
          <w:color w:val="FF0000"/>
        </w:rPr>
        <w:t xml:space="preserve">Most published wrist models simplify the carpus to one or two segments; that simplification is acceptable for joint-level questions and misleading for intercarpal </w:t>
      </w:r>
      <w:r w:rsidR="00643D26" w:rsidRPr="00643D26">
        <w:rPr>
          <w:color w:val="FF0000"/>
        </w:rPr>
        <w:t>behavior</w:t>
      </w:r>
      <w:r w:rsidRPr="00643D26">
        <w:rPr>
          <w:color w:val="FF0000"/>
        </w:rPr>
        <w:t xml:space="preserve"> {Eschweiler 2022; McCullough 2012}.</w:t>
      </w:r>
      <w:r>
        <w:t xml:space="preserve"> Ligaments appear as tension-only springs, a first-order representation whose attachment, slack length and stiffness parameters strongly condition the results {Eschweiler 2022; Eschweiler 2016}.</w:t>
      </w:r>
    </w:p>
    <w:p w14:paraId="37F40DAF" w14:textId="77777777" w:rsidR="00C521CB" w:rsidRDefault="00923650">
      <w:pPr>
        <w:ind w:firstLine="317"/>
      </w:pPr>
      <w:r>
        <w:t xml:space="preserve">The muscle-force problem is indeterminate, and its solution embeds assumptions that matter for implant loading: static optimization minimizes normalized muscle effort, which underestimates co-contraction and yields the minimum-force rather than a physiological solution {Eschweiler 2022; </w:t>
      </w:r>
      <w:proofErr w:type="spellStart"/>
      <w:r>
        <w:t>Mirakhorlo</w:t>
      </w:r>
      <w:proofErr w:type="spellEnd"/>
      <w:r>
        <w:t xml:space="preserve"> 2018; Nichols 2017}. Moment arms from cadaveric measurement or model-derived values, physiological cross-sectional areas and activation limits should be reported with their sources, because predicted implant loads inherit these choices {Hooke 2015; Nichols 2017}.</w:t>
      </w:r>
    </w:p>
    <w:p w14:paraId="28BDBAA8" w14:textId="77777777" w:rsidR="00C521CB" w:rsidRDefault="00923650">
      <w:pPr>
        <w:pStyle w:val="21"/>
      </w:pPr>
      <w:r>
        <w:t>4.2 From motion to loading</w:t>
      </w:r>
    </w:p>
    <w:p w14:paraId="11AE8ED5" w14:textId="570DEAD1" w:rsidR="00C521CB" w:rsidRDefault="00923650">
      <w:pPr>
        <w:ind w:firstLine="317"/>
      </w:pPr>
      <w:r>
        <w:t xml:space="preserve">The modelling chain runs from motion to loading to local response, and its bookkeeping determines which quantities are assumed, which are solved and which can change a design conclusion {Eschweiler 2022; Eschweiler 2016; </w:t>
      </w:r>
      <w:proofErr w:type="spellStart"/>
      <w:r>
        <w:t>Mirakhorlo</w:t>
      </w:r>
      <w:proofErr w:type="spellEnd"/>
      <w:r>
        <w:t xml:space="preserve"> 2018}. For prescribed motion, inverse dynamics supplies the net moment to be balanced, and static optimization distributes it among muscles subject to nonnegative forces; their contributions must be counted exactly once, and the accounting stated. Ligaments should generate force only beyond slack length, with parameters identified or explored by sensitivity analysis {Eschweiler 2022; Eschweiler 2016}. Boundary </w:t>
      </w:r>
      <w:r>
        <w:lastRenderedPageBreak/>
        <w:t xml:space="preserve">conditions should then be specified as a task definition rather than a list of arbitrary forces: coordinate frame, constrained degrees of freedom, force or displacement control, muscle recruitment rule, contact law, fixation state, initial preload and intended loading regime reported together, so that another group can reproduce the load path {Eschweiler 2022; Gislason 2017; Pfaeffle 2005}. Absolute </w:t>
      </w:r>
      <w:r w:rsidR="00BC639E" w:rsidRPr="00BC639E">
        <w:rPr>
          <w:i/>
          <w:iCs/>
        </w:rPr>
        <w:t>in-vivo</w:t>
      </w:r>
      <w:r>
        <w:t xml:space="preserve"> wrist forces remain unmeasured, because no telemetered wrist implant exists; load magnitudes are therefore assembled from hand-force statics, cadaveric measurement and model estimates {Eschweiler 2022; Bain 2025; Glanville 2024; Glanville 2025}, and cycle-counted task envelopes substitute for the missing calibration.</w:t>
      </w:r>
    </w:p>
    <w:p w14:paraId="70AA4603" w14:textId="77777777" w:rsidR="00C521CB" w:rsidRDefault="00923650">
      <w:pPr>
        <w:pStyle w:val="21"/>
      </w:pPr>
      <w:r>
        <w:t>4.3 From loading to local mechanical response</w:t>
      </w:r>
    </w:p>
    <w:p w14:paraId="4F4CC99D" w14:textId="02131047" w:rsidR="00C521CB" w:rsidRDefault="00923650">
      <w:pPr>
        <w:ind w:firstLine="317"/>
      </w:pPr>
      <w:r>
        <w:t xml:space="preserve">Finite </w:t>
      </w:r>
      <w:r w:rsidR="00643D26">
        <w:rPr>
          <w:rFonts w:eastAsia="宋体" w:hint="eastAsia"/>
          <w:lang w:eastAsia="zh-CN"/>
        </w:rPr>
        <w:t>E</w:t>
      </w:r>
      <w:r>
        <w:t xml:space="preserve">lement </w:t>
      </w:r>
      <w:r w:rsidR="00643D26">
        <w:rPr>
          <w:rFonts w:eastAsia="宋体" w:hint="eastAsia"/>
          <w:lang w:eastAsia="zh-CN"/>
        </w:rPr>
        <w:t>A</w:t>
      </w:r>
      <w:r>
        <w:t>nalysis</w:t>
      </w:r>
      <w:r w:rsidR="00643D26">
        <w:rPr>
          <w:rFonts w:eastAsia="宋体" w:hint="eastAsia"/>
          <w:lang w:eastAsia="zh-CN"/>
        </w:rPr>
        <w:t xml:space="preserve"> (FEA)</w:t>
      </w:r>
      <w:r>
        <w:t xml:space="preserve"> resolves what the multibody stage supplies in aggregate: contact pressure at the bearing, peri-implant bone strain, component stress and the relative displacement between implant and bone at the fixation interface. That last quantity, interface micromotion, is distinct from rigid-body migration and should be reported decomposed into interface-normal and tangential components at defined node sets, with the percentile statistic stated whenever it is compared against a tolerance {</w:t>
      </w:r>
      <w:proofErr w:type="spellStart"/>
      <w:r>
        <w:t>Akhbari</w:t>
      </w:r>
      <w:proofErr w:type="spellEnd"/>
      <w:r>
        <w:t xml:space="preserve"> 2021; </w:t>
      </w:r>
      <w:proofErr w:type="spellStart"/>
      <w:r>
        <w:t>Gislason</w:t>
      </w:r>
      <w:proofErr w:type="spellEnd"/>
      <w:r>
        <w:t xml:space="preserve"> 2017; McCullough 2012}. Contact itself is regularized, by penalty or augmented-Lagrange formulation, and the regularization parameters belong in the report because they shape the pressures being interpreted {Gislason 2017; McCullough 2012}.</w:t>
      </w:r>
    </w:p>
    <w:p w14:paraId="4FDF74DC" w14:textId="77777777" w:rsidR="00C521CB" w:rsidRDefault="00923650">
      <w:pPr>
        <w:ind w:firstLine="317"/>
      </w:pPr>
      <w:r>
        <w:t>Beyond the implant interface, the same analysis yields the variables through which a design acts on surrounding tissue: bone stress around the stem indicates stress shielding, the resorption driven by stiffness mismatch {Mani 2024; Abd-</w:t>
      </w:r>
      <w:proofErr w:type="spellStart"/>
      <w:r>
        <w:t>Elaziem</w:t>
      </w:r>
      <w:proofErr w:type="spellEnd"/>
      <w:r>
        <w:t xml:space="preserve"> 2024}; polyethylene loading is summarized by contact pressure, sliding distance and cross-shear, the inputs the wear models of Section 5.5 consume {Wang 1998; Baykal 2014}; and screw loads and cement stresses expose how load reaches fixation, with interface micromotion the quantity that connects all of these to the biological outcome {</w:t>
      </w:r>
      <w:proofErr w:type="spellStart"/>
      <w:r>
        <w:t>Gislason</w:t>
      </w:r>
      <w:proofErr w:type="spellEnd"/>
      <w:r>
        <w:t xml:space="preserve"> 2017; </w:t>
      </w:r>
      <w:proofErr w:type="spellStart"/>
      <w:r>
        <w:t>Pilliar</w:t>
      </w:r>
      <w:proofErr w:type="spellEnd"/>
      <w:r>
        <w:t xml:space="preserve"> 1986; </w:t>
      </w:r>
      <w:proofErr w:type="spellStart"/>
      <w:r>
        <w:t>Bobyn</w:t>
      </w:r>
      <w:proofErr w:type="spellEnd"/>
      <w:r>
        <w:t xml:space="preserve"> 1999}. These responses inherit the load-estimation assumptions of Section 4.2 rather than replacing them.</w:t>
      </w:r>
    </w:p>
    <w:p w14:paraId="4A92FA2E" w14:textId="77777777" w:rsidR="00C521CB" w:rsidRDefault="00923650">
      <w:pPr>
        <w:pStyle w:val="21"/>
      </w:pPr>
      <w:r>
        <w:t>4.4 Model verification, validation, and uncertainty</w:t>
      </w:r>
    </w:p>
    <w:p w14:paraId="5E384B08" w14:textId="25547CA6" w:rsidR="0093642B" w:rsidRPr="0093642B" w:rsidRDefault="005A5647" w:rsidP="0093642B">
      <w:pPr>
        <w:ind w:firstLine="317"/>
        <w:rPr>
          <w:rFonts w:eastAsia="宋体"/>
          <w:lang w:eastAsia="zh-CN"/>
        </w:rPr>
      </w:pPr>
      <w:r w:rsidRPr="005A5647">
        <w:rPr>
          <w:rFonts w:eastAsia="宋体"/>
          <w:lang w:eastAsia="zh-CN"/>
        </w:rPr>
        <w:t>MBS and FEA</w:t>
      </w:r>
      <w:r w:rsidR="0093642B" w:rsidRPr="0093642B">
        <w:rPr>
          <w:rFonts w:eastAsia="宋体"/>
          <w:lang w:eastAsia="zh-CN"/>
        </w:rPr>
        <w:t xml:space="preserve"> offer complementary levels of biomechanical representation, with MBS describing system-level motion and load transfer and FEA resolving local stress, strain, and contact mechanics. A sequential MBS</w:t>
      </w:r>
      <w:r w:rsidR="0093642B">
        <w:rPr>
          <w:rFonts w:eastAsia="宋体" w:hint="eastAsia"/>
          <w:lang w:eastAsia="zh-CN"/>
        </w:rPr>
        <w:t>-</w:t>
      </w:r>
      <w:r w:rsidR="0093642B" w:rsidRPr="0093642B">
        <w:rPr>
          <w:rFonts w:eastAsia="宋体"/>
          <w:lang w:eastAsia="zh-CN"/>
        </w:rPr>
        <w:t>FEA workflow is appropriate when structural deformation does not materially affect the kinematics of interest, whereas iterative coupling is required when compliance alters joint motion, contact conditions, or load redistribution. Neuromusculoskeletal</w:t>
      </w:r>
      <w:r w:rsidR="0093642B">
        <w:rPr>
          <w:rFonts w:eastAsia="宋体" w:hint="eastAsia"/>
          <w:lang w:eastAsia="zh-CN"/>
        </w:rPr>
        <w:t>-</w:t>
      </w:r>
      <w:r w:rsidR="0093642B" w:rsidRPr="0093642B">
        <w:rPr>
          <w:rFonts w:eastAsia="宋体"/>
          <w:lang w:eastAsia="zh-CN"/>
        </w:rPr>
        <w:t>FEA frameworks provide established strategies for transferring physiological loading between these modelling levels {Eschweiler 2022; Gislason 2017; Eschweiler 2016; Bavil 2026}. Model assessment should use functionally representative tasks, since grip, resisted flexion, deviation, dart-throwing, and pinch generate distinct muscle recruitment, joint reaction, and contact-loading patterns {</w:t>
      </w:r>
      <w:proofErr w:type="spellStart"/>
      <w:r w:rsidR="0093642B" w:rsidRPr="0093642B">
        <w:rPr>
          <w:rFonts w:eastAsia="宋体"/>
          <w:lang w:eastAsia="zh-CN"/>
        </w:rPr>
        <w:t>Akhbari</w:t>
      </w:r>
      <w:proofErr w:type="spellEnd"/>
      <w:r w:rsidR="0093642B" w:rsidRPr="0093642B">
        <w:rPr>
          <w:rFonts w:eastAsia="宋体"/>
          <w:lang w:eastAsia="zh-CN"/>
        </w:rPr>
        <w:t xml:space="preserve"> 2021; Jia 2026; Nichols 2017}.</w:t>
      </w:r>
    </w:p>
    <w:p w14:paraId="30A36140" w14:textId="7DB28AEA" w:rsidR="0093642B" w:rsidRPr="0093642B" w:rsidRDefault="0093642B" w:rsidP="0093642B">
      <w:pPr>
        <w:ind w:firstLine="317"/>
        <w:rPr>
          <w:rFonts w:eastAsia="宋体"/>
          <w:lang w:eastAsia="zh-CN"/>
        </w:rPr>
      </w:pPr>
      <w:r w:rsidRPr="0093642B">
        <w:rPr>
          <w:rFonts w:eastAsia="宋体"/>
          <w:lang w:eastAsia="zh-CN"/>
        </w:rPr>
        <w:t xml:space="preserve">Model validation should proceed hierarchically, with quantitative acceptance criteria defined a priori and matched to the intended application. </w:t>
      </w:r>
      <w:r>
        <w:rPr>
          <w:rFonts w:eastAsia="宋体" w:hint="eastAsia"/>
          <w:lang w:eastAsia="zh-CN"/>
        </w:rPr>
        <w:t>Anatomical</w:t>
      </w:r>
      <w:r w:rsidRPr="0093642B">
        <w:rPr>
          <w:rFonts w:eastAsia="宋体"/>
          <w:lang w:eastAsia="zh-CN"/>
        </w:rPr>
        <w:t xml:space="preserve"> fidelity can be assessed against repeat scans</w:t>
      </w:r>
      <w:r>
        <w:rPr>
          <w:rFonts w:eastAsia="宋体" w:hint="eastAsia"/>
          <w:lang w:eastAsia="zh-CN"/>
        </w:rPr>
        <w:t>,</w:t>
      </w:r>
      <w:r w:rsidRPr="0093642B">
        <w:rPr>
          <w:rFonts w:eastAsia="宋体"/>
          <w:lang w:eastAsia="zh-CN"/>
        </w:rPr>
        <w:t xml:space="preserve"> kinematics against dynamic imaging or cadaveric tracking, and kinetics against experimentally measured forces, stiffness, or contact-related observables {Bain 2025; Glanville 2024; Glanville 2025; </w:t>
      </w:r>
      <w:proofErr w:type="spellStart"/>
      <w:r w:rsidRPr="0093642B">
        <w:rPr>
          <w:rFonts w:eastAsia="宋体"/>
          <w:lang w:eastAsia="zh-CN"/>
        </w:rPr>
        <w:t>Akhbari</w:t>
      </w:r>
      <w:proofErr w:type="spellEnd"/>
      <w:r w:rsidRPr="0093642B">
        <w:rPr>
          <w:rFonts w:eastAsia="宋体"/>
          <w:lang w:eastAsia="zh-CN"/>
        </w:rPr>
        <w:t xml:space="preserve"> 2019}. These comparisons should be performed under representative functional loading rather than a single nominal condition. Uncertainty quantification is particularly important because bone quality, cartilage properties, ligament state, and muscle recruitment are incompletely characterized. Dominant uncertain inputs should be assigned evidence-based distributions and propagated through the model to obtain predictive intervals and sensitivity measures, while correlations between parameters should be retained where supported by the data {Eschweiler 2022; McCullough 2012; Glanville 2024}. </w:t>
      </w:r>
      <w:r w:rsidRPr="0093642B">
        <w:rPr>
          <w:rFonts w:eastAsia="宋体"/>
          <w:i/>
          <w:iCs/>
          <w:lang w:eastAsia="zh-CN"/>
        </w:rPr>
        <w:t>In-silico</w:t>
      </w:r>
      <w:r w:rsidRPr="0093642B">
        <w:rPr>
          <w:rFonts w:eastAsia="宋体"/>
          <w:lang w:eastAsia="zh-CN"/>
        </w:rPr>
        <w:t xml:space="preserve"> credibility frameworks can then establish whether the combined verification, validation, and uncertainty evidence is adequate for the intended use {Pappalardo 2019}. </w:t>
      </w:r>
    </w:p>
    <w:p w14:paraId="6A9AF156" w14:textId="467322D9" w:rsidR="0093642B" w:rsidRPr="005A5647" w:rsidRDefault="0093642B" w:rsidP="0093642B">
      <w:pPr>
        <w:ind w:firstLine="317"/>
        <w:rPr>
          <w:rFonts w:eastAsia="宋体"/>
          <w:lang w:eastAsia="zh-CN"/>
        </w:rPr>
      </w:pPr>
      <w:r w:rsidRPr="0093642B">
        <w:rPr>
          <w:rFonts w:eastAsia="宋体"/>
          <w:lang w:eastAsia="zh-CN"/>
        </w:rPr>
        <w:t>FEA credibility further depends on material characterization, discretization, and the representation of tissue microstructure. Material properties should be calibrated using imaging protocols consistent with those used to derive density</w:t>
      </w:r>
      <w:r>
        <w:rPr>
          <w:rFonts w:eastAsia="宋体" w:hint="eastAsia"/>
          <w:lang w:eastAsia="zh-CN"/>
        </w:rPr>
        <w:t>-</w:t>
      </w:r>
      <w:r w:rsidRPr="0093642B">
        <w:rPr>
          <w:rFonts w:eastAsia="宋体"/>
          <w:lang w:eastAsia="zh-CN"/>
        </w:rPr>
        <w:t>modulus relationships, particularly for CT-based models. Mesh convergence should be demonstrated for the quantities of interest, such as contact pressure, regional strain, or implant</w:t>
      </w:r>
      <w:r>
        <w:rPr>
          <w:rFonts w:eastAsia="宋体" w:hint="eastAsia"/>
          <w:lang w:eastAsia="zh-CN"/>
        </w:rPr>
        <w:t>-</w:t>
      </w:r>
      <w:r w:rsidRPr="0093642B">
        <w:rPr>
          <w:rFonts w:eastAsia="宋体"/>
          <w:lang w:eastAsia="zh-CN"/>
        </w:rPr>
        <w:t>bone interface loading, rather than inferred from global displacement alone. Thin cortical structures require either appropriate shell formulations or sufficiently resolved solid meshes, while homogenization is justified only when the microstructural length scale is small relative to the relevant stress and strain gradients {Gislason 2017; Eschweiler 2016}. Where</w:t>
      </w:r>
      <w:r w:rsidR="008F1480">
        <w:rPr>
          <w:rFonts w:eastAsia="宋体" w:hint="eastAsia"/>
          <w:lang w:eastAsia="zh-CN"/>
        </w:rPr>
        <w:t xml:space="preserve"> </w:t>
      </w:r>
      <w:r w:rsidRPr="0093642B">
        <w:rPr>
          <w:rFonts w:eastAsia="宋体"/>
          <w:lang w:eastAsia="zh-CN"/>
        </w:rPr>
        <w:t xml:space="preserve">viscoelasticity or sustained edge loading influences the mechanical response, time-dependent </w:t>
      </w:r>
      <w:r w:rsidRPr="0093642B">
        <w:rPr>
          <w:rFonts w:eastAsia="宋体"/>
          <w:lang w:eastAsia="zh-CN"/>
        </w:rPr>
        <w:lastRenderedPageBreak/>
        <w:t xml:space="preserve">constitutive </w:t>
      </w:r>
      <w:r w:rsidR="008F1480" w:rsidRPr="0093642B">
        <w:rPr>
          <w:rFonts w:eastAsia="宋体"/>
          <w:lang w:eastAsia="zh-CN"/>
        </w:rPr>
        <w:t>behavior</w:t>
      </w:r>
      <w:r w:rsidRPr="0093642B">
        <w:rPr>
          <w:rFonts w:eastAsia="宋体"/>
          <w:lang w:eastAsia="zh-CN"/>
        </w:rPr>
        <w:t xml:space="preserve"> should also be incorporated {Mani 2024; Falcinelli 2023}. Explicit justification of these assumptions is essential </w:t>
      </w:r>
      <w:r w:rsidR="008F1480">
        <w:rPr>
          <w:rFonts w:eastAsia="宋体" w:hint="eastAsia"/>
          <w:lang w:eastAsia="zh-CN"/>
        </w:rPr>
        <w:t>since</w:t>
      </w:r>
      <w:r w:rsidRPr="0093642B">
        <w:rPr>
          <w:rFonts w:eastAsia="宋体"/>
          <w:lang w:eastAsia="zh-CN"/>
        </w:rPr>
        <w:t xml:space="preserve"> they can directly affect predicted load transfer, stress distributions, and comparative design performance.</w:t>
      </w:r>
    </w:p>
    <w:p w14:paraId="0C220ABF" w14:textId="77777777" w:rsidR="00C521CB" w:rsidRDefault="00923650">
      <w:pPr>
        <w:pStyle w:val="21"/>
      </w:pPr>
      <w:r>
        <w:t>4.5 What implanted wrists reveal about the mechanical design problem</w:t>
      </w:r>
    </w:p>
    <w:p w14:paraId="3251DB08" w14:textId="2D7CE282" w:rsidR="00A71CFF" w:rsidRPr="00A71CFF" w:rsidRDefault="00A71CFF" w:rsidP="00A71CFF">
      <w:pPr>
        <w:ind w:firstLine="317"/>
        <w:rPr>
          <w:rFonts w:eastAsia="宋体"/>
          <w:lang w:eastAsia="zh-CN"/>
        </w:rPr>
      </w:pPr>
      <w:r>
        <w:t>The assumptions of Stage 2 are disciplined by what has already been observed in implanted wrists (Table 3).</w:t>
      </w:r>
      <w:r w:rsidRPr="00A71CFF">
        <w:rPr>
          <w:rFonts w:eastAsia="宋体"/>
          <w:lang w:eastAsia="zh-CN"/>
        </w:rPr>
        <w:t xml:space="preserve"> Most </w:t>
      </w:r>
      <w:r>
        <w:rPr>
          <w:rFonts w:eastAsia="宋体" w:hint="eastAsia"/>
          <w:lang w:eastAsia="zh-CN"/>
        </w:rPr>
        <w:t>TWA</w:t>
      </w:r>
      <w:r w:rsidRPr="00A71CFF">
        <w:rPr>
          <w:rFonts w:eastAsia="宋体"/>
          <w:lang w:eastAsia="zh-CN"/>
        </w:rPr>
        <w:t>s replace the radiocarpal articulation while consolidating part of the carpus, converting a distributed two-level mechanism into a more concentrated artificial joint whose kinematics and load transfer emerge from the entire reconstruction rather than the bearing alone {</w:t>
      </w:r>
      <w:proofErr w:type="spellStart"/>
      <w:r w:rsidRPr="00A71CFF">
        <w:rPr>
          <w:rFonts w:eastAsia="宋体"/>
          <w:lang w:eastAsia="zh-CN"/>
        </w:rPr>
        <w:t>Reigstad</w:t>
      </w:r>
      <w:proofErr w:type="spellEnd"/>
      <w:r w:rsidRPr="00A71CFF">
        <w:rPr>
          <w:rFonts w:eastAsia="宋体"/>
          <w:lang w:eastAsia="zh-CN"/>
        </w:rPr>
        <w:t xml:space="preserve"> 2025; </w:t>
      </w:r>
      <w:proofErr w:type="spellStart"/>
      <w:r w:rsidRPr="00A71CFF">
        <w:rPr>
          <w:rFonts w:eastAsia="宋体"/>
          <w:lang w:eastAsia="zh-CN"/>
        </w:rPr>
        <w:t>Zijlker</w:t>
      </w:r>
      <w:proofErr w:type="spellEnd"/>
      <w:r w:rsidRPr="00A71CFF">
        <w:rPr>
          <w:rFonts w:eastAsia="宋体"/>
          <w:lang w:eastAsia="zh-CN"/>
        </w:rPr>
        <w:t xml:space="preserve"> 2022; </w:t>
      </w:r>
      <w:proofErr w:type="spellStart"/>
      <w:r w:rsidRPr="00A71CFF">
        <w:rPr>
          <w:rFonts w:eastAsia="宋体"/>
          <w:lang w:eastAsia="zh-CN"/>
        </w:rPr>
        <w:t>Akhbari</w:t>
      </w:r>
      <w:proofErr w:type="spellEnd"/>
      <w:r w:rsidRPr="00A71CFF">
        <w:rPr>
          <w:rFonts w:eastAsia="宋体"/>
          <w:lang w:eastAsia="zh-CN"/>
        </w:rPr>
        <w:t xml:space="preserve"> 2021; Glanville 2025; Hooke 2015}. FEA of a Universal 2 reconstruction during grip predicted predominantly dorsal</w:t>
      </w:r>
      <w:r>
        <w:rPr>
          <w:rFonts w:eastAsia="宋体" w:hint="eastAsia"/>
          <w:lang w:eastAsia="zh-CN"/>
        </w:rPr>
        <w:t>-</w:t>
      </w:r>
      <w:r w:rsidRPr="00A71CFF">
        <w:rPr>
          <w:rFonts w:eastAsia="宋体"/>
          <w:lang w:eastAsia="zh-CN"/>
        </w:rPr>
        <w:t>ulnar implant loading transferred through the radius, consistent with the extensor force couple required to balance axial grip loading {Gislason 2017; Eschweiler 2022; McCullough 2012}. Thus, implant loading should be interpreted together with muscle forces, joint reactions, and whole</w:t>
      </w:r>
      <w:r>
        <w:rPr>
          <w:rFonts w:eastAsia="宋体" w:hint="eastAsia"/>
          <w:lang w:eastAsia="zh-CN"/>
        </w:rPr>
        <w:t xml:space="preserve"> </w:t>
      </w:r>
      <w:r w:rsidRPr="00A71CFF">
        <w:rPr>
          <w:rFonts w:eastAsia="宋体"/>
          <w:lang w:eastAsia="zh-CN"/>
        </w:rPr>
        <w:t>wrist kinematics rather than as an isolated bearing quantity.</w:t>
      </w:r>
    </w:p>
    <w:p w14:paraId="094C91B5" w14:textId="35DA8B1E" w:rsidR="00A71CFF" w:rsidRPr="00A71CFF" w:rsidRDefault="00A71CFF" w:rsidP="00A71CFF">
      <w:pPr>
        <w:ind w:firstLine="317"/>
        <w:rPr>
          <w:rFonts w:eastAsia="宋体"/>
          <w:lang w:eastAsia="zh-CN"/>
        </w:rPr>
      </w:pPr>
      <w:r w:rsidRPr="00A71CFF">
        <w:rPr>
          <w:rFonts w:eastAsia="宋体"/>
          <w:i/>
          <w:iCs/>
          <w:lang w:eastAsia="zh-CN"/>
        </w:rPr>
        <w:t>In-vivo</w:t>
      </w:r>
      <w:r w:rsidRPr="00A71CFF">
        <w:rPr>
          <w:rFonts w:eastAsia="宋体"/>
          <w:lang w:eastAsia="zh-CN"/>
        </w:rPr>
        <w:t xml:space="preserve"> studies further show that nominal implant geometry does not determine functional motion. Biplanar analysis of a Freedom prosthesis reported approximately 17.1 mm of COR excursion across coupled tasks versus 7.2 mm in healthy wrists, while contact centers deviated from geometric centers and migrated differently on the radial and carpal components {</w:t>
      </w:r>
      <w:proofErr w:type="spellStart"/>
      <w:r w:rsidRPr="00A71CFF">
        <w:rPr>
          <w:rFonts w:eastAsia="宋体"/>
          <w:lang w:eastAsia="zh-CN"/>
        </w:rPr>
        <w:t>Akhbari</w:t>
      </w:r>
      <w:proofErr w:type="spellEnd"/>
      <w:r w:rsidRPr="00A71CFF">
        <w:rPr>
          <w:rFonts w:eastAsia="宋体"/>
          <w:lang w:eastAsia="zh-CN"/>
        </w:rPr>
        <w:t xml:space="preserve"> 2020; </w:t>
      </w:r>
      <w:proofErr w:type="spellStart"/>
      <w:r w:rsidRPr="00A71CFF">
        <w:rPr>
          <w:rFonts w:eastAsia="宋体"/>
          <w:lang w:eastAsia="zh-CN"/>
        </w:rPr>
        <w:t>Akhbari</w:t>
      </w:r>
      <w:proofErr w:type="spellEnd"/>
      <w:r w:rsidRPr="00A71CFF">
        <w:rPr>
          <w:rFonts w:eastAsia="宋体"/>
          <w:lang w:eastAsia="zh-CN"/>
        </w:rPr>
        <w:t xml:space="preserve"> 2021}. Such migration changes tendon moment arms, fixation moments, contact conditions, and the potential for translation, rocking, or impingement {</w:t>
      </w:r>
      <w:proofErr w:type="spellStart"/>
      <w:r w:rsidRPr="00A71CFF">
        <w:rPr>
          <w:rFonts w:eastAsia="宋体"/>
          <w:lang w:eastAsia="zh-CN"/>
        </w:rPr>
        <w:t>Akhbari</w:t>
      </w:r>
      <w:proofErr w:type="spellEnd"/>
      <w:r w:rsidRPr="00A71CFF">
        <w:rPr>
          <w:rFonts w:eastAsia="宋体"/>
          <w:lang w:eastAsia="zh-CN"/>
        </w:rPr>
        <w:t xml:space="preserve"> 2020; Bain 2025; Hooke 2015}. Component orientation, offset, carpal height, and COR location likewise affect contact pressure, soft-tissue tension, and muscle loading {McCullough 2012; </w:t>
      </w:r>
      <w:proofErr w:type="spellStart"/>
      <w:r w:rsidRPr="00A71CFF">
        <w:rPr>
          <w:rFonts w:eastAsia="宋体"/>
          <w:lang w:eastAsia="zh-CN"/>
        </w:rPr>
        <w:t>Akhbari</w:t>
      </w:r>
      <w:proofErr w:type="spellEnd"/>
      <w:r w:rsidRPr="00A71CFF">
        <w:rPr>
          <w:rFonts w:eastAsia="宋体"/>
          <w:lang w:eastAsia="zh-CN"/>
        </w:rPr>
        <w:t xml:space="preserve"> 2021; Bain 2025}. These effects are implant-specific, with cadaveric and simulator studies reporting changes in stiffness, carpal height, COR position, and muscle or carpal-component loading with different geometries and articulation polarities {Bain 2025; Glanville 2026; Norman-</w:t>
      </w:r>
      <w:proofErr w:type="spellStart"/>
      <w:r w:rsidRPr="00A71CFF">
        <w:rPr>
          <w:rFonts w:eastAsia="宋体"/>
          <w:lang w:eastAsia="zh-CN"/>
        </w:rPr>
        <w:t>Puim</w:t>
      </w:r>
      <w:proofErr w:type="spellEnd"/>
      <w:r w:rsidRPr="00A71CFF">
        <w:rPr>
          <w:rFonts w:eastAsia="宋体"/>
          <w:lang w:eastAsia="zh-CN"/>
        </w:rPr>
        <w:t xml:space="preserve"> 2026}.</w:t>
      </w:r>
    </w:p>
    <w:p w14:paraId="597E9163" w14:textId="480C421B" w:rsidR="00A71CFF" w:rsidRPr="00A71CFF" w:rsidRDefault="00A71CFF" w:rsidP="00A71CFF">
      <w:pPr>
        <w:ind w:firstLine="317"/>
        <w:rPr>
          <w:rFonts w:eastAsia="宋体"/>
          <w:lang w:eastAsia="zh-CN"/>
        </w:rPr>
      </w:pPr>
      <w:r w:rsidRPr="00A71CFF">
        <w:rPr>
          <w:rFonts w:eastAsia="宋体"/>
          <w:lang w:eastAsia="zh-CN"/>
        </w:rPr>
        <w:t xml:space="preserve">Failure evidence defines the clinically relevant consequences of these mechanical behaviors. Loosening, particularly on the carpal side, remains prominent, with radiolucency and polyethylene wear implicated alongside osteolysis, migration, dislocation, impingement, periprosthetic fracture, infection, and extensor-tendon complications {Newton 2023; Wagner 2017; Reigstad 2025; Herzberg 2012; </w:t>
      </w:r>
      <w:proofErr w:type="spellStart"/>
      <w:r w:rsidRPr="00A71CFF">
        <w:rPr>
          <w:rFonts w:eastAsia="宋体"/>
          <w:lang w:eastAsia="zh-CN"/>
        </w:rPr>
        <w:t>Boeckstyns</w:t>
      </w:r>
      <w:proofErr w:type="spellEnd"/>
      <w:r w:rsidRPr="00A71CFF">
        <w:rPr>
          <w:rFonts w:eastAsia="宋体"/>
          <w:lang w:eastAsia="zh-CN"/>
        </w:rPr>
        <w:t xml:space="preserve"> 2013; </w:t>
      </w:r>
      <w:proofErr w:type="spellStart"/>
      <w:r w:rsidRPr="00A71CFF">
        <w:rPr>
          <w:rFonts w:eastAsia="宋体"/>
          <w:lang w:eastAsia="zh-CN"/>
        </w:rPr>
        <w:t>Krukhaug</w:t>
      </w:r>
      <w:proofErr w:type="spellEnd"/>
      <w:r w:rsidRPr="00A71CFF">
        <w:rPr>
          <w:rFonts w:eastAsia="宋体"/>
          <w:lang w:eastAsia="zh-CN"/>
        </w:rPr>
        <w:t xml:space="preserve"> 2011; Ward 2011; Smith 2024; </w:t>
      </w:r>
      <w:proofErr w:type="spellStart"/>
      <w:r w:rsidRPr="00A71CFF">
        <w:rPr>
          <w:rFonts w:eastAsia="宋体"/>
          <w:lang w:eastAsia="zh-CN"/>
        </w:rPr>
        <w:t>Reigstad</w:t>
      </w:r>
      <w:proofErr w:type="spellEnd"/>
      <w:r w:rsidRPr="00A71CFF">
        <w:rPr>
          <w:rFonts w:eastAsia="宋体"/>
          <w:lang w:eastAsia="zh-CN"/>
        </w:rPr>
        <w:t xml:space="preserve"> 2024; </w:t>
      </w:r>
      <w:proofErr w:type="spellStart"/>
      <w:r w:rsidRPr="00A71CFF">
        <w:rPr>
          <w:rFonts w:eastAsia="宋体"/>
          <w:lang w:eastAsia="zh-CN"/>
        </w:rPr>
        <w:t>Sagerfors</w:t>
      </w:r>
      <w:proofErr w:type="spellEnd"/>
      <w:r w:rsidRPr="00A71CFF">
        <w:rPr>
          <w:rFonts w:eastAsia="宋体"/>
          <w:lang w:eastAsia="zh-CN"/>
        </w:rPr>
        <w:t xml:space="preserve"> 2015}. Their mechanisms are heterogeneous and may depend on bone quality, component geometry, soft-tissue coverage, and disease-related tendon attrition. Symptoms, radiographic changes, mechanical failure, and survival should therefore be treated as distinct outcomes, particularly because revision can further compromise bone stock and complicate subsequent arthrodesis {Cash 2025; Berber 2020}. Stage 2 should consequently relate predicted kinematics, muscle and ligament loading, contact mechanics, and interface stresses to these specific failure pathways.</w:t>
      </w:r>
    </w:p>
    <w:p w14:paraId="1159F75D" w14:textId="1950CEB7" w:rsidR="008F1480" w:rsidRPr="008F1480" w:rsidRDefault="00A71CFF" w:rsidP="00A71CFF">
      <w:pPr>
        <w:ind w:firstLine="317"/>
        <w:rPr>
          <w:rFonts w:eastAsia="宋体"/>
          <w:lang w:eastAsia="zh-CN"/>
        </w:rPr>
      </w:pPr>
      <w:r w:rsidRPr="00A71CFF">
        <w:rPr>
          <w:rFonts w:eastAsia="宋体"/>
          <w:lang w:eastAsia="zh-CN"/>
        </w:rPr>
        <w:t>Coupled MBS</w:t>
      </w:r>
      <w:r>
        <w:rPr>
          <w:rFonts w:eastAsia="宋体" w:hint="eastAsia"/>
          <w:lang w:eastAsia="zh-CN"/>
        </w:rPr>
        <w:t>-</w:t>
      </w:r>
      <w:r w:rsidRPr="00A71CFF">
        <w:rPr>
          <w:rFonts w:eastAsia="宋体"/>
          <w:lang w:eastAsia="zh-CN"/>
        </w:rPr>
        <w:t xml:space="preserve">FEA with task-specific and fully specified boundary conditions can provide the biomechanical quantities required by the Stage 0 framework {Eschweiler 2022; Gislason 2017; Eschweiler 2016; Bavil 2026}. Yet ligament properties, muscle recruitment, interface conditions, and absolute </w:t>
      </w:r>
      <w:r w:rsidRPr="00A71CFF">
        <w:rPr>
          <w:rFonts w:eastAsia="宋体"/>
          <w:i/>
          <w:iCs/>
          <w:lang w:eastAsia="zh-CN"/>
        </w:rPr>
        <w:t>in-vivo</w:t>
      </w:r>
      <w:r w:rsidRPr="00A71CFF">
        <w:rPr>
          <w:rFonts w:eastAsia="宋体"/>
          <w:lang w:eastAsia="zh-CN"/>
        </w:rPr>
        <w:t xml:space="preserve"> wrist loads remain incompletely characterized. Robustness across plausible parameter ranges and functional tasks should therefore take precedence over a single nominal optimum. The behaviors in Table 3 should serve as empirical constraints for model validation and design evaluation, with any claimed improvement required to remain evident across relevant uncertainties and implant-specific loading conditions (Fig. 2).</w:t>
      </w:r>
    </w:p>
    <w:p w14:paraId="05A8A981" w14:textId="77777777" w:rsidR="00C521CB" w:rsidRDefault="00923650">
      <w:pPr>
        <w:pStyle w:val="21"/>
      </w:pPr>
      <w:r>
        <w:t>4.6 From computational biomechanics to design constraints</w:t>
      </w:r>
    </w:p>
    <w:p w14:paraId="327B7FD9" w14:textId="3853AA0F" w:rsidR="00C521CB" w:rsidRDefault="00923650">
      <w:pPr>
        <w:ind w:firstLine="317"/>
      </w:pPr>
      <w:r>
        <w:t xml:space="preserve">Stage 2 becomes useful to design only when its outputs are classified. Quantities a design must reproduce become targets: </w:t>
      </w:r>
      <w:r w:rsidR="008F1480">
        <w:t>COR</w:t>
      </w:r>
      <w:r>
        <w:t xml:space="preserve"> trajectories, centroid paths and functional-arc motion enter Stage 3 objectives directly {Moore 2007; </w:t>
      </w:r>
      <w:proofErr w:type="spellStart"/>
      <w:r>
        <w:t>Akhbari</w:t>
      </w:r>
      <w:proofErr w:type="spellEnd"/>
      <w:r>
        <w:t xml:space="preserve"> 2020; Hooke 2015; Zheng 2013}. Quantities that bound acceptable </w:t>
      </w:r>
      <w:r w:rsidR="00A71CFF">
        <w:t>behavior</w:t>
      </w:r>
      <w:r>
        <w:t xml:space="preserve"> become constraints: micromotion, contact pressure, peak stress and screw loads limit the design space to geometries Stage 5 could plausibly verify {</w:t>
      </w:r>
      <w:proofErr w:type="spellStart"/>
      <w:r>
        <w:t>Gislason</w:t>
      </w:r>
      <w:proofErr w:type="spellEnd"/>
      <w:r>
        <w:t xml:space="preserve"> 2017; </w:t>
      </w:r>
      <w:proofErr w:type="spellStart"/>
      <w:r>
        <w:t>Pilliar</w:t>
      </w:r>
      <w:proofErr w:type="spellEnd"/>
      <w:r>
        <w:t xml:space="preserve"> 1986; </w:t>
      </w:r>
      <w:proofErr w:type="spellStart"/>
      <w:r>
        <w:t>Bobyn</w:t>
      </w:r>
      <w:proofErr w:type="spellEnd"/>
      <w:r>
        <w:t xml:space="preserve"> 1999}. Quantities that describe current </w:t>
      </w:r>
      <w:r w:rsidR="00A71CFF">
        <w:t xml:space="preserve">behavior </w:t>
      </w:r>
      <w:r>
        <w:t>become evidence: the observed deviations of Table 3 define what a new design must explain or deliberately improve {</w:t>
      </w:r>
      <w:proofErr w:type="spellStart"/>
      <w:r>
        <w:t>Akhbari</w:t>
      </w:r>
      <w:proofErr w:type="spellEnd"/>
      <w:r>
        <w:t xml:space="preserve"> 2020; </w:t>
      </w:r>
      <w:proofErr w:type="spellStart"/>
      <w:r>
        <w:t>Akhbari</w:t>
      </w:r>
      <w:proofErr w:type="spellEnd"/>
      <w:r>
        <w:t xml:space="preserve"> 2021; Bain 2025; </w:t>
      </w:r>
      <w:proofErr w:type="spellStart"/>
      <w:r>
        <w:t>Akhbari</w:t>
      </w:r>
      <w:proofErr w:type="spellEnd"/>
      <w:r>
        <w:t xml:space="preserve"> 2021; Glanville 2026}. A fourth class remains honestly unvalidated: patient-specific load magnitudes, wear volumes and long-term fixation </w:t>
      </w:r>
      <w:r w:rsidR="00A71CFF">
        <w:t xml:space="preserve">behavior </w:t>
      </w:r>
      <w:r>
        <w:t xml:space="preserve">{Eschweiler 2022; </w:t>
      </w:r>
      <w:proofErr w:type="spellStart"/>
      <w:r>
        <w:t>Akhbari</w:t>
      </w:r>
      <w:proofErr w:type="spellEnd"/>
      <w:r>
        <w:t xml:space="preserve"> 2021; Baykal 2014}. Assigning every output to one of these classes, with its evidence status stated, is what keeps computational biomechanics from decorating a design argument it cannot constrain; Section 5 </w:t>
      </w:r>
      <w:r>
        <w:lastRenderedPageBreak/>
        <w:t>formalizes the resulting problem. The governance vocabulary itself is imported from regulated-industry and large-joint practice, and is offered here as reporting discipline rather than as tested method.</w:t>
      </w:r>
    </w:p>
    <w:p w14:paraId="46E47455" w14:textId="77777777" w:rsidR="00C521CB" w:rsidRDefault="00923650">
      <w:pPr>
        <w:spacing w:before="160"/>
        <w:jc w:val="center"/>
      </w:pPr>
      <w:r>
        <w:rPr>
          <w:noProof/>
        </w:rPr>
        <w:drawing>
          <wp:inline distT="0" distB="0" distL="0" distR="0" wp14:anchorId="75DDA077" wp14:editId="5261E326">
            <wp:extent cx="5700000" cy="1397165"/>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pic:cNvPicPr/>
                  </pic:nvPicPr>
                  <pic:blipFill>
                    <a:blip r:embed="rId9"/>
                    <a:stretch>
                      <a:fillRect/>
                    </a:stretch>
                  </pic:blipFill>
                  <pic:spPr>
                    <a:xfrm>
                      <a:off x="0" y="0"/>
                      <a:ext cx="5700000" cy="1397165"/>
                    </a:xfrm>
                    <a:prstGeom prst="rect">
                      <a:avLst/>
                    </a:prstGeom>
                  </pic:spPr>
                </pic:pic>
              </a:graphicData>
            </a:graphic>
          </wp:inline>
        </w:drawing>
      </w:r>
    </w:p>
    <w:p w14:paraId="454FCC2D" w14:textId="23C753E7" w:rsidR="00C521CB" w:rsidRDefault="00923650">
      <w:pPr>
        <w:spacing w:after="160"/>
      </w:pPr>
      <w:r>
        <w:t xml:space="preserve">  Fig. 2 | Spectrum of biomechanical departure after total wrist arthroplasty, read as a map of design constraints. From left to right: anatomically seated components with near-native coupled motion; increasing </w:t>
      </w:r>
      <w:r w:rsidR="008F1480">
        <w:t>COR</w:t>
      </w:r>
      <w:r>
        <w:t xml:space="preserve"> migration and contact deviation from geometric </w:t>
      </w:r>
      <w:r w:rsidR="008F1480">
        <w:t>center</w:t>
      </w:r>
      <w:r>
        <w:t xml:space="preserve">s, as observed </w:t>
      </w:r>
      <w:r w:rsidR="00BC639E" w:rsidRPr="00BC639E">
        <w:rPr>
          <w:i/>
          <w:iCs/>
        </w:rPr>
        <w:t>in-vivo</w:t>
      </w:r>
      <w:r>
        <w:t xml:space="preserve"> with biplane </w:t>
      </w:r>
      <w:proofErr w:type="spellStart"/>
      <w:r>
        <w:t>videoradiography</w:t>
      </w:r>
      <w:proofErr w:type="spellEnd"/>
      <w:r>
        <w:t xml:space="preserve"> {</w:t>
      </w:r>
      <w:proofErr w:type="spellStart"/>
      <w:r>
        <w:t>Akhbari</w:t>
      </w:r>
      <w:proofErr w:type="spellEnd"/>
      <w:r>
        <w:t xml:space="preserve"> 2020; </w:t>
      </w:r>
      <w:proofErr w:type="spellStart"/>
      <w:r>
        <w:t>Akhbari</w:t>
      </w:r>
      <w:proofErr w:type="spellEnd"/>
      <w:r>
        <w:t xml:space="preserve"> 2021}; edge loading, impingement and asymmetric soft-tissue tension; and frank loosening and revision. Each stage is annotated with the measurement capable of detecting it (</w:t>
      </w:r>
      <w:r w:rsidR="008F1480">
        <w:t>COR</w:t>
      </w:r>
      <w:r>
        <w:t xml:space="preserve"> excursion, contact-path deviation, interface micromotion, radiographic or </w:t>
      </w:r>
      <w:proofErr w:type="spellStart"/>
      <w:r>
        <w:t>radiostereometric</w:t>
      </w:r>
      <w:proofErr w:type="spellEnd"/>
      <w:r>
        <w:t xml:space="preserve"> migration {Lind 2026; Koo 2026; </w:t>
      </w:r>
      <w:proofErr w:type="spellStart"/>
      <w:r>
        <w:t>Jürgens-Lahnstein</w:t>
      </w:r>
      <w:proofErr w:type="spellEnd"/>
      <w:r>
        <w:t xml:space="preserve"> 2026}) and with representative evidence. The spectrum hypothesizes that clinical failure is the end state of a continuous, measurable departure that quantitative kinematics and migration analysis could detect before radiographic loosening becomes manifest; confirming this prospectively remains a priority for future work.</w:t>
      </w:r>
    </w:p>
    <w:p w14:paraId="2158B863" w14:textId="77777777" w:rsidR="00C521CB" w:rsidRDefault="00923650">
      <w:pPr>
        <w:pStyle w:val="1"/>
        <w:pageBreakBefore/>
      </w:pPr>
      <w:r>
        <w:lastRenderedPageBreak/>
        <w:t>5 Implant geometry, optimization, and customization</w:t>
      </w:r>
    </w:p>
    <w:p w14:paraId="63A65FDE" w14:textId="77777777" w:rsidR="00C521CB" w:rsidRDefault="00923650">
      <w:pPr>
        <w:ind w:firstLine="317"/>
      </w:pPr>
      <w:r>
        <w:t xml:space="preserve"> This section reviews the literature gathered at Stage 3 of Fig. 1, namely the conversion of requirements (Table 2) and Stage 2 predictions into a frozen design: articular geometry and external form, an optimized trade-off among competing objectives, and a chosen customization level (Table 4).</w:t>
      </w:r>
    </w:p>
    <w:p w14:paraId="00B8A071" w14:textId="77777777" w:rsidR="00C521CB" w:rsidRDefault="00923650">
      <w:pPr>
        <w:pStyle w:val="21"/>
      </w:pPr>
      <w:r>
        <w:t>5.1 Defining the design space</w:t>
      </w:r>
    </w:p>
    <w:p w14:paraId="37D21AD6" w14:textId="2EFA8161" w:rsidR="00215912" w:rsidRPr="00215912" w:rsidRDefault="00215912">
      <w:pPr>
        <w:ind w:firstLine="317"/>
        <w:rPr>
          <w:rFonts w:eastAsia="宋体"/>
          <w:lang w:eastAsia="zh-CN"/>
        </w:rPr>
      </w:pPr>
      <w:r w:rsidRPr="00215912">
        <w:t xml:space="preserve">Diagnosis, age, bone quality, activity, and previous surgery define the required balance between mobility, stability, fixation, and durability {Reigstad 2025; Kennedy 2016; Clementson 2024}. These clinical requirements should become traceable design inputs with defined verification methods and acceptance thresholds. Principal design variables include conformity, radii, </w:t>
      </w:r>
      <w:proofErr w:type="spellStart"/>
      <w:r w:rsidRPr="00215912">
        <w:t>asphericity</w:t>
      </w:r>
      <w:proofErr w:type="spellEnd"/>
      <w:r w:rsidRPr="00215912">
        <w:t>, coverage and edge geometry, three-dimensional COR, implant footprint, stem and screw trajectories, porous regions, bone resection, and preservation of critical structures and surgical access {</w:t>
      </w:r>
      <w:proofErr w:type="spellStart"/>
      <w:r w:rsidRPr="00215912">
        <w:t>Akhbari</w:t>
      </w:r>
      <w:proofErr w:type="spellEnd"/>
      <w:r w:rsidRPr="00215912">
        <w:t xml:space="preserve"> 2020; McCullough 2012; Hooke 2015; Reigstad 2025}.</w:t>
      </w:r>
    </w:p>
    <w:p w14:paraId="1B6DD68E" w14:textId="77777777" w:rsidR="00C521CB" w:rsidRDefault="00923650">
      <w:pPr>
        <w:pStyle w:val="21"/>
      </w:pPr>
      <w:r>
        <w:t>5.2 Articular geometry and kinematic objectives</w:t>
      </w:r>
    </w:p>
    <w:p w14:paraId="43620A92" w14:textId="2328A53E" w:rsidR="00215912" w:rsidRPr="00215912" w:rsidRDefault="00215912">
      <w:pPr>
        <w:ind w:firstLine="317"/>
        <w:rPr>
          <w:rFonts w:eastAsia="宋体"/>
          <w:lang w:eastAsia="zh-CN"/>
        </w:rPr>
      </w:pPr>
      <w:r w:rsidRPr="00215912">
        <w:rPr>
          <w:rFonts w:eastAsia="宋体"/>
          <w:lang w:eastAsia="zh-CN"/>
        </w:rPr>
        <w:t>Articular geometry governs the coupled relationship between motion, contact, and soft-tissue loading. Spherical designs provide a stable geometric center but cannot reproduce variable curvature or physiological translation, whereas ellipsoidal, ovoid, and toroidal geometries can differentiate flexion</w:t>
      </w:r>
      <w:r w:rsidR="0083137A">
        <w:rPr>
          <w:rFonts w:eastAsia="宋体" w:hint="eastAsia"/>
          <w:lang w:eastAsia="zh-CN"/>
        </w:rPr>
        <w:t>-</w:t>
      </w:r>
      <w:r w:rsidRPr="00215912">
        <w:rPr>
          <w:rFonts w:eastAsia="宋体"/>
          <w:lang w:eastAsia="zh-CN"/>
        </w:rPr>
        <w:t>extension from deviation and permit controlled translation {</w:t>
      </w:r>
      <w:proofErr w:type="spellStart"/>
      <w:r w:rsidRPr="00215912">
        <w:rPr>
          <w:rFonts w:eastAsia="宋体"/>
          <w:lang w:eastAsia="zh-CN"/>
        </w:rPr>
        <w:t>Akhbari</w:t>
      </w:r>
      <w:proofErr w:type="spellEnd"/>
      <w:r w:rsidRPr="00215912">
        <w:rPr>
          <w:rFonts w:eastAsia="宋体"/>
          <w:lang w:eastAsia="zh-CN"/>
        </w:rPr>
        <w:t xml:space="preserve"> 2021; Xiao 2026; Eschweiler 2022}. Geometry selection therefore balances stability, contact pressure, motion trajectory, impingement, wear, and fixation moments {Gislason 2017; McCullough 2012; Hooke 2015}. COR should be parameterized as a three-dimensional trajectory rather than a fixed point and evaluated across anatomy, alignment, and functional tasks {</w:t>
      </w:r>
      <w:proofErr w:type="spellStart"/>
      <w:r w:rsidRPr="00215912">
        <w:rPr>
          <w:rFonts w:eastAsia="宋体"/>
          <w:lang w:eastAsia="zh-CN"/>
        </w:rPr>
        <w:t>Akhbari</w:t>
      </w:r>
      <w:proofErr w:type="spellEnd"/>
      <w:r w:rsidRPr="00215912">
        <w:rPr>
          <w:rFonts w:eastAsia="宋体"/>
          <w:lang w:eastAsia="zh-CN"/>
        </w:rPr>
        <w:t xml:space="preserve"> 2020; </w:t>
      </w:r>
      <w:proofErr w:type="spellStart"/>
      <w:r w:rsidRPr="00215912">
        <w:rPr>
          <w:rFonts w:eastAsia="宋体"/>
          <w:lang w:eastAsia="zh-CN"/>
        </w:rPr>
        <w:t>Akhbari</w:t>
      </w:r>
      <w:proofErr w:type="spellEnd"/>
      <w:r w:rsidRPr="00215912">
        <w:rPr>
          <w:rFonts w:eastAsia="宋体"/>
          <w:lang w:eastAsia="zh-CN"/>
        </w:rPr>
        <w:t xml:space="preserve"> 2021; Bain 2025; Glanville 2024}. Centroid and orientation errors can enter the objective function with weights reflecting measurement uncertainty {Moore 2007; Pfaeffle 2005; Zheng 2013}.</w:t>
      </w:r>
    </w:p>
    <w:p w14:paraId="4B1575CC" w14:textId="77777777" w:rsidR="00C521CB" w:rsidRDefault="00923650">
      <w:pPr>
        <w:pStyle w:val="21"/>
      </w:pPr>
      <w:r>
        <w:t>5.3 External fit and fixation</w:t>
      </w:r>
    </w:p>
    <w:p w14:paraId="1154E250" w14:textId="77777777" w:rsidR="00C521CB" w:rsidRDefault="00923650">
      <w:pPr>
        <w:ind w:firstLine="317"/>
        <w:rPr>
          <w:rFonts w:eastAsia="宋体"/>
          <w:lang w:eastAsia="zh-CN"/>
        </w:rPr>
      </w:pPr>
      <w:r>
        <w:t xml:space="preserve">External contours should guide footprint and fixation without forcing complete surface conformity: local </w:t>
      </w:r>
      <w:proofErr w:type="spellStart"/>
      <w:r>
        <w:t>underhang</w:t>
      </w:r>
      <w:proofErr w:type="spellEnd"/>
      <w:r>
        <w:t xml:space="preserve"> and overhang, cortical support, canal fill and distance to vulnerable structures are more informative than one global fit error {Reigstad 2025; Kennedy 2016; </w:t>
      </w:r>
      <w:proofErr w:type="spellStart"/>
      <w:r>
        <w:t>Sarkalkan</w:t>
      </w:r>
      <w:proofErr w:type="spellEnd"/>
      <w:r>
        <w:t xml:space="preserve"> 2014; Wei 2025; Cai 2024}. Statistical shape modelling serves both modular and patient-specific strategies, and virtual cohorts sampled from shape models, with their representativeness stated and sampling bias quantified, are the practical route to population-coverage claims and robustness testing {</w:t>
      </w:r>
      <w:proofErr w:type="spellStart"/>
      <w:r>
        <w:t>Sarkalkan</w:t>
      </w:r>
      <w:proofErr w:type="spellEnd"/>
      <w:r>
        <w:t xml:space="preserve"> 2014; Cai 2024; Zheng 2013}.</w:t>
      </w:r>
    </w:p>
    <w:p w14:paraId="72C567A1" w14:textId="32D386C2" w:rsidR="0083137A" w:rsidRPr="0083137A" w:rsidRDefault="0083137A">
      <w:pPr>
        <w:ind w:firstLine="317"/>
        <w:rPr>
          <w:rFonts w:eastAsia="宋体"/>
          <w:lang w:eastAsia="zh-CN"/>
        </w:rPr>
      </w:pPr>
      <w:r w:rsidRPr="0083137A">
        <w:rPr>
          <w:rFonts w:eastAsia="宋体"/>
          <w:lang w:eastAsia="zh-CN"/>
        </w:rPr>
        <w:t xml:space="preserve">External geometry should be optimized for cortical support, canal filling, local </w:t>
      </w:r>
      <w:proofErr w:type="spellStart"/>
      <w:r w:rsidRPr="0083137A">
        <w:rPr>
          <w:rFonts w:eastAsia="宋体"/>
          <w:lang w:eastAsia="zh-CN"/>
        </w:rPr>
        <w:t>underhang</w:t>
      </w:r>
      <w:proofErr w:type="spellEnd"/>
      <w:r w:rsidRPr="0083137A">
        <w:rPr>
          <w:rFonts w:eastAsia="宋体"/>
          <w:lang w:eastAsia="zh-CN"/>
        </w:rPr>
        <w:t xml:space="preserve"> or overhang, implant thickness, and clearance from vulnerable structures rather than global surface conformity alone {Reigstad 2025; Kennedy 2016; </w:t>
      </w:r>
      <w:proofErr w:type="spellStart"/>
      <w:r w:rsidRPr="0083137A">
        <w:rPr>
          <w:rFonts w:eastAsia="宋体"/>
          <w:lang w:eastAsia="zh-CN"/>
        </w:rPr>
        <w:t>Sarkalkan</w:t>
      </w:r>
      <w:proofErr w:type="spellEnd"/>
      <w:r w:rsidRPr="0083137A">
        <w:rPr>
          <w:rFonts w:eastAsia="宋体"/>
          <w:lang w:eastAsia="zh-CN"/>
        </w:rPr>
        <w:t xml:space="preserve"> 2014; Wei 2025; Cai 2024}. </w:t>
      </w:r>
      <w:r>
        <w:rPr>
          <w:rFonts w:eastAsia="宋体" w:hint="eastAsia"/>
          <w:lang w:eastAsia="zh-CN"/>
        </w:rPr>
        <w:t>SSM</w:t>
      </w:r>
      <w:r w:rsidRPr="0083137A">
        <w:rPr>
          <w:rFonts w:eastAsia="宋体"/>
          <w:lang w:eastAsia="zh-CN"/>
        </w:rPr>
        <w:t>s enable modular sizing, patient-specific reconstruction, and virtual cohorts for assessing population coverage and robustness {</w:t>
      </w:r>
      <w:proofErr w:type="spellStart"/>
      <w:r w:rsidRPr="0083137A">
        <w:rPr>
          <w:rFonts w:eastAsia="宋体"/>
          <w:lang w:eastAsia="zh-CN"/>
        </w:rPr>
        <w:t>Sarkalkan</w:t>
      </w:r>
      <w:proofErr w:type="spellEnd"/>
      <w:r w:rsidRPr="0083137A">
        <w:rPr>
          <w:rFonts w:eastAsia="宋体"/>
          <w:lang w:eastAsia="zh-CN"/>
        </w:rPr>
        <w:t xml:space="preserve"> 2014; Cai 2024; Zheng 2013}. Fixation geometry </w:t>
      </w:r>
      <w:r>
        <w:rPr>
          <w:rFonts w:eastAsia="宋体" w:hint="eastAsia"/>
          <w:lang w:eastAsia="zh-CN"/>
        </w:rPr>
        <w:t>is</w:t>
      </w:r>
      <w:r w:rsidRPr="0083137A">
        <w:rPr>
          <w:rFonts w:eastAsia="宋体"/>
          <w:lang w:eastAsia="zh-CN"/>
        </w:rPr>
        <w:t xml:space="preserve"> optimized with articular position and resection </w:t>
      </w:r>
      <w:r>
        <w:rPr>
          <w:rFonts w:eastAsia="宋体" w:hint="eastAsia"/>
          <w:lang w:eastAsia="zh-CN"/>
        </w:rPr>
        <w:t xml:space="preserve">due to the interdependency </w:t>
      </w:r>
      <w:r>
        <w:rPr>
          <w:rFonts w:eastAsia="宋体"/>
          <w:lang w:eastAsia="zh-CN"/>
        </w:rPr>
        <w:t>of</w:t>
      </w:r>
      <w:r>
        <w:rPr>
          <w:rFonts w:eastAsia="宋体" w:hint="eastAsia"/>
          <w:lang w:eastAsia="zh-CN"/>
        </w:rPr>
        <w:t xml:space="preserve"> </w:t>
      </w:r>
      <w:r w:rsidRPr="0083137A">
        <w:rPr>
          <w:rFonts w:eastAsia="宋体"/>
          <w:lang w:eastAsia="zh-CN"/>
        </w:rPr>
        <w:t>screw trajectories, bone preservation, joint mechanics</w:t>
      </w:r>
      <w:r>
        <w:rPr>
          <w:rFonts w:eastAsia="宋体" w:hint="eastAsia"/>
          <w:lang w:eastAsia="zh-CN"/>
        </w:rPr>
        <w:t>, etc</w:t>
      </w:r>
      <w:r w:rsidRPr="0083137A">
        <w:rPr>
          <w:rFonts w:eastAsia="宋体"/>
          <w:lang w:eastAsia="zh-CN"/>
        </w:rPr>
        <w:t>.</w:t>
      </w:r>
    </w:p>
    <w:p w14:paraId="007ACA51" w14:textId="77777777" w:rsidR="00C521CB" w:rsidRDefault="00923650">
      <w:pPr>
        <w:pStyle w:val="21"/>
      </w:pPr>
      <w:r>
        <w:t xml:space="preserve">5.4 </w:t>
      </w:r>
      <w:proofErr w:type="spellStart"/>
      <w:r>
        <w:t>Multiobjective</w:t>
      </w:r>
      <w:proofErr w:type="spellEnd"/>
      <w:r>
        <w:t xml:space="preserve"> optimization</w:t>
      </w:r>
    </w:p>
    <w:p w14:paraId="5CE2B5F6" w14:textId="6BBB3F05" w:rsidR="0083137A" w:rsidRPr="0083137A" w:rsidRDefault="0083137A">
      <w:pPr>
        <w:ind w:firstLine="317"/>
        <w:rPr>
          <w:rFonts w:eastAsia="宋体"/>
          <w:lang w:eastAsia="zh-CN"/>
        </w:rPr>
      </w:pPr>
      <w:proofErr w:type="spellStart"/>
      <w:r>
        <w:t>Multiobjective</w:t>
      </w:r>
      <w:proofErr w:type="spellEnd"/>
      <w:r>
        <w:t xml:space="preserve"> optimization</w:t>
      </w:r>
      <w:r w:rsidRPr="0083137A">
        <w:rPr>
          <w:rFonts w:eastAsia="宋体"/>
          <w:lang w:eastAsia="zh-CN"/>
        </w:rPr>
        <w:t xml:space="preserve"> </w:t>
      </w:r>
      <w:r>
        <w:rPr>
          <w:rFonts w:eastAsia="宋体" w:hint="eastAsia"/>
          <w:lang w:eastAsia="zh-CN"/>
        </w:rPr>
        <w:t xml:space="preserve">aims to </w:t>
      </w:r>
      <w:r w:rsidRPr="0083137A">
        <w:rPr>
          <w:rFonts w:eastAsia="宋体"/>
          <w:lang w:eastAsia="zh-CN"/>
        </w:rPr>
        <w:t xml:space="preserve">minimize kinematic error, contact pressure, micromotion, resection, wear, and fixation loading while maximizing functional range, fixation safety, and population coverage, subject to bearing thickness, fatigue, screw clearance, manufacturability, and surgical constraints {Eschweiler 2022; Eschweiler 2016; </w:t>
      </w:r>
      <w:proofErr w:type="spellStart"/>
      <w:r w:rsidRPr="0083137A">
        <w:rPr>
          <w:rFonts w:eastAsia="宋体"/>
          <w:lang w:eastAsia="zh-CN"/>
        </w:rPr>
        <w:t>Mirakhorlo</w:t>
      </w:r>
      <w:proofErr w:type="spellEnd"/>
      <w:r w:rsidRPr="0083137A">
        <w:rPr>
          <w:rFonts w:eastAsia="宋体"/>
          <w:lang w:eastAsia="zh-CN"/>
        </w:rPr>
        <w:t xml:space="preserve"> 2018; Xiao 2026; Wei 2025; Cai 2024}. A Pareto formulation makes these trade-offs explicit, while surrogate models or MBS</w:t>
      </w:r>
      <w:r>
        <w:rPr>
          <w:rFonts w:eastAsia="宋体" w:hint="eastAsia"/>
          <w:lang w:eastAsia="zh-CN"/>
        </w:rPr>
        <w:t>-</w:t>
      </w:r>
      <w:r w:rsidRPr="0083137A">
        <w:rPr>
          <w:rFonts w:eastAsia="宋体"/>
          <w:lang w:eastAsia="zh-CN"/>
        </w:rPr>
        <w:t>FEA co-simulation can reduce computational cost. Soft-tissue preservation must remain within the formulation because ligament retention, tendon tension, capsule closure, and carpal height alter implant behavior {Reigstad 2025; Eschweiler 2022; Glanville 2025; Hooke 2015}.</w:t>
      </w:r>
    </w:p>
    <w:p w14:paraId="61E8378E" w14:textId="77777777" w:rsidR="00C521CB" w:rsidRDefault="00923650">
      <w:pPr>
        <w:pStyle w:val="21"/>
      </w:pPr>
      <w:r>
        <w:t>5.5 Wear, micromotion, and design acceptance criteria</w:t>
      </w:r>
    </w:p>
    <w:p w14:paraId="24A81B30" w14:textId="6FB54035" w:rsidR="00C521CB" w:rsidRPr="00703FA9" w:rsidRDefault="00703FA9">
      <w:pPr>
        <w:ind w:firstLine="317"/>
        <w:rPr>
          <w:rFonts w:eastAsia="宋体"/>
          <w:lang w:eastAsia="zh-CN"/>
        </w:rPr>
      </w:pPr>
      <w:r w:rsidRPr="00703FA9">
        <w:t xml:space="preserve">Wear and impingement </w:t>
      </w:r>
      <w:r>
        <w:rPr>
          <w:rFonts w:eastAsia="宋体" w:hint="eastAsia"/>
          <w:lang w:eastAsia="zh-CN"/>
        </w:rPr>
        <w:t>need</w:t>
      </w:r>
      <w:r w:rsidRPr="00703FA9">
        <w:t xml:space="preserve"> be evaluated under multidirectional wrist motion </w:t>
      </w:r>
      <w:r>
        <w:rPr>
          <w:rFonts w:eastAsia="宋体" w:hint="eastAsia"/>
          <w:lang w:eastAsia="zh-CN"/>
        </w:rPr>
        <w:t>since</w:t>
      </w:r>
      <w:r w:rsidRPr="00703FA9">
        <w:t xml:space="preserve"> polyethylene wear depends on pressure, sliding distance, cross-shear, surface finish, and third-body effects {</w:t>
      </w:r>
      <w:proofErr w:type="spellStart"/>
      <w:r w:rsidRPr="00703FA9">
        <w:t>Akhbari</w:t>
      </w:r>
      <w:proofErr w:type="spellEnd"/>
      <w:r w:rsidRPr="00703FA9">
        <w:t xml:space="preserve"> 2021; Wang 2016; Baykal 2014; Wang 1998}. An Archard-type wear law incorporating cross-shear and iterative surface updating provides a computational route from bearing geometry to cumulative wear {Baykal 2014}. Final acceptance specif</w:t>
      </w:r>
      <w:r>
        <w:rPr>
          <w:rFonts w:eastAsia="宋体" w:hint="eastAsia"/>
          <w:lang w:eastAsia="zh-CN"/>
        </w:rPr>
        <w:t>ies</w:t>
      </w:r>
      <w:r w:rsidRPr="00703FA9">
        <w:t xml:space="preserve"> measurable limits for COR-path error, migration, edge distance, contact pressure, micromotion, strain, fatigue, wear, and impingement-free range {Eschweiler 2022; Eschweiler 2016; </w:t>
      </w:r>
      <w:proofErr w:type="spellStart"/>
      <w:r w:rsidRPr="00703FA9">
        <w:t>Mirakhorlo</w:t>
      </w:r>
      <w:proofErr w:type="spellEnd"/>
      <w:r w:rsidRPr="00703FA9">
        <w:t xml:space="preserve"> 2018}. Thresholds </w:t>
      </w:r>
      <w:r w:rsidRPr="00703FA9">
        <w:lastRenderedPageBreak/>
        <w:t>transferred from other arthroplasty systems, including micromotion, surface roughness, and resection accuracy, remain provisional and require wrist-specific justification {</w:t>
      </w:r>
      <w:proofErr w:type="spellStart"/>
      <w:r w:rsidRPr="00703FA9">
        <w:t>Pilliar</w:t>
      </w:r>
      <w:proofErr w:type="spellEnd"/>
      <w:r w:rsidRPr="00703FA9">
        <w:t xml:space="preserve"> 1986; </w:t>
      </w:r>
      <w:proofErr w:type="spellStart"/>
      <w:r w:rsidRPr="00703FA9">
        <w:t>Bobyn</w:t>
      </w:r>
      <w:proofErr w:type="spellEnd"/>
      <w:r w:rsidRPr="00703FA9">
        <w:t xml:space="preserve"> 1999; Mani 2024; Crisco 2026; Xiao 2026; Wei 2025}. Without such thresholds, increased motion or reduced peak stress cannot establish design superiority {Berber 2018; Gislason 2017; Pfaeffle 2005}.</w:t>
      </w:r>
    </w:p>
    <w:p w14:paraId="6027CE70" w14:textId="77777777" w:rsidR="00C521CB" w:rsidRDefault="00923650">
      <w:pPr>
        <w:pStyle w:val="21"/>
      </w:pPr>
      <w:r>
        <w:t>5.6 Levels of customization</w:t>
      </w:r>
    </w:p>
    <w:p w14:paraId="72277BE5" w14:textId="4A79AF4D" w:rsidR="00C521CB" w:rsidRDefault="00923650">
      <w:pPr>
        <w:ind w:firstLine="317"/>
        <w:rPr>
          <w:rFonts w:eastAsia="宋体"/>
          <w:lang w:eastAsia="zh-CN"/>
        </w:rPr>
      </w:pPr>
      <w:r>
        <w:t>Customization stratifies into size matching, anatomical customization and functional customization {</w:t>
      </w:r>
      <w:proofErr w:type="spellStart"/>
      <w:r>
        <w:t>Akhbari</w:t>
      </w:r>
      <w:proofErr w:type="spellEnd"/>
      <w:r>
        <w:t xml:space="preserve"> 2020; </w:t>
      </w:r>
      <w:proofErr w:type="spellStart"/>
      <w:r>
        <w:t>Akhbari</w:t>
      </w:r>
      <w:proofErr w:type="spellEnd"/>
      <w:r>
        <w:t xml:space="preserve"> 2021; Xiao 2026}: the first selects a modular size, the second adapts fixation and external surfaces to reconstructed anatomy, and the third changes curvature, </w:t>
      </w:r>
      <w:r w:rsidR="008F1480">
        <w:t>center</w:t>
      </w:r>
      <w:r>
        <w:t xml:space="preserve"> or constraint to pursue a desired motion-and-load response. A patient-specific external fit does not guarantee physiological kinematics, and a functionally optimized bearing may need deliberate cortical clearance {</w:t>
      </w:r>
      <w:proofErr w:type="spellStart"/>
      <w:r>
        <w:t>Akhbari</w:t>
      </w:r>
      <w:proofErr w:type="spellEnd"/>
      <w:r>
        <w:t xml:space="preserve"> 2020; </w:t>
      </w:r>
      <w:proofErr w:type="spellStart"/>
      <w:r>
        <w:t>Akhbari</w:t>
      </w:r>
      <w:proofErr w:type="spellEnd"/>
      <w:r>
        <w:t xml:space="preserve"> 2021; McCullough 2012}. Fully customized systems are most defensible when standard sizes cannot provide reliable fixation or alignment {Reigstad 2025; Wei 2025; Cash 2025}; because customized wrist implants are produced in unit quantities, their regulatory route, patient-matched or truly custom-made, must be planned among the design inputs {Wei 2025; Cai 2023}.</w:t>
      </w:r>
    </w:p>
    <w:p w14:paraId="7C36846F" w14:textId="61100D88" w:rsidR="00703FA9" w:rsidRPr="00703FA9" w:rsidRDefault="00703FA9">
      <w:pPr>
        <w:ind w:firstLine="317"/>
        <w:rPr>
          <w:rFonts w:eastAsia="宋体"/>
          <w:lang w:eastAsia="zh-CN"/>
        </w:rPr>
      </w:pPr>
      <w:r w:rsidRPr="00703FA9">
        <w:rPr>
          <w:rFonts w:eastAsia="宋体"/>
          <w:lang w:eastAsia="zh-CN"/>
        </w:rPr>
        <w:t>Customization ranges from size matching to anatomical and functional customization {</w:t>
      </w:r>
      <w:proofErr w:type="spellStart"/>
      <w:r w:rsidRPr="00703FA9">
        <w:rPr>
          <w:rFonts w:eastAsia="宋体"/>
          <w:lang w:eastAsia="zh-CN"/>
        </w:rPr>
        <w:t>Akhbari</w:t>
      </w:r>
      <w:proofErr w:type="spellEnd"/>
      <w:r w:rsidRPr="00703FA9">
        <w:rPr>
          <w:rFonts w:eastAsia="宋体"/>
          <w:lang w:eastAsia="zh-CN"/>
        </w:rPr>
        <w:t xml:space="preserve"> 2020; </w:t>
      </w:r>
      <w:proofErr w:type="spellStart"/>
      <w:r w:rsidRPr="00703FA9">
        <w:rPr>
          <w:rFonts w:eastAsia="宋体"/>
          <w:lang w:eastAsia="zh-CN"/>
        </w:rPr>
        <w:t>Akhbari</w:t>
      </w:r>
      <w:proofErr w:type="spellEnd"/>
      <w:r w:rsidRPr="00703FA9">
        <w:rPr>
          <w:rFonts w:eastAsia="宋体"/>
          <w:lang w:eastAsia="zh-CN"/>
        </w:rPr>
        <w:t xml:space="preserve"> 2021; Xiao 2026}. </w:t>
      </w:r>
      <w:r>
        <w:rPr>
          <w:rFonts w:eastAsia="宋体" w:hint="eastAsia"/>
          <w:lang w:eastAsia="zh-CN"/>
        </w:rPr>
        <w:t>T</w:t>
      </w:r>
      <w:r>
        <w:rPr>
          <w:rFonts w:eastAsia="宋体"/>
          <w:lang w:eastAsia="zh-CN"/>
        </w:rPr>
        <w:t>h</w:t>
      </w:r>
      <w:r>
        <w:rPr>
          <w:rFonts w:eastAsia="宋体" w:hint="eastAsia"/>
          <w:lang w:eastAsia="zh-CN"/>
        </w:rPr>
        <w:t>e former</w:t>
      </w:r>
      <w:r w:rsidRPr="00703FA9">
        <w:rPr>
          <w:rFonts w:eastAsia="宋体"/>
          <w:lang w:eastAsia="zh-CN"/>
        </w:rPr>
        <w:t xml:space="preserve"> selects a modular component, anatomical customization adapts external geometry and fixation to patient anatomy</w:t>
      </w:r>
      <w:r>
        <w:rPr>
          <w:rFonts w:eastAsia="宋体" w:hint="eastAsia"/>
          <w:lang w:eastAsia="zh-CN"/>
        </w:rPr>
        <w:t>;</w:t>
      </w:r>
      <w:r w:rsidRPr="00703FA9">
        <w:rPr>
          <w:rFonts w:eastAsia="宋体"/>
          <w:lang w:eastAsia="zh-CN"/>
        </w:rPr>
        <w:t xml:space="preserve"> </w:t>
      </w:r>
      <w:r>
        <w:rPr>
          <w:rFonts w:eastAsia="宋体" w:hint="eastAsia"/>
          <w:lang w:eastAsia="zh-CN"/>
        </w:rPr>
        <w:t>the latter</w:t>
      </w:r>
      <w:r w:rsidRPr="00703FA9">
        <w:rPr>
          <w:rFonts w:eastAsia="宋体"/>
          <w:lang w:eastAsia="zh-CN"/>
        </w:rPr>
        <w:t xml:space="preserve"> modifies curvature, COR, or constraint to achieve a target motion</w:t>
      </w:r>
      <w:r>
        <w:rPr>
          <w:rFonts w:eastAsia="宋体" w:hint="eastAsia"/>
          <w:lang w:eastAsia="zh-CN"/>
        </w:rPr>
        <w:t>-</w:t>
      </w:r>
      <w:r w:rsidRPr="00703FA9">
        <w:rPr>
          <w:rFonts w:eastAsia="宋体"/>
          <w:lang w:eastAsia="zh-CN"/>
        </w:rPr>
        <w:t>load response. Anatomical fit therefore does not guarantee physiological kinematics, while functional optimization may require deliberate cortical clearance {</w:t>
      </w:r>
      <w:proofErr w:type="spellStart"/>
      <w:r w:rsidRPr="00703FA9">
        <w:rPr>
          <w:rFonts w:eastAsia="宋体"/>
          <w:lang w:eastAsia="zh-CN"/>
        </w:rPr>
        <w:t>Akhbari</w:t>
      </w:r>
      <w:proofErr w:type="spellEnd"/>
      <w:r w:rsidRPr="00703FA9">
        <w:rPr>
          <w:rFonts w:eastAsia="宋体"/>
          <w:lang w:eastAsia="zh-CN"/>
        </w:rPr>
        <w:t xml:space="preserve"> 2020; </w:t>
      </w:r>
      <w:proofErr w:type="spellStart"/>
      <w:r w:rsidRPr="00703FA9">
        <w:rPr>
          <w:rFonts w:eastAsia="宋体"/>
          <w:lang w:eastAsia="zh-CN"/>
        </w:rPr>
        <w:t>Akhbari</w:t>
      </w:r>
      <w:proofErr w:type="spellEnd"/>
      <w:r w:rsidRPr="00703FA9">
        <w:rPr>
          <w:rFonts w:eastAsia="宋体"/>
          <w:lang w:eastAsia="zh-CN"/>
        </w:rPr>
        <w:t xml:space="preserve"> 2021; McCullough 2012}. Fully customized TWA is most defensible when standard components cannot provide adequate fixation, alignment, or bone preservation {Reigstad 2025; Wei 2025; Cash 2025}.</w:t>
      </w:r>
    </w:p>
    <w:p w14:paraId="6FC8FEE4" w14:textId="2767A692" w:rsidR="00C521CB" w:rsidRDefault="00137DFF">
      <w:pPr>
        <w:ind w:firstLine="317"/>
      </w:pPr>
      <w:r>
        <w:rPr>
          <w:rFonts w:eastAsia="宋体" w:hint="eastAsia"/>
          <w:lang w:eastAsia="zh-CN"/>
        </w:rPr>
        <w:t>Wei et al. reported a</w:t>
      </w:r>
      <w:r>
        <w:t xml:space="preserve"> customized anatomical TWA in four severely damaged wrists </w:t>
      </w:r>
      <w:r>
        <w:rPr>
          <w:rFonts w:eastAsia="宋体" w:hint="eastAsia"/>
          <w:lang w:eastAsia="zh-CN"/>
        </w:rPr>
        <w:t>using</w:t>
      </w:r>
      <w:r>
        <w:t xml:space="preserve"> contralateral CT, cobalt-chromium and titanium components, a polyethylene bearing and porous fixation {Wei 2025}; a separate fourteen-wrist personalized microporous titanium series reported improved pain, grip and motion at about twenty months without observed loosening {Cai 2023}. These uncontrolled, short-follow-up reports demonstrate feasibility, not superiority or durability {Berber 2018; </w:t>
      </w:r>
      <w:proofErr w:type="spellStart"/>
      <w:r>
        <w:t>Zijlker</w:t>
      </w:r>
      <w:proofErr w:type="spellEnd"/>
      <w:r>
        <w:t xml:space="preserve"> 2022; </w:t>
      </w:r>
      <w:proofErr w:type="spellStart"/>
      <w:r>
        <w:t>Pappalardo</w:t>
      </w:r>
      <w:proofErr w:type="spellEnd"/>
      <w:r>
        <w:t xml:space="preserve"> 2026}. A quasi-dynamic finite element comparison, in which task postures are solved sequentially rather than transiently, reported more uniform stress and steadier </w:t>
      </w:r>
      <w:r w:rsidR="008F1480">
        <w:t>COR</w:t>
      </w:r>
      <w:r>
        <w:t xml:space="preserve"> </w:t>
      </w:r>
      <w:r w:rsidR="00A71CFF">
        <w:t xml:space="preserve">behavior </w:t>
      </w:r>
      <w:r>
        <w:t>for a customized design, conditional on that study</w:t>
      </w:r>
      <w:r>
        <w:rPr>
          <w:rFonts w:eastAsia="宋体"/>
          <w:lang w:eastAsia="zh-CN"/>
        </w:rPr>
        <w:t>’</w:t>
      </w:r>
      <w:r>
        <w:t xml:space="preserve">s assumptions and requiring independent confirmation {Berber 2018; Bain 2025; Xiao 2026}. Custom scaphoid and lunate replacements inform the reconstruction workflow but are not direct TWA evidence, since TWA changes the dominant articulation and fixation path {Zhang 2023; Cioffi 2023}. The design freezes only after virtual implantation, tolerance analysis, simulation, manufacturability review and surgeon approval converge, with sensitivity analyses perturbing the dominant assumptions and the release package retaining images, models and simulation versions {Eschweiler 2022; </w:t>
      </w:r>
      <w:proofErr w:type="spellStart"/>
      <w:r>
        <w:t>Teule</w:t>
      </w:r>
      <w:proofErr w:type="spellEnd"/>
      <w:r>
        <w:t xml:space="preserve"> 2024}.</w:t>
      </w:r>
    </w:p>
    <w:p w14:paraId="0CE77707" w14:textId="77777777" w:rsidR="00C521CB" w:rsidRDefault="00923650">
      <w:pPr>
        <w:pStyle w:val="21"/>
      </w:pPr>
      <w:r>
        <w:t>5.7 Design freeze and surgical planning</w:t>
      </w:r>
    </w:p>
    <w:p w14:paraId="26CE074F" w14:textId="1E2326C1" w:rsidR="00C521CB" w:rsidRDefault="00923650">
      <w:pPr>
        <w:ind w:firstLine="317"/>
      </w:pPr>
      <w:r>
        <w:t>The workflow starts from an approved coordinated digital anatomy {</w:t>
      </w:r>
      <w:proofErr w:type="spellStart"/>
      <w:r>
        <w:t>Teule</w:t>
      </w:r>
      <w:proofErr w:type="spellEnd"/>
      <w:r>
        <w:t xml:space="preserve"> 2024; Wei 2025; van de Giessen 2010}: mirrored contralateral anatomy or a statistical shape model for missing geometry, surgeon-defined correction for alignment, ligament tension and carpal height {</w:t>
      </w:r>
      <w:proofErr w:type="spellStart"/>
      <w:r>
        <w:t>Reigstad</w:t>
      </w:r>
      <w:proofErr w:type="spellEnd"/>
      <w:r>
        <w:t xml:space="preserve"> 2025; </w:t>
      </w:r>
      <w:proofErr w:type="spellStart"/>
      <w:r>
        <w:t>Teule</w:t>
      </w:r>
      <w:proofErr w:type="spellEnd"/>
      <w:r>
        <w:t xml:space="preserve"> 2024; </w:t>
      </w:r>
      <w:proofErr w:type="spellStart"/>
      <w:r>
        <w:t>Sarkalkan</w:t>
      </w:r>
      <w:proofErr w:type="spellEnd"/>
      <w:r>
        <w:t xml:space="preserve"> 2014}. Patient-specific radial and carpal components are partitioned into functional zones, with the radial design coordinating articular position, canal fit, cortical support and distal radioulnar clearance, and the carpal design coordinating capitate or metacarpal fixation, screw trajectories, component thickness, tendon clearance and future fusion options {Reigstad 2025; Gislason 2017; Xiao 2026; Wei 2025; Cai 2023}; porous structures are restricted to intended bone-contact regions, and polished articulating surfaces stay separated from rough fixation features and support-removal zones {Wei 2025; Mani 2024; Abd-</w:t>
      </w:r>
      <w:proofErr w:type="spellStart"/>
      <w:r>
        <w:t>Elaziem</w:t>
      </w:r>
      <w:proofErr w:type="spellEnd"/>
      <w:r>
        <w:t xml:space="preserve"> 2024}. The operative plan is itself a design document whose decision sequence belongs in the release package: resection planes and tolerances, treatment of the proximal row and capsuloligamentous envelope, screw number and trajectories, and trial reduction with soft-tissue balancing against the intended </w:t>
      </w:r>
      <w:r w:rsidR="008F1480">
        <w:t>center</w:t>
      </w:r>
      <w:r>
        <w:t xml:space="preserve"> {Reigstad 2025; Glanville 2025; Hooke 2015}. Postoperative care completes the construct definition, with activity restrictions stated as explicit design assumptions and return-to-activity guidance referencing the same loading envelope assumed in analysis {Reigstad 2025; Clementson 2024; Cai 2023}.</w:t>
      </w:r>
    </w:p>
    <w:p w14:paraId="48FB2B47" w14:textId="77777777" w:rsidR="00C521CB" w:rsidRDefault="00923650">
      <w:pPr>
        <w:pStyle w:val="1"/>
        <w:pageBreakBefore/>
      </w:pPr>
      <w:r>
        <w:lastRenderedPageBreak/>
        <w:t>6 Materials, manufacturing, and implementation</w:t>
      </w:r>
    </w:p>
    <w:p w14:paraId="66B82ADE" w14:textId="77777777" w:rsidR="00C521CB" w:rsidRDefault="00923650">
      <w:pPr>
        <w:ind w:firstLine="317"/>
      </w:pPr>
      <w:r>
        <w:t xml:space="preserve"> This section reviews the literature gathered at Stage 4 of Fig. 1, namely the realization of the frozen design in qualified materials and processes, connected by a digital thread and placed on a regulatory route (Table 4).</w:t>
      </w:r>
    </w:p>
    <w:p w14:paraId="42516BF4" w14:textId="77777777" w:rsidR="00C521CB" w:rsidRDefault="00923650">
      <w:pPr>
        <w:pStyle w:val="21"/>
      </w:pPr>
      <w:r>
        <w:t>6.1 Materials, bearings, and fixation surfaces</w:t>
      </w:r>
    </w:p>
    <w:p w14:paraId="48A7394C" w14:textId="2616E705" w:rsidR="00C521CB" w:rsidRDefault="00923650">
      <w:pPr>
        <w:ind w:firstLine="317"/>
      </w:pPr>
      <w:r>
        <w:t xml:space="preserve">Material selection should separate the requirements of the articulating surface, structural body, fixation interface, screws and modular junctions {Reigstad 2025; Kennedy 2016; Xiao 2026}: a material </w:t>
      </w:r>
      <w:proofErr w:type="spellStart"/>
      <w:r>
        <w:t>favourable</w:t>
      </w:r>
      <w:proofErr w:type="spellEnd"/>
      <w:r>
        <w:t xml:space="preserve"> for osseointegration may be unsuitable as a bearing, and a hard </w:t>
      </w:r>
      <w:proofErr w:type="spellStart"/>
      <w:r>
        <w:t>wear</w:t>
      </w:r>
      <w:proofErr w:type="spellEnd"/>
      <w:r>
        <w:t xml:space="preserve">-resistant alloy may be unnecessarily stiff at the bone interface {Wang 2016; Mani 2024; Wang 1998}. Cobalt-chromium-molybdenum remains attractive for polished bearings through hardness, corrosion resistance and finish retention, and must be specified by composition and manufacturing route, which determine microstructure, fatigue and corrosion </w:t>
      </w:r>
      <w:r w:rsidR="00A71CFF">
        <w:t xml:space="preserve">behavior </w:t>
      </w:r>
      <w:r>
        <w:t xml:space="preserve">{Mani 2024}; its elastic modulus of roughly 200–230 </w:t>
      </w:r>
      <w:proofErr w:type="spellStart"/>
      <w:r>
        <w:t>GPa</w:t>
      </w:r>
      <w:proofErr w:type="spellEnd"/>
      <w:r>
        <w:t>, an order of magnitude above cortical bone, concentrates stiffness at the interface and motivates porous and shortened fixation {Mani 2024; Abd-</w:t>
      </w:r>
      <w:proofErr w:type="spellStart"/>
      <w:r>
        <w:t>Elaziem</w:t>
      </w:r>
      <w:proofErr w:type="spellEnd"/>
      <w:r>
        <w:t xml:space="preserve"> 2024}. Titanium and Ti-6Al-4V serve stems, porous regions and screws through strength, corrosion resistance and a modulus nearer bone, but their </w:t>
      </w:r>
      <w:proofErr w:type="spellStart"/>
      <w:r>
        <w:t>unfavourable</w:t>
      </w:r>
      <w:proofErr w:type="spellEnd"/>
      <w:r>
        <w:t xml:space="preserve"> tribological </w:t>
      </w:r>
      <w:r w:rsidR="00A71CFF">
        <w:t xml:space="preserve">behavior </w:t>
      </w:r>
      <w:r>
        <w:t>as a direct bearing confines them to structural and bone-contact roles {Mani 2024; Abd-</w:t>
      </w:r>
      <w:proofErr w:type="spellStart"/>
      <w:r>
        <w:t>Elaziem</w:t>
      </w:r>
      <w:proofErr w:type="spellEnd"/>
      <w:r>
        <w:t xml:space="preserve"> 2024}. Polyethylene remains the reference bearing: crosslinking trades wear against fatigue resistance, and vitamin-E-stabilized formulations, address the wrist-relevant concerns of thin components under multidirectional cross-shear {Wang 1998; Bracco 2011; Spece 2023}; wrist-specific evidence is insufficient to assume that hip-optimized formulations perform identically {</w:t>
      </w:r>
      <w:proofErr w:type="spellStart"/>
      <w:r>
        <w:t>Akhbari</w:t>
      </w:r>
      <w:proofErr w:type="spellEnd"/>
      <w:r>
        <w:t xml:space="preserve"> 2021; McCullough 2012; Baykal 2014}. PEEK and carbon-</w:t>
      </w:r>
      <w:proofErr w:type="spellStart"/>
      <w:r>
        <w:t>fibre</w:t>
      </w:r>
      <w:proofErr w:type="spellEnd"/>
      <w:r>
        <w:t xml:space="preserve">-reinforced PEEK offer radiolucency and adjustable stiffness, but introduce anisotropy and a third-body debris mechanism, and long-term wrist data remain too limited to establish superiority over polyethylene {Eschweiler 2022; Huang 2024}. Metal-on-metal bearings warrant particular caution: the large-joint literature documents adverse local tissue reactions and provides </w:t>
      </w:r>
      <w:proofErr w:type="spellStart"/>
      <w:r>
        <w:t>tribocorrosion</w:t>
      </w:r>
      <w:proofErr w:type="spellEnd"/>
      <w:r>
        <w:t>-risk stratification algorithms guiding surveillance, while wrist-specific exposure data are scarce {Reigstad 2025; Hall 2020; Kwon 2021}. Porous and calcium-phosphate-treated surfaces aim for initial interlock followed by biological fixation, with osteoconductive pore sizes broadly in the 100–600 µm range {Karageorgiou 2005}, the tantalum paradigm defining the ingrowth-and-interface mechanics that modern porous metals inherit {</w:t>
      </w:r>
      <w:proofErr w:type="spellStart"/>
      <w:r>
        <w:t>Bobyn</w:t>
      </w:r>
      <w:proofErr w:type="spellEnd"/>
      <w:r>
        <w:t xml:space="preserve"> 1999}, and architecture optimized locally to expected load and available bone {Xiao 2026; Wei 2025; Kutluay 2026}. Where cemented fixation is used, cemented versus cementless strategies are system choices that no wrist-specific trial has settled {Reigstad 2025; Newton 2023; Cash 2025}.</w:t>
      </w:r>
    </w:p>
    <w:p w14:paraId="524DE14A" w14:textId="77777777" w:rsidR="00C521CB" w:rsidRDefault="00923650">
      <w:pPr>
        <w:pStyle w:val="21"/>
      </w:pPr>
      <w:r>
        <w:t>6.2 Manufacturing, process qualification, and metrology</w:t>
      </w:r>
    </w:p>
    <w:p w14:paraId="10C8B511" w14:textId="1A3F5624" w:rsidR="00C521CB" w:rsidRDefault="00923650">
      <w:pPr>
        <w:ind w:firstLine="317"/>
      </w:pPr>
      <w:r>
        <w:t>Conventional metallic components are forged, cast or machined, followed by heat treatment, precision finishing, cleaning, passivation, coating and inspection {Wang 2016; Mani 2024; Abd-</w:t>
      </w:r>
      <w:proofErr w:type="spellStart"/>
      <w:r>
        <w:t>Elaziem</w:t>
      </w:r>
      <w:proofErr w:type="spellEnd"/>
      <w:r>
        <w:t xml:space="preserve"> 2024}; the bearing surface requires tight control of form error, waviness, roughness and edge transition, and must be kept spatially separate from rough or porous fixation features so that coating, trapped powder or machining marks do not enter the articulation {Wang 2016; Mani 2024; Abd-</w:t>
      </w:r>
      <w:proofErr w:type="spellStart"/>
      <w:r>
        <w:t>Elaziem</w:t>
      </w:r>
      <w:proofErr w:type="spellEnd"/>
      <w:r>
        <w:t xml:space="preserve"> 2024}. Additive manufacturing enables patient-specific forms, internal lattices, porous fixation zones and integrated features difficult to produce </w:t>
      </w:r>
      <w:proofErr w:type="spellStart"/>
      <w:r>
        <w:t>subtractively</w:t>
      </w:r>
      <w:proofErr w:type="spellEnd"/>
      <w:r>
        <w:t xml:space="preserve"> {Xiao 2026; Wei 2025; Abd-</w:t>
      </w:r>
      <w:proofErr w:type="spellStart"/>
      <w:r>
        <w:t>Elaziem</w:t>
      </w:r>
      <w:proofErr w:type="spellEnd"/>
      <w:r>
        <w:t xml:space="preserve"> 2024}, at the cost of powder quality and reuse effects, build-direction anisotropy of microstructure and fatigue strength, residual stress, lack-of-fusion defects, surface roughness and support-removal constraints; critical reviews of load-bearing porous Ti-6Al-4V assemble exactly this design-processing-failure chain and should inform wrist-specific process qualification {Wang 2016; Mani 2024; Abd-</w:t>
      </w:r>
      <w:proofErr w:type="spellStart"/>
      <w:r>
        <w:t>Elaziem</w:t>
      </w:r>
      <w:proofErr w:type="spellEnd"/>
      <w:r>
        <w:t xml:space="preserve"> 2024; </w:t>
      </w:r>
      <w:proofErr w:type="spellStart"/>
      <w:r>
        <w:t>Kutluay</w:t>
      </w:r>
      <w:proofErr w:type="spellEnd"/>
      <w:r>
        <w:t xml:space="preserve"> 2026}. Process qualification is the gate at which design intent becomes a released product: dimensional conformance verified against claimed tolerances using calibrated metrology, coordinate-measuring machines, industrial CT and surface-texture measurement capable of resolving local curvature and the relative position of bearing, stem and fixation features; porous architecture verified as-built, because stiffness and ingrowth </w:t>
      </w:r>
      <w:r w:rsidR="00A71CFF">
        <w:t xml:space="preserve">behavior </w:t>
      </w:r>
      <w:r>
        <w:t>follow the manufactured structure rather than the CAD intent; first-article inspection and lot-level sampling with powder lifecycle and build records retained for patient-specific components {</w:t>
      </w:r>
      <w:proofErr w:type="spellStart"/>
      <w:r>
        <w:t>Akhbari</w:t>
      </w:r>
      <w:proofErr w:type="spellEnd"/>
      <w:r>
        <w:t xml:space="preserve"> 2021; McCullough 2012; Wang 2016; Mani 2024; Kutluay 2026; Glanville 2026}.</w:t>
      </w:r>
    </w:p>
    <w:p w14:paraId="7ED71734" w14:textId="77777777" w:rsidR="00C521CB" w:rsidRDefault="00923650">
      <w:pPr>
        <w:pStyle w:val="21"/>
      </w:pPr>
      <w:r>
        <w:t>6.3 Digital thread and regulatory implementation</w:t>
      </w:r>
    </w:p>
    <w:p w14:paraId="1CA2116A" w14:textId="77777777" w:rsidR="00C521CB" w:rsidRDefault="00923650">
      <w:pPr>
        <w:ind w:firstLine="317"/>
      </w:pPr>
      <w:r>
        <w:t>Patient-specific production requires a controlled digital thread from imaging to implantation: segmentation, reconstruction, design approval, build preparation, manufacturing, post-processing, inspection, packaging and surgical planning must preserve patient identity, side, coordinate systems and revision status {</w:t>
      </w:r>
      <w:proofErr w:type="spellStart"/>
      <w:r>
        <w:t>Sarkalkan</w:t>
      </w:r>
      <w:proofErr w:type="spellEnd"/>
      <w:r>
        <w:t xml:space="preserve"> 2014; </w:t>
      </w:r>
      <w:r>
        <w:lastRenderedPageBreak/>
        <w:t>Xiao 2026; Wei 2025}. Each transformation should retain traceability, permit human review of fixation corridors and critical anatomy, and operate under change-control practices appropriate to regulated tooling; version control is essential, because a late imaging or surgical-plan change can otherwise leave the manufactured component inconsistent with the approved anatomy {</w:t>
      </w:r>
      <w:proofErr w:type="spellStart"/>
      <w:r>
        <w:t>Sarkalkan</w:t>
      </w:r>
      <w:proofErr w:type="spellEnd"/>
      <w:r>
        <w:t xml:space="preserve"> 2014; Wei 2025; Cai 2023}. Cleaning and sterilization deserve explicit process validation for porous structures, because trapped powder and cleaning-agent access inside lattice pores are nontrivial, and packaging must be compatible with polymer and surface chemistry {Wang 2016; Mani 2024; Abd-</w:t>
      </w:r>
      <w:proofErr w:type="spellStart"/>
      <w:r>
        <w:t>Elaziem</w:t>
      </w:r>
      <w:proofErr w:type="spellEnd"/>
      <w:r>
        <w:t xml:space="preserve"> 2024}. Finally, the regulatory route shapes the whole workflow: biocompatibility evaluation, risk management from design inputs through post-market feedback, and the choice between patient-matched extensions of an already-cleared system and the heavier obligations of a truly custom-made device determine what evidence must exist before implantation {Wei 2025; Cai 2023}. Qualified materials, additive manufacturing and a controlled digital thread can now realize almost any geometry that Stage 3 freezes {Xiao 2026; Wang 2016; Mani 2024; Abd-</w:t>
      </w:r>
      <w:proofErr w:type="spellStart"/>
      <w:r>
        <w:t>Elaziem</w:t>
      </w:r>
      <w:proofErr w:type="spellEnd"/>
      <w:r>
        <w:t xml:space="preserve"> 2024; </w:t>
      </w:r>
      <w:proofErr w:type="spellStart"/>
      <w:r>
        <w:t>Kutluay</w:t>
      </w:r>
      <w:proofErr w:type="spellEnd"/>
      <w:r>
        <w:t xml:space="preserve"> 2026; Spece 2023}; wrist-specific bearing, retrieval, </w:t>
      </w:r>
      <w:proofErr w:type="spellStart"/>
      <w:r>
        <w:t>tribocorrosion</w:t>
      </w:r>
      <w:proofErr w:type="spellEnd"/>
      <w:r>
        <w:t xml:space="preserve"> and fatigue evidence remains sparse relative to large-joint arthroplasty, so implementation decisions should rest on named standards, coupon-to-construct verification chains and retrieval feedback rather than on transfer of large-joint experience alone, which is the task of Stage 5.</w:t>
      </w:r>
    </w:p>
    <w:p w14:paraId="1082DC2A" w14:textId="77777777" w:rsidR="00C521CB" w:rsidRDefault="00923650">
      <w:pPr>
        <w:pStyle w:val="1"/>
        <w:pageBreakBefore/>
      </w:pPr>
      <w:r>
        <w:lastRenderedPageBreak/>
        <w:t>7 Verification and post-implantation surveillance</w:t>
      </w:r>
    </w:p>
    <w:p w14:paraId="0744E3C5" w14:textId="77777777" w:rsidR="00C521CB" w:rsidRDefault="00923650">
      <w:pPr>
        <w:ind w:firstLine="317"/>
      </w:pPr>
      <w:r>
        <w:t xml:space="preserve"> This section reviews the literature gathered at Stage 5 of Fig. 1, namely the verification of the realized design, from material coupons to cadaveric constructs, and the postoperative surveillance that measures what was actually delivered and closes the loop.</w:t>
      </w:r>
    </w:p>
    <w:p w14:paraId="78E2ABFE" w14:textId="77777777" w:rsidR="00C521CB" w:rsidRDefault="00923650">
      <w:pPr>
        <w:pStyle w:val="21"/>
      </w:pPr>
      <w:r>
        <w:t>7.1 Verification hierarchy</w:t>
      </w:r>
    </w:p>
    <w:p w14:paraId="2AED2EA7" w14:textId="23A7E8D3" w:rsidR="00C521CB" w:rsidRDefault="00923650">
      <w:pPr>
        <w:ind w:firstLine="317"/>
      </w:pPr>
      <w:r>
        <w:t xml:space="preserve">Verification proceeds from material coupons to components, constructs, cadavers and clinical follow-up {Eschweiler 2022; Eschweiler 2016; </w:t>
      </w:r>
      <w:proofErr w:type="spellStart"/>
      <w:r>
        <w:t>Mirakhorlo</w:t>
      </w:r>
      <w:proofErr w:type="spellEnd"/>
      <w:r>
        <w:t xml:space="preserve"> 2018}. Coupon tests characterize tensile, fatigue, corrosion and porous-material </w:t>
      </w:r>
      <w:proofErr w:type="spellStart"/>
      <w:r>
        <w:t>behaviour</w:t>
      </w:r>
      <w:proofErr w:type="spellEnd"/>
      <w:r>
        <w:t xml:space="preserve">; component tests evaluate static strength, cyclic loading, insert retention and screw fixation {Xiao 2026; Wei 2025; Mani 2024}. Construct-level tests should reproduce the task-based boundary conditions of Section 4.2, including cyclic histories, initial preloads and adverse alignment, with specimen numbers, bone-quality matching and quantitative pass criteria stated in the test plan {Gislason 2017; McCullough 2012; Glanville 2024}. Cadaveric motion simulators and dynamic imaging then test whether the assembled system produces the intended kinematics and tendon-force requirements {Glanville 2024; Glanville 2025; Hooke 2015}; because absolute </w:t>
      </w:r>
      <w:r w:rsidR="00BC639E" w:rsidRPr="00BC639E">
        <w:rPr>
          <w:i/>
          <w:iCs/>
        </w:rPr>
        <w:t>in-vivo</w:t>
      </w:r>
      <w:r>
        <w:t xml:space="preserve"> wrist forces are unmeasured, instrumented cadaveric constructs remain the calibration reference, and an </w:t>
      </w:r>
      <w:r w:rsidR="00BC639E" w:rsidRPr="00BC639E">
        <w:rPr>
          <w:i/>
          <w:iCs/>
        </w:rPr>
        <w:t>in-vivo</w:t>
      </w:r>
      <w:r>
        <w:t xml:space="preserve"> telemetric wrist implant, were one developed, would transform this field as it did large-joint arthroplasty {Eschweiler 2022; Bain 2025; Glanville 2024}.</w:t>
      </w:r>
    </w:p>
    <w:p w14:paraId="68238E6A" w14:textId="77777777" w:rsidR="00C521CB" w:rsidRDefault="00923650">
      <w:pPr>
        <w:pStyle w:val="21"/>
      </w:pPr>
      <w:r>
        <w:t>7.2 Mechanical testing</w:t>
      </w:r>
    </w:p>
    <w:p w14:paraId="371B58DE" w14:textId="1C26EDA5" w:rsidR="00C521CB" w:rsidRDefault="00923650">
      <w:pPr>
        <w:ind w:firstLine="317"/>
      </w:pPr>
      <w:r>
        <w:t xml:space="preserve">Wear testing should include coupled multidirectional paths derived from </w:t>
      </w:r>
      <w:r w:rsidR="00BC639E" w:rsidRPr="00BC639E">
        <w:rPr>
          <w:i/>
          <w:iCs/>
        </w:rPr>
        <w:t>in-vivo</w:t>
      </w:r>
      <w:r>
        <w:t xml:space="preserve"> or validated cadaveric measurements {</w:t>
      </w:r>
      <w:proofErr w:type="spellStart"/>
      <w:r>
        <w:t>Akhbari</w:t>
      </w:r>
      <w:proofErr w:type="spellEnd"/>
      <w:r>
        <w:t xml:space="preserve"> 2021; Glanville 2025; Baykal 2014}, monitoring gravimetric or volumetric wear, surface damage, particle morphology, temperature and lubricant condition, with pin-on-disk and multidirectional tribometers as the material-level counterpart {Baykal 2014}. Testing only the nominal articular pair can miss extra-articular impingement between stems, necks, screws or component edges {Reigstad 2025; Kennedy 2016; </w:t>
      </w:r>
      <w:proofErr w:type="spellStart"/>
      <w:r>
        <w:t>Akhbari</w:t>
      </w:r>
      <w:proofErr w:type="spellEnd"/>
      <w:r>
        <w:t xml:space="preserve"> 2021}; retrieved implants should be compared with simulator damage to refine loading protocols and wear models iteratively.</w:t>
      </w:r>
    </w:p>
    <w:p w14:paraId="2F2D06C1" w14:textId="77777777" w:rsidR="00C521CB" w:rsidRDefault="00923650">
      <w:pPr>
        <w:pStyle w:val="21"/>
      </w:pPr>
      <w:r>
        <w:t>7.3 Retrieval analysis</w:t>
      </w:r>
    </w:p>
    <w:p w14:paraId="6D68E63D" w14:textId="324F72D1" w:rsidR="00C521CB" w:rsidRDefault="00923650">
      <w:pPr>
        <w:ind w:firstLine="317"/>
      </w:pPr>
      <w:r>
        <w:t xml:space="preserve">Retrieval analysis is the third empirical leg of Stage 5, between simulator testing and </w:t>
      </w:r>
      <w:r w:rsidR="00BC639E" w:rsidRPr="00BC639E">
        <w:rPr>
          <w:i/>
          <w:iCs/>
        </w:rPr>
        <w:t>in-vivo</w:t>
      </w:r>
      <w:r>
        <w:t xml:space="preserve"> imaging, and it examines what the implanted hardware actually experienced. Retrieved wrist components document the wear patterns of polyethylene bearings under real activity, the extent of carpal-side </w:t>
      </w:r>
      <w:proofErr w:type="spellStart"/>
      <w:r>
        <w:t>lucency</w:t>
      </w:r>
      <w:proofErr w:type="spellEnd"/>
      <w:r>
        <w:t xml:space="preserve"> and fixation failure, the state of modular junctions and screw interfaces {Reigstad 2025; Kennedy 2016; Newton 2023}. The failure modes that registries and series identify statistically, loosening dominated by carpal-side radiolucency with late polyethylene wear {</w:t>
      </w:r>
      <w:proofErr w:type="spellStart"/>
      <w:r>
        <w:t>Krukhaug</w:t>
      </w:r>
      <w:proofErr w:type="spellEnd"/>
      <w:r>
        <w:t xml:space="preserve"> 2011; Newton 2023; Ward 2011}, periprosthetic fracture {Wagner 2017} and extensor-tendon attrition {Reigstad 2025; Kennedy 2016}, appear in retrieved specimens as physical evidence with measurable geometry. Retrieved implants compared against simulator damage refine loading protocols and wear models iteratively, and structured retrieval, including extraction-feature performance, feeds the next design iteration {Reigstad 2025; Kennedy 2016; </w:t>
      </w:r>
      <w:proofErr w:type="spellStart"/>
      <w:r>
        <w:t>Akhbari</w:t>
      </w:r>
      <w:proofErr w:type="spellEnd"/>
      <w:r>
        <w:t xml:space="preserve"> 2021; Cash 2025; Berber 2020}; each observed failure mode either confirms a predicted mechanism or exposes one the analysis chain missed.</w:t>
      </w:r>
    </w:p>
    <w:p w14:paraId="6C55A0FA" w14:textId="3DCC15C1" w:rsidR="00C521CB" w:rsidRDefault="00923650">
      <w:pPr>
        <w:pStyle w:val="21"/>
      </w:pPr>
      <w:r>
        <w:t xml:space="preserve">7.4 Postoperative imaging and </w:t>
      </w:r>
      <w:r w:rsidR="00BC639E" w:rsidRPr="00BC639E">
        <w:rPr>
          <w:i/>
          <w:iCs/>
        </w:rPr>
        <w:t>in-vivo</w:t>
      </w:r>
      <w:r>
        <w:t xml:space="preserve"> measurement</w:t>
      </w:r>
    </w:p>
    <w:p w14:paraId="2C0D8989" w14:textId="77777777" w:rsidR="00C521CB" w:rsidRDefault="00923650">
      <w:pPr>
        <w:ind w:firstLine="317"/>
      </w:pPr>
      <w:r>
        <w:t xml:space="preserve">Postoperative imaging is the empirical half of the image-to-implant loop. Conventional radiographs detect gross migration, </w:t>
      </w:r>
      <w:proofErr w:type="spellStart"/>
      <w:r>
        <w:t>lucency</w:t>
      </w:r>
      <w:proofErr w:type="spellEnd"/>
      <w:r>
        <w:t xml:space="preserve"> and alignment change but cannot resolve early micromotion. </w:t>
      </w:r>
      <w:proofErr w:type="spellStart"/>
      <w:r>
        <w:t>Radiostereometric</w:t>
      </w:r>
      <w:proofErr w:type="spellEnd"/>
      <w:r>
        <w:t xml:space="preserve"> analysis is the reference standard for implant-migration measurement, and CT-based adaptations extend the principle to three-dimensional migration while reducing marker burden {</w:t>
      </w:r>
      <w:proofErr w:type="spellStart"/>
      <w:r>
        <w:t>Jürgens-Lahnstein</w:t>
      </w:r>
      <w:proofErr w:type="spellEnd"/>
      <w:r>
        <w:t xml:space="preserve"> 2026; Baykal 2014}. Metal artefact limits CT near cobalt-chromium components: commercial reduction algorithms perform variably and must be validated per protocol {Koo 2026}, and photon-counting detector CT has demonstrated precision adequate for wrist-arthroplasty migration measurement {Lind 2026}. Radiolucent bearings such as polyethylene remain difficult to delineate directly, so marker integration or paired-bone referencing should be specified at the design stage rather than improvised after implantation {Lind 2026; Koo 2026}. Where kinematic surveillance is added, biplanar </w:t>
      </w:r>
      <w:proofErr w:type="spellStart"/>
      <w:r>
        <w:t>videoradiography</w:t>
      </w:r>
      <w:proofErr w:type="spellEnd"/>
      <w:r>
        <w:t xml:space="preserve"> against the preoperative model verifies whether the predicted envelope was delivered {</w:t>
      </w:r>
      <w:proofErr w:type="spellStart"/>
      <w:r>
        <w:t>Akhbari</w:t>
      </w:r>
      <w:proofErr w:type="spellEnd"/>
      <w:r>
        <w:t xml:space="preserve"> 2019; Crisco 2026}.</w:t>
      </w:r>
    </w:p>
    <w:p w14:paraId="1E622A35" w14:textId="77777777" w:rsidR="00C521CB" w:rsidRDefault="00923650">
      <w:pPr>
        <w:pStyle w:val="21"/>
      </w:pPr>
      <w:r>
        <w:lastRenderedPageBreak/>
        <w:t>7.5 Clinical and functional validation</w:t>
      </w:r>
    </w:p>
    <w:p w14:paraId="36F9FA23" w14:textId="2AEA3B53" w:rsidR="00C521CB" w:rsidRDefault="00923650">
      <w:pPr>
        <w:ind w:firstLine="317"/>
      </w:pPr>
      <w:r>
        <w:t>Clinical validation completes the hierarchy with the endpoints patients actually feel. Pain relief, grip strength, motion and patient-reported function are documented consistently across modern series and registries, with fourth-generation systematic reviews reporting predictable short- to mid-term improvement {</w:t>
      </w:r>
      <w:proofErr w:type="spellStart"/>
      <w:r>
        <w:t>Zijlker</w:t>
      </w:r>
      <w:proofErr w:type="spellEnd"/>
      <w:r>
        <w:t xml:space="preserve"> 2022; Herzberg 2012; </w:t>
      </w:r>
      <w:proofErr w:type="spellStart"/>
      <w:r>
        <w:t>Boeckstyns</w:t>
      </w:r>
      <w:proofErr w:type="spellEnd"/>
      <w:r>
        <w:t xml:space="preserve"> 2013} and head-to-head comparison against arthrodesis showing comparable pain and grip outcomes at two years {Clementson 2024}. Standardized instruments make these results comparable across </w:t>
      </w:r>
      <w:r w:rsidR="008F1480">
        <w:t>center</w:t>
      </w:r>
      <w:r>
        <w:t xml:space="preserve">s: the Patient-Rated Wrist Evaluation {MacDermid 1998} and the Michigan Hand Outcomes Questionnaire {Chung 1998}, named in requirement R9 of Table 2, supply the validated scales that Stage 5 verification should report alongside mechanics. Radiographic </w:t>
      </w:r>
      <w:proofErr w:type="spellStart"/>
      <w:r>
        <w:t>lucency</w:t>
      </w:r>
      <w:proofErr w:type="spellEnd"/>
      <w:r>
        <w:t xml:space="preserve"> and migration serve as intermediate endpoints, with revision and survivorship the ultimate ones, now quantified by registries at cohort scale {</w:t>
      </w:r>
      <w:proofErr w:type="spellStart"/>
      <w:r>
        <w:t>Krukhaug</w:t>
      </w:r>
      <w:proofErr w:type="spellEnd"/>
      <w:r>
        <w:t xml:space="preserve"> 2011; </w:t>
      </w:r>
      <w:proofErr w:type="spellStart"/>
      <w:r>
        <w:t>Labek</w:t>
      </w:r>
      <w:proofErr w:type="spellEnd"/>
      <w:r>
        <w:t xml:space="preserve"> 2011; Taylor 2024}. The enduring asymmetry is that these clinical endpoints are measured far more routinely than the mechanical </w:t>
      </w:r>
      <w:r w:rsidR="00A71CFF">
        <w:t xml:space="preserve">behavior </w:t>
      </w:r>
      <w:r>
        <w:t>that produces them; clinical validation alone therefore cannot attribute an outcome to a design property, which is precisely why it belongs at the end of a verification chain rather than as a substitute for one {</w:t>
      </w:r>
      <w:proofErr w:type="spellStart"/>
      <w:r>
        <w:t>Akhbari</w:t>
      </w:r>
      <w:proofErr w:type="spellEnd"/>
      <w:r>
        <w:t xml:space="preserve"> 2020; </w:t>
      </w:r>
      <w:proofErr w:type="spellStart"/>
      <w:r>
        <w:t>Akhbari</w:t>
      </w:r>
      <w:proofErr w:type="spellEnd"/>
      <w:r>
        <w:t xml:space="preserve"> 2021}.</w:t>
      </w:r>
    </w:p>
    <w:p w14:paraId="2EFDE41D" w14:textId="77777777" w:rsidR="00C521CB" w:rsidRDefault="00923650">
      <w:pPr>
        <w:pStyle w:val="21"/>
      </w:pPr>
      <w:r>
        <w:t>7.6 What remains unvalidated?</w:t>
      </w:r>
    </w:p>
    <w:p w14:paraId="5D24E661" w14:textId="5773882C" w:rsidR="00C521CB" w:rsidRDefault="00923650">
      <w:pPr>
        <w:ind w:firstLine="317"/>
      </w:pPr>
      <w:r>
        <w:t xml:space="preserve">Honest accounting leaves several links unvalidated. Long-term biomechanical predictions, meaning wear volume, fixation </w:t>
      </w:r>
      <w:r w:rsidR="00A71CFF">
        <w:t xml:space="preserve">behavior </w:t>
      </w:r>
      <w:r>
        <w:t>and stress states projected over years, have never been confirmed against the corresponding retrieval or imaging record for any wrist implant {</w:t>
      </w:r>
      <w:proofErr w:type="spellStart"/>
      <w:r>
        <w:t>Akhbari</w:t>
      </w:r>
      <w:proofErr w:type="spellEnd"/>
      <w:r>
        <w:t xml:space="preserve"> 2021; Wang 2016}. Patient-specific load estimation remains a model-based construction without telemetric calibration {Eschweiler 2022; Bain 2025; Glanville 2024}. Functional personalization, the claim that a geometry tuned to an individual's motion-and-load envelope outperforms a population compromise, has no comparative evidence in the wrist {</w:t>
      </w:r>
      <w:proofErr w:type="spellStart"/>
      <w:r>
        <w:t>Akhbari</w:t>
      </w:r>
      <w:proofErr w:type="spellEnd"/>
      <w:r>
        <w:t xml:space="preserve"> 2020; </w:t>
      </w:r>
      <w:proofErr w:type="spellStart"/>
      <w:r>
        <w:t>Akhbari</w:t>
      </w:r>
      <w:proofErr w:type="spellEnd"/>
      <w:r>
        <w:t xml:space="preserve"> 2021; Xiao 2026}. Wear prediction for wrist bearings rests on protocols borrowed from larger joints, since no wrist-specific standard exists {Wang 2016; Baykal 2014}. And the relationship between mechanical fidelity and survivorship, the premise that motivates the entire pathway, remains an association rather than a demonstrated causal chain {Newton 2023; </w:t>
      </w:r>
      <w:proofErr w:type="spellStart"/>
      <w:r>
        <w:t>Akhbari</w:t>
      </w:r>
      <w:proofErr w:type="spellEnd"/>
      <w:r>
        <w:t xml:space="preserve"> 2020; </w:t>
      </w:r>
      <w:proofErr w:type="spellStart"/>
      <w:r>
        <w:t>Akhbari</w:t>
      </w:r>
      <w:proofErr w:type="spellEnd"/>
      <w:r>
        <w:t xml:space="preserve"> 2021}. Each gap defines where Stage 5 evidence would repay the most: these are the hypotheses a completed verification chain would test first.</w:t>
      </w:r>
    </w:p>
    <w:p w14:paraId="6BA6F9C4" w14:textId="77777777" w:rsidR="00C521CB" w:rsidRDefault="00923650">
      <w:pPr>
        <w:pStyle w:val="1"/>
        <w:pageBreakBefore/>
      </w:pPr>
      <w:r>
        <w:lastRenderedPageBreak/>
        <w:t>8 From image-to-implant to a closed-loop patient-specific design paradigm</w:t>
      </w:r>
    </w:p>
    <w:p w14:paraId="7FC8CEEF" w14:textId="77777777" w:rsidR="00C521CB" w:rsidRDefault="00923650">
      <w:pPr>
        <w:ind w:firstLine="317"/>
      </w:pPr>
      <w:r>
        <w:t>This closing section asks what the six-stage chain adds up to: which parts are technically mature, where the connections between stages are weakest, and what architecture would turn the assembled capabilities into a continuously improving, patient-specific design practice. Sections 8.1 through 8.6 are explicit about their status: 8.1 inventories maturity from the assembled evidence and weighs the central interpretation, while 8.2 through 8.6 state what that assembly implies; they are this Review's proposal, not a survey of established practice. The primary studies of all stages appear in the consolidated Table 4.</w:t>
      </w:r>
    </w:p>
    <w:p w14:paraId="55B7950B" w14:textId="77777777" w:rsidR="00C521CB" w:rsidRDefault="00923650">
      <w:pPr>
        <w:pStyle w:val="21"/>
      </w:pPr>
      <w:r>
        <w:t>8.1 What has been achieved across the design chain?</w:t>
      </w:r>
    </w:p>
    <w:p w14:paraId="7EDDA853" w14:textId="4000D242" w:rsidR="00C521CB" w:rsidRDefault="00923650">
      <w:pPr>
        <w:ind w:firstLine="317"/>
      </w:pPr>
      <w:r>
        <w:t xml:space="preserve">Read stage by stage, the chain is technically mature at its beginning and thins toward its end. Stage 0 is well populated: native-wrist mechanics, disease-specific constraints and musculotendinous </w:t>
      </w:r>
      <w:r w:rsidR="00A71CFF">
        <w:t xml:space="preserve">behavior </w:t>
      </w:r>
      <w:r>
        <w:t xml:space="preserve">are documented in enough detail to yield a </w:t>
      </w:r>
      <w:proofErr w:type="gramStart"/>
      <w:r>
        <w:t>traceable requirements</w:t>
      </w:r>
      <w:proofErr w:type="gramEnd"/>
      <w:r>
        <w:t xml:space="preserve"> set {Eschweiler 2022; Moore 2007; Jia 2026; Ryu 1991}. Stage 1 is close behind: validated protocols deliver coordinated digital anatomy and quantitative kinematic targets with stated uncertainty {</w:t>
      </w:r>
      <w:proofErr w:type="spellStart"/>
      <w:r>
        <w:t>Pfaeffle</w:t>
      </w:r>
      <w:proofErr w:type="spellEnd"/>
      <w:r>
        <w:t xml:space="preserve"> 2005; </w:t>
      </w:r>
      <w:proofErr w:type="spellStart"/>
      <w:r>
        <w:t>Akhbari</w:t>
      </w:r>
      <w:proofErr w:type="spellEnd"/>
      <w:r>
        <w:t xml:space="preserve"> 2019; Zhao 2015; Crisco 2026}, and automated segmentation has reached routine quality for most wrists {</w:t>
      </w:r>
      <w:proofErr w:type="spellStart"/>
      <w:r>
        <w:t>Teule</w:t>
      </w:r>
      <w:proofErr w:type="spellEnd"/>
      <w:r>
        <w:t xml:space="preserve"> 2024; Anas 2016; Isensee 2021; Ma 2024}. Stage 2 is established at cohort level: coupled multibody and </w:t>
      </w:r>
      <w:r w:rsidR="00583DA5">
        <w:t>FEA</w:t>
      </w:r>
      <w:r>
        <w:t xml:space="preserve"> predicts the quantities the requirements name {Eschweiler 2022; Gislason 2017; Eschweiler 2016; Bavil 2026}. Stage 3 has demonstrated feasibility, including fully customized implants in clinical use {Xiao 2026; Wei 2025; Cai 2023}. Stage 4 is qualified in adjacent domains, though wrist-specific evidence is thin {Wang 2016; Mani 2024; Abd-</w:t>
      </w:r>
      <w:proofErr w:type="spellStart"/>
      <w:r>
        <w:t>Elaziem</w:t>
      </w:r>
      <w:proofErr w:type="spellEnd"/>
      <w:r>
        <w:t xml:space="preserve"> 2024; </w:t>
      </w:r>
      <w:proofErr w:type="spellStart"/>
      <w:r>
        <w:t>Kutluay</w:t>
      </w:r>
      <w:proofErr w:type="spellEnd"/>
      <w:r>
        <w:t xml:space="preserve"> 2026}. Stage 5 is the least populated: verification instruments exist {Lind 2026; Koo 2026; </w:t>
      </w:r>
      <w:proofErr w:type="spellStart"/>
      <w:r>
        <w:t>Jürgens-Lahnstein</w:t>
      </w:r>
      <w:proofErr w:type="spellEnd"/>
      <w:r>
        <w:t xml:space="preserve"> 2026}, but no wrist implant has been carried through the full chain with its evidence documented. The transitions between stages are where support weakens: imaging-to-biomechanics coordination remains </w:t>
      </w:r>
      <w:r w:rsidR="008F1480">
        <w:t>center</w:t>
      </w:r>
      <w:r>
        <w:t>-specific {Moore 2007; Eschweiler 2022; Pfaeffle 2005}; almost any frozen geometry can be built, but the wrist-specific bearing and fixation evidence needed to justify the build is scarce {Xiao 2026; Mani 2024}; predicted and delivered mechanics have almost never been compared systematically {</w:t>
      </w:r>
      <w:proofErr w:type="spellStart"/>
      <w:r>
        <w:t>Akhbari</w:t>
      </w:r>
      <w:proofErr w:type="spellEnd"/>
      <w:r>
        <w:t xml:space="preserve"> 2020}; and no published workflow returns surveillance data into an updated patient-specific model. This ladder carries the caveat that recurs throughout the Review: several items counted as established at Stages 0 to 2 rest on adjacent-joint, cadaveric or single-design evidence, thinning exactly where the pathway depends on it. The transitions are the subject of the interpretive decision that follows.</w:t>
      </w:r>
    </w:p>
    <w:p w14:paraId="188F767C" w14:textId="77777777" w:rsidR="00C521CB" w:rsidRDefault="00923650">
      <w:pPr>
        <w:ind w:firstLine="317"/>
      </w:pPr>
      <w:r>
        <w:t>A central interpretive decision follows from this inventory, and it should be stated openly rather than assumed. The assembled evidence supports two readings of where the binding constraint lies. The measurement-first reading holds that instrumentation is the constraint: until a telemetered wrist implant and wrist-specific test standards exist, no design pathway can be verified, and integration effort would be premature. The integration-first reading, which this Review adopts, holds that the historical record itself discriminates between the two: four generations of improving individual technologies have not translated into predictable survivorship, whereas every change of design concept has reliably changed the dominant failure mode {</w:t>
      </w:r>
      <w:proofErr w:type="spellStart"/>
      <w:r>
        <w:t>Reigstad</w:t>
      </w:r>
      <w:proofErr w:type="spellEnd"/>
      <w:r>
        <w:t xml:space="preserve"> 2025; </w:t>
      </w:r>
      <w:proofErr w:type="spellStart"/>
      <w:r>
        <w:t>Zijlker</w:t>
      </w:r>
      <w:proofErr w:type="spellEnd"/>
      <w:r>
        <w:t xml:space="preserve"> 2022; Kennedy 2016; Newton 2023}, which indicates that design-process variables, not component quality, currently bound outcomes.</w:t>
      </w:r>
    </w:p>
    <w:p w14:paraId="52C1301D" w14:textId="77777777" w:rsidR="00C521CB" w:rsidRDefault="00923650">
      <w:pPr>
        <w:ind w:firstLine="317"/>
      </w:pPr>
      <w:r>
        <w:t xml:space="preserve">The two readings are not exclusive, and the claim this Review makes is deliberately conditional. Telemetric load data and wrist-specific standards would serve exactly the verification stages that the integrated pathway defines (Sections 7.1 and 8.6), so measurement infrastructure is a component of the pathway rather than an alternative to it. What would weaken the integration-first reading is an episode in which a measurement </w:t>
      </w:r>
      <w:proofErr w:type="gramStart"/>
      <w:r>
        <w:t>advance</w:t>
      </w:r>
      <w:proofErr w:type="gramEnd"/>
      <w:r>
        <w:t xml:space="preserve"> alone improved survivorship without any change in design methodology; no such episode appears in the assembled literature. Equally, the integration-first reading cannot promise that completing all six stages would improve survivorship; that is an empirical question this Review can pose and specify (Section 8.6) but not settle.</w:t>
      </w:r>
    </w:p>
    <w:p w14:paraId="585FA3CC" w14:textId="77777777" w:rsidR="00C521CB" w:rsidRDefault="00923650">
      <w:pPr>
        <w:ind w:firstLine="317"/>
      </w:pPr>
      <w:r>
        <w:t xml:space="preserve"> Table 4 | Consolidated evidence base across the six-stage pathway</w:t>
      </w:r>
    </w:p>
    <w:tbl>
      <w:tblPr>
        <w:tblW w:w="0" w:type="auto"/>
        <w:jc w:val="center"/>
        <w:tblLayout w:type="fixed"/>
        <w:tblLook w:val="04A0" w:firstRow="1" w:lastRow="0" w:firstColumn="1" w:lastColumn="0" w:noHBand="0" w:noVBand="1"/>
      </w:tblPr>
      <w:tblGrid>
        <w:gridCol w:w="1750"/>
        <w:gridCol w:w="620"/>
        <w:gridCol w:w="1560"/>
        <w:gridCol w:w="3300"/>
        <w:gridCol w:w="2330"/>
      </w:tblGrid>
      <w:tr w:rsidR="00C521CB" w14:paraId="7F82268D" w14:textId="77777777">
        <w:trPr>
          <w:cantSplit/>
          <w:tblHeader/>
          <w:jc w:val="center"/>
        </w:trPr>
        <w:tc>
          <w:tcPr>
            <w:tcW w:w="1750" w:type="dxa"/>
            <w:shd w:val="clear" w:color="auto" w:fill="E8EEF2"/>
            <w:tcMar>
              <w:top w:w="70" w:type="dxa"/>
              <w:left w:w="90" w:type="dxa"/>
              <w:bottom w:w="70" w:type="dxa"/>
              <w:right w:w="90" w:type="dxa"/>
            </w:tcMar>
            <w:vAlign w:val="center"/>
          </w:tcPr>
          <w:p w14:paraId="681BAC16" w14:textId="77777777" w:rsidR="00C521CB" w:rsidRDefault="00923650">
            <w:pPr>
              <w:jc w:val="left"/>
            </w:pPr>
            <w:r>
              <w:rPr>
                <w:rFonts w:ascii="Arial" w:hAnsi="Arial"/>
                <w:color w:val="223A49"/>
                <w:sz w:val="15"/>
              </w:rPr>
              <w:t>Study (pathway stage)</w:t>
            </w:r>
          </w:p>
        </w:tc>
        <w:tc>
          <w:tcPr>
            <w:tcW w:w="620" w:type="dxa"/>
            <w:shd w:val="clear" w:color="auto" w:fill="E8EEF2"/>
            <w:tcMar>
              <w:top w:w="70" w:type="dxa"/>
              <w:left w:w="90" w:type="dxa"/>
              <w:bottom w:w="70" w:type="dxa"/>
              <w:right w:w="90" w:type="dxa"/>
            </w:tcMar>
            <w:vAlign w:val="center"/>
          </w:tcPr>
          <w:p w14:paraId="08A5C62D" w14:textId="77777777" w:rsidR="00C521CB" w:rsidRDefault="00923650">
            <w:pPr>
              <w:jc w:val="left"/>
            </w:pPr>
            <w:r>
              <w:rPr>
                <w:rFonts w:ascii="Arial" w:hAnsi="Arial"/>
                <w:color w:val="223A49"/>
                <w:sz w:val="15"/>
              </w:rPr>
              <w:t>Year</w:t>
            </w:r>
          </w:p>
        </w:tc>
        <w:tc>
          <w:tcPr>
            <w:tcW w:w="1560" w:type="dxa"/>
            <w:shd w:val="clear" w:color="auto" w:fill="E8EEF2"/>
            <w:tcMar>
              <w:top w:w="70" w:type="dxa"/>
              <w:left w:w="90" w:type="dxa"/>
              <w:bottom w:w="70" w:type="dxa"/>
              <w:right w:w="90" w:type="dxa"/>
            </w:tcMar>
            <w:vAlign w:val="center"/>
          </w:tcPr>
          <w:p w14:paraId="5AB05B54" w14:textId="77777777" w:rsidR="00C521CB" w:rsidRDefault="00923650">
            <w:pPr>
              <w:jc w:val="left"/>
            </w:pPr>
            <w:r>
              <w:rPr>
                <w:rFonts w:ascii="Arial" w:hAnsi="Arial"/>
                <w:color w:val="223A49"/>
                <w:sz w:val="15"/>
              </w:rPr>
              <w:t>Evidence type</w:t>
            </w:r>
          </w:p>
        </w:tc>
        <w:tc>
          <w:tcPr>
            <w:tcW w:w="3300" w:type="dxa"/>
            <w:shd w:val="clear" w:color="auto" w:fill="E8EEF2"/>
            <w:tcMar>
              <w:top w:w="70" w:type="dxa"/>
              <w:left w:w="90" w:type="dxa"/>
              <w:bottom w:w="70" w:type="dxa"/>
              <w:right w:w="90" w:type="dxa"/>
            </w:tcMar>
            <w:vAlign w:val="center"/>
          </w:tcPr>
          <w:p w14:paraId="3AAC7B16" w14:textId="77777777" w:rsidR="00C521CB" w:rsidRDefault="00923650">
            <w:pPr>
              <w:jc w:val="left"/>
            </w:pPr>
            <w:r>
              <w:rPr>
                <w:rFonts w:ascii="Arial" w:hAnsi="Arial"/>
                <w:color w:val="223A49"/>
                <w:sz w:val="15"/>
              </w:rPr>
              <w:t>Key finding</w:t>
            </w:r>
          </w:p>
        </w:tc>
        <w:tc>
          <w:tcPr>
            <w:tcW w:w="2330" w:type="dxa"/>
            <w:shd w:val="clear" w:color="auto" w:fill="E8EEF2"/>
            <w:tcMar>
              <w:top w:w="70" w:type="dxa"/>
              <w:left w:w="90" w:type="dxa"/>
              <w:bottom w:w="70" w:type="dxa"/>
              <w:right w:w="90" w:type="dxa"/>
            </w:tcMar>
            <w:vAlign w:val="center"/>
          </w:tcPr>
          <w:p w14:paraId="05FABF1B" w14:textId="77777777" w:rsidR="00C521CB" w:rsidRDefault="00923650">
            <w:pPr>
              <w:jc w:val="left"/>
            </w:pPr>
            <w:r>
              <w:rPr>
                <w:rFonts w:ascii="Arial" w:hAnsi="Arial"/>
                <w:color w:val="223A49"/>
                <w:sz w:val="15"/>
              </w:rPr>
              <w:t>Implication for the pathway</w:t>
            </w:r>
          </w:p>
        </w:tc>
      </w:tr>
      <w:tr w:rsidR="00C521CB" w14:paraId="4590518C" w14:textId="77777777">
        <w:trPr>
          <w:cantSplit/>
          <w:jc w:val="center"/>
        </w:trPr>
        <w:tc>
          <w:tcPr>
            <w:tcW w:w="1750" w:type="dxa"/>
            <w:tcMar>
              <w:top w:w="70" w:type="dxa"/>
              <w:left w:w="90" w:type="dxa"/>
              <w:bottom w:w="70" w:type="dxa"/>
              <w:right w:w="90" w:type="dxa"/>
            </w:tcMar>
            <w:vAlign w:val="center"/>
          </w:tcPr>
          <w:p w14:paraId="3F0DF4D2" w14:textId="77777777" w:rsidR="00C521CB" w:rsidRDefault="00923650">
            <w:pPr>
              <w:jc w:val="left"/>
            </w:pPr>
            <w:r>
              <w:rPr>
                <w:rFonts w:ascii="Arial" w:hAnsi="Arial"/>
                <w:sz w:val="16"/>
              </w:rPr>
              <w:t>Stage 0: Study</w:t>
            </w:r>
          </w:p>
        </w:tc>
        <w:tc>
          <w:tcPr>
            <w:tcW w:w="620" w:type="dxa"/>
            <w:tcMar>
              <w:top w:w="70" w:type="dxa"/>
              <w:left w:w="90" w:type="dxa"/>
              <w:bottom w:w="70" w:type="dxa"/>
              <w:right w:w="90" w:type="dxa"/>
            </w:tcMar>
            <w:vAlign w:val="center"/>
          </w:tcPr>
          <w:p w14:paraId="1575F109" w14:textId="77777777" w:rsidR="00C521CB" w:rsidRDefault="00923650">
            <w:pPr>
              <w:jc w:val="left"/>
            </w:pPr>
            <w:r>
              <w:rPr>
                <w:rFonts w:ascii="Arial" w:hAnsi="Arial"/>
                <w:sz w:val="16"/>
              </w:rPr>
              <w:t>Year</w:t>
            </w:r>
          </w:p>
        </w:tc>
        <w:tc>
          <w:tcPr>
            <w:tcW w:w="1560" w:type="dxa"/>
            <w:tcMar>
              <w:top w:w="70" w:type="dxa"/>
              <w:left w:w="90" w:type="dxa"/>
              <w:bottom w:w="70" w:type="dxa"/>
              <w:right w:w="90" w:type="dxa"/>
            </w:tcMar>
            <w:vAlign w:val="center"/>
          </w:tcPr>
          <w:p w14:paraId="68ACAA74" w14:textId="77777777" w:rsidR="00C521CB" w:rsidRDefault="00923650">
            <w:pPr>
              <w:jc w:val="left"/>
            </w:pPr>
            <w:r>
              <w:rPr>
                <w:rFonts w:ascii="Arial" w:hAnsi="Arial"/>
                <w:sz w:val="16"/>
              </w:rPr>
              <w:t>Evidence type</w:t>
            </w:r>
          </w:p>
        </w:tc>
        <w:tc>
          <w:tcPr>
            <w:tcW w:w="3300" w:type="dxa"/>
            <w:tcMar>
              <w:top w:w="70" w:type="dxa"/>
              <w:left w:w="90" w:type="dxa"/>
              <w:bottom w:w="70" w:type="dxa"/>
              <w:right w:w="90" w:type="dxa"/>
            </w:tcMar>
            <w:vAlign w:val="center"/>
          </w:tcPr>
          <w:p w14:paraId="43140938" w14:textId="77777777" w:rsidR="00C521CB" w:rsidRDefault="00923650">
            <w:pPr>
              <w:jc w:val="left"/>
            </w:pPr>
            <w:r>
              <w:rPr>
                <w:rFonts w:ascii="Arial" w:hAnsi="Arial"/>
                <w:sz w:val="16"/>
              </w:rPr>
              <w:t>Key finding</w:t>
            </w:r>
          </w:p>
        </w:tc>
        <w:tc>
          <w:tcPr>
            <w:tcW w:w="2330" w:type="dxa"/>
            <w:tcMar>
              <w:top w:w="70" w:type="dxa"/>
              <w:left w:w="90" w:type="dxa"/>
              <w:bottom w:w="70" w:type="dxa"/>
              <w:right w:w="90" w:type="dxa"/>
            </w:tcMar>
            <w:vAlign w:val="center"/>
          </w:tcPr>
          <w:p w14:paraId="72B28474" w14:textId="77777777" w:rsidR="00C521CB" w:rsidRDefault="00923650">
            <w:pPr>
              <w:jc w:val="left"/>
            </w:pPr>
            <w:r>
              <w:rPr>
                <w:rFonts w:ascii="Arial" w:hAnsi="Arial"/>
                <w:sz w:val="16"/>
              </w:rPr>
              <w:t>Requirement informed</w:t>
            </w:r>
          </w:p>
        </w:tc>
      </w:tr>
      <w:tr w:rsidR="00C521CB" w14:paraId="3C012FDC" w14:textId="77777777">
        <w:trPr>
          <w:cantSplit/>
          <w:jc w:val="center"/>
        </w:trPr>
        <w:tc>
          <w:tcPr>
            <w:tcW w:w="1750" w:type="dxa"/>
            <w:tcMar>
              <w:top w:w="70" w:type="dxa"/>
              <w:left w:w="90" w:type="dxa"/>
              <w:bottom w:w="70" w:type="dxa"/>
              <w:right w:w="90" w:type="dxa"/>
            </w:tcMar>
            <w:vAlign w:val="center"/>
          </w:tcPr>
          <w:p w14:paraId="4C9547FE" w14:textId="77777777" w:rsidR="00C521CB" w:rsidRPr="00BE3B19" w:rsidRDefault="00923650">
            <w:pPr>
              <w:jc w:val="left"/>
              <w:rPr>
                <w:lang w:val="de-DE"/>
              </w:rPr>
            </w:pPr>
            <w:r w:rsidRPr="00BE3B19">
              <w:rPr>
                <w:rFonts w:ascii="Arial" w:hAnsi="Arial"/>
                <w:sz w:val="16"/>
                <w:lang w:val="de-DE"/>
              </w:rPr>
              <w:t>Stage 0: Eschweiler et al. {Eschweiler 2022}</w:t>
            </w:r>
          </w:p>
        </w:tc>
        <w:tc>
          <w:tcPr>
            <w:tcW w:w="620" w:type="dxa"/>
            <w:tcMar>
              <w:top w:w="70" w:type="dxa"/>
              <w:left w:w="90" w:type="dxa"/>
              <w:bottom w:w="70" w:type="dxa"/>
              <w:right w:w="90" w:type="dxa"/>
            </w:tcMar>
            <w:vAlign w:val="center"/>
          </w:tcPr>
          <w:p w14:paraId="15F7B6D7" w14:textId="77777777" w:rsidR="00C521CB" w:rsidRDefault="00923650">
            <w:pPr>
              <w:jc w:val="left"/>
            </w:pPr>
            <w:r>
              <w:rPr>
                <w:rFonts w:ascii="Arial" w:hAnsi="Arial"/>
                <w:sz w:val="16"/>
              </w:rPr>
              <w:t>2022</w:t>
            </w:r>
          </w:p>
        </w:tc>
        <w:tc>
          <w:tcPr>
            <w:tcW w:w="1560" w:type="dxa"/>
            <w:tcMar>
              <w:top w:w="70" w:type="dxa"/>
              <w:left w:w="90" w:type="dxa"/>
              <w:bottom w:w="70" w:type="dxa"/>
              <w:right w:w="90" w:type="dxa"/>
            </w:tcMar>
            <w:vAlign w:val="center"/>
          </w:tcPr>
          <w:p w14:paraId="5B2E083B" w14:textId="77777777" w:rsidR="00C521CB" w:rsidRDefault="00923650">
            <w:pPr>
              <w:jc w:val="left"/>
            </w:pPr>
            <w:r>
              <w:rPr>
                <w:rFonts w:ascii="Arial" w:hAnsi="Arial"/>
                <w:sz w:val="16"/>
              </w:rPr>
              <w:t>Narrative review of anatomy, biomechanics and loads</w:t>
            </w:r>
          </w:p>
        </w:tc>
        <w:tc>
          <w:tcPr>
            <w:tcW w:w="3300" w:type="dxa"/>
            <w:tcMar>
              <w:top w:w="70" w:type="dxa"/>
              <w:left w:w="90" w:type="dxa"/>
              <w:bottom w:w="70" w:type="dxa"/>
              <w:right w:w="90" w:type="dxa"/>
            </w:tcMar>
            <w:vAlign w:val="center"/>
          </w:tcPr>
          <w:p w14:paraId="0FFEAD22" w14:textId="77777777" w:rsidR="00C521CB" w:rsidRDefault="00923650">
            <w:pPr>
              <w:jc w:val="left"/>
            </w:pPr>
            <w:r>
              <w:rPr>
                <w:rFonts w:ascii="Arial" w:hAnsi="Arial"/>
                <w:sz w:val="16"/>
              </w:rPr>
              <w:t>~80/20 radiocarpal/ulnocarpal load split with posture-dependent contact migration</w:t>
            </w:r>
          </w:p>
        </w:tc>
        <w:tc>
          <w:tcPr>
            <w:tcW w:w="2330" w:type="dxa"/>
            <w:tcMar>
              <w:top w:w="70" w:type="dxa"/>
              <w:left w:w="90" w:type="dxa"/>
              <w:bottom w:w="70" w:type="dxa"/>
              <w:right w:w="90" w:type="dxa"/>
            </w:tcMar>
            <w:vAlign w:val="center"/>
          </w:tcPr>
          <w:p w14:paraId="3844A1D5" w14:textId="77777777" w:rsidR="00C521CB" w:rsidRDefault="00923650">
            <w:pPr>
              <w:jc w:val="left"/>
            </w:pPr>
            <w:r>
              <w:rPr>
                <w:rFonts w:ascii="Arial" w:hAnsi="Arial"/>
                <w:sz w:val="16"/>
              </w:rPr>
              <w:t>R2 distributed load transfer</w:t>
            </w:r>
          </w:p>
        </w:tc>
      </w:tr>
      <w:tr w:rsidR="00C521CB" w14:paraId="49FC19DF" w14:textId="77777777">
        <w:trPr>
          <w:cantSplit/>
          <w:jc w:val="center"/>
        </w:trPr>
        <w:tc>
          <w:tcPr>
            <w:tcW w:w="1750" w:type="dxa"/>
            <w:tcMar>
              <w:top w:w="70" w:type="dxa"/>
              <w:left w:w="90" w:type="dxa"/>
              <w:bottom w:w="70" w:type="dxa"/>
              <w:right w:w="90" w:type="dxa"/>
            </w:tcMar>
            <w:vAlign w:val="center"/>
          </w:tcPr>
          <w:p w14:paraId="1495EFB4" w14:textId="77777777" w:rsidR="00C521CB" w:rsidRDefault="00923650">
            <w:pPr>
              <w:jc w:val="left"/>
            </w:pPr>
            <w:r>
              <w:rPr>
                <w:rFonts w:ascii="Arial" w:hAnsi="Arial"/>
                <w:sz w:val="16"/>
              </w:rPr>
              <w:lastRenderedPageBreak/>
              <w:t xml:space="preserve">Stage 0: </w:t>
            </w:r>
            <w:proofErr w:type="spellStart"/>
            <w:r>
              <w:rPr>
                <w:rFonts w:ascii="Arial" w:hAnsi="Arial"/>
                <w:sz w:val="16"/>
              </w:rPr>
              <w:t>Moritomo</w:t>
            </w:r>
            <w:proofErr w:type="spellEnd"/>
            <w:r>
              <w:rPr>
                <w:rFonts w:ascii="Arial" w:hAnsi="Arial"/>
                <w:sz w:val="16"/>
              </w:rPr>
              <w:t xml:space="preserve"> et al. {</w:t>
            </w:r>
            <w:proofErr w:type="spellStart"/>
            <w:r>
              <w:rPr>
                <w:rFonts w:ascii="Arial" w:hAnsi="Arial"/>
                <w:sz w:val="16"/>
              </w:rPr>
              <w:t>Moritomo</w:t>
            </w:r>
            <w:proofErr w:type="spellEnd"/>
            <w:r>
              <w:rPr>
                <w:rFonts w:ascii="Arial" w:hAnsi="Arial"/>
                <w:sz w:val="16"/>
              </w:rPr>
              <w:t xml:space="preserve"> 2007}</w:t>
            </w:r>
          </w:p>
        </w:tc>
        <w:tc>
          <w:tcPr>
            <w:tcW w:w="620" w:type="dxa"/>
            <w:tcMar>
              <w:top w:w="70" w:type="dxa"/>
              <w:left w:w="90" w:type="dxa"/>
              <w:bottom w:w="70" w:type="dxa"/>
              <w:right w:w="90" w:type="dxa"/>
            </w:tcMar>
            <w:vAlign w:val="center"/>
          </w:tcPr>
          <w:p w14:paraId="57198BA1" w14:textId="77777777" w:rsidR="00C521CB" w:rsidRDefault="00923650">
            <w:pPr>
              <w:jc w:val="left"/>
            </w:pPr>
            <w:r>
              <w:rPr>
                <w:rFonts w:ascii="Arial" w:hAnsi="Arial"/>
                <w:sz w:val="16"/>
              </w:rPr>
              <w:t>2007</w:t>
            </w:r>
          </w:p>
        </w:tc>
        <w:tc>
          <w:tcPr>
            <w:tcW w:w="1560" w:type="dxa"/>
            <w:tcMar>
              <w:top w:w="70" w:type="dxa"/>
              <w:left w:w="90" w:type="dxa"/>
              <w:bottom w:w="70" w:type="dxa"/>
              <w:right w:w="90" w:type="dxa"/>
            </w:tcMar>
            <w:vAlign w:val="center"/>
          </w:tcPr>
          <w:p w14:paraId="0A0E8505" w14:textId="77777777" w:rsidR="00C521CB" w:rsidRDefault="00923650">
            <w:pPr>
              <w:jc w:val="left"/>
            </w:pPr>
            <w:r>
              <w:rPr>
                <w:rFonts w:ascii="Arial" w:hAnsi="Arial"/>
                <w:sz w:val="16"/>
              </w:rPr>
              <w:t>IFSSH committee report on DTM</w:t>
            </w:r>
          </w:p>
        </w:tc>
        <w:tc>
          <w:tcPr>
            <w:tcW w:w="3300" w:type="dxa"/>
            <w:tcMar>
              <w:top w:w="70" w:type="dxa"/>
              <w:left w:w="90" w:type="dxa"/>
              <w:bottom w:w="70" w:type="dxa"/>
              <w:right w:w="90" w:type="dxa"/>
            </w:tcMar>
            <w:vAlign w:val="center"/>
          </w:tcPr>
          <w:p w14:paraId="6A11C903" w14:textId="5A9F0071" w:rsidR="00C521CB" w:rsidRDefault="00923650">
            <w:pPr>
              <w:jc w:val="left"/>
            </w:pPr>
            <w:r>
              <w:rPr>
                <w:rFonts w:ascii="Arial" w:hAnsi="Arial"/>
                <w:sz w:val="16"/>
              </w:rPr>
              <w:t xml:space="preserve">DTM is oblique and midcarpal-dominant; proximal-row </w:t>
            </w:r>
            <w:r w:rsidR="00A71CFF">
              <w:rPr>
                <w:rFonts w:ascii="Arial" w:hAnsi="Arial"/>
                <w:sz w:val="16"/>
              </w:rPr>
              <w:t xml:space="preserve">behavior </w:t>
            </w:r>
            <w:r>
              <w:rPr>
                <w:rFonts w:ascii="Arial" w:hAnsi="Arial"/>
                <w:sz w:val="16"/>
              </w:rPr>
              <w:t>is path-dependent</w:t>
            </w:r>
          </w:p>
        </w:tc>
        <w:tc>
          <w:tcPr>
            <w:tcW w:w="2330" w:type="dxa"/>
            <w:tcMar>
              <w:top w:w="70" w:type="dxa"/>
              <w:left w:w="90" w:type="dxa"/>
              <w:bottom w:w="70" w:type="dxa"/>
              <w:right w:w="90" w:type="dxa"/>
            </w:tcMar>
            <w:vAlign w:val="center"/>
          </w:tcPr>
          <w:p w14:paraId="47595AC5" w14:textId="77777777" w:rsidR="00C521CB" w:rsidRDefault="00923650">
            <w:pPr>
              <w:jc w:val="left"/>
            </w:pPr>
            <w:r>
              <w:rPr>
                <w:rFonts w:ascii="Arial" w:hAnsi="Arial"/>
                <w:sz w:val="16"/>
              </w:rPr>
              <w:t>R1 multi-path motion assessment</w:t>
            </w:r>
          </w:p>
        </w:tc>
      </w:tr>
      <w:tr w:rsidR="00C521CB" w14:paraId="72C60CDB" w14:textId="77777777">
        <w:trPr>
          <w:cantSplit/>
          <w:jc w:val="center"/>
        </w:trPr>
        <w:tc>
          <w:tcPr>
            <w:tcW w:w="1750" w:type="dxa"/>
            <w:tcMar>
              <w:top w:w="70" w:type="dxa"/>
              <w:left w:w="90" w:type="dxa"/>
              <w:bottom w:w="70" w:type="dxa"/>
              <w:right w:w="90" w:type="dxa"/>
            </w:tcMar>
            <w:vAlign w:val="center"/>
          </w:tcPr>
          <w:p w14:paraId="677965D6" w14:textId="77777777" w:rsidR="00C521CB" w:rsidRDefault="00923650">
            <w:pPr>
              <w:jc w:val="left"/>
            </w:pPr>
            <w:r>
              <w:rPr>
                <w:rFonts w:ascii="Arial" w:hAnsi="Arial"/>
                <w:sz w:val="16"/>
              </w:rPr>
              <w:t>Stage 0: Moore et al. {Moore 2007}</w:t>
            </w:r>
          </w:p>
        </w:tc>
        <w:tc>
          <w:tcPr>
            <w:tcW w:w="620" w:type="dxa"/>
            <w:tcMar>
              <w:top w:w="70" w:type="dxa"/>
              <w:left w:w="90" w:type="dxa"/>
              <w:bottom w:w="70" w:type="dxa"/>
              <w:right w:w="90" w:type="dxa"/>
            </w:tcMar>
            <w:vAlign w:val="center"/>
          </w:tcPr>
          <w:p w14:paraId="3744BD2D" w14:textId="77777777" w:rsidR="00C521CB" w:rsidRDefault="00923650">
            <w:pPr>
              <w:jc w:val="left"/>
            </w:pPr>
            <w:r>
              <w:rPr>
                <w:rFonts w:ascii="Arial" w:hAnsi="Arial"/>
                <w:sz w:val="16"/>
              </w:rPr>
              <w:t>2007</w:t>
            </w:r>
          </w:p>
        </w:tc>
        <w:tc>
          <w:tcPr>
            <w:tcW w:w="1560" w:type="dxa"/>
            <w:tcMar>
              <w:top w:w="70" w:type="dxa"/>
              <w:left w:w="90" w:type="dxa"/>
              <w:bottom w:w="70" w:type="dxa"/>
              <w:right w:w="90" w:type="dxa"/>
            </w:tcMar>
            <w:vAlign w:val="center"/>
          </w:tcPr>
          <w:p w14:paraId="631A398B" w14:textId="77777777" w:rsidR="00C521CB" w:rsidRDefault="00923650">
            <w:pPr>
              <w:jc w:val="left"/>
            </w:pPr>
            <w:r>
              <w:rPr>
                <w:rFonts w:ascii="Arial" w:hAnsi="Arial"/>
                <w:sz w:val="16"/>
              </w:rPr>
              <w:t>Digital anatomy and kinematics database</w:t>
            </w:r>
          </w:p>
        </w:tc>
        <w:tc>
          <w:tcPr>
            <w:tcW w:w="3300" w:type="dxa"/>
            <w:tcMar>
              <w:top w:w="70" w:type="dxa"/>
              <w:left w:w="90" w:type="dxa"/>
              <w:bottom w:w="70" w:type="dxa"/>
              <w:right w:w="90" w:type="dxa"/>
            </w:tcMar>
            <w:vAlign w:val="center"/>
          </w:tcPr>
          <w:p w14:paraId="001E6D4E" w14:textId="77777777" w:rsidR="00C521CB" w:rsidRDefault="00923650">
            <w:pPr>
              <w:jc w:val="left"/>
            </w:pPr>
            <w:r>
              <w:rPr>
                <w:rFonts w:ascii="Arial" w:hAnsi="Arial"/>
                <w:sz w:val="16"/>
              </w:rPr>
              <w:t>Six-degree-of-freedom carpal bone poses in living subjects</w:t>
            </w:r>
          </w:p>
        </w:tc>
        <w:tc>
          <w:tcPr>
            <w:tcW w:w="2330" w:type="dxa"/>
            <w:tcMar>
              <w:top w:w="70" w:type="dxa"/>
              <w:left w:w="90" w:type="dxa"/>
              <w:bottom w:w="70" w:type="dxa"/>
              <w:right w:w="90" w:type="dxa"/>
            </w:tcMar>
            <w:vAlign w:val="center"/>
          </w:tcPr>
          <w:p w14:paraId="2A53FAB7" w14:textId="77777777" w:rsidR="00C521CB" w:rsidRDefault="00923650">
            <w:pPr>
              <w:jc w:val="left"/>
            </w:pPr>
            <w:r>
              <w:rPr>
                <w:rFonts w:ascii="Arial" w:hAnsi="Arial"/>
                <w:sz w:val="16"/>
              </w:rPr>
              <w:t>R1, R3 quantitative motion targets</w:t>
            </w:r>
          </w:p>
        </w:tc>
      </w:tr>
      <w:tr w:rsidR="00C521CB" w14:paraId="137715E7" w14:textId="77777777">
        <w:trPr>
          <w:cantSplit/>
          <w:jc w:val="center"/>
        </w:trPr>
        <w:tc>
          <w:tcPr>
            <w:tcW w:w="1750" w:type="dxa"/>
            <w:tcMar>
              <w:top w:w="70" w:type="dxa"/>
              <w:left w:w="90" w:type="dxa"/>
              <w:bottom w:w="70" w:type="dxa"/>
              <w:right w:w="90" w:type="dxa"/>
            </w:tcMar>
            <w:vAlign w:val="center"/>
          </w:tcPr>
          <w:p w14:paraId="32E815A3" w14:textId="77777777" w:rsidR="00C521CB" w:rsidRDefault="00923650">
            <w:pPr>
              <w:jc w:val="left"/>
            </w:pPr>
            <w:r>
              <w:rPr>
                <w:rFonts w:ascii="Arial" w:hAnsi="Arial"/>
                <w:sz w:val="16"/>
              </w:rPr>
              <w:t>Stage 0: Ryu et al. {Ryu 1991}</w:t>
            </w:r>
          </w:p>
        </w:tc>
        <w:tc>
          <w:tcPr>
            <w:tcW w:w="620" w:type="dxa"/>
            <w:tcMar>
              <w:top w:w="70" w:type="dxa"/>
              <w:left w:w="90" w:type="dxa"/>
              <w:bottom w:w="70" w:type="dxa"/>
              <w:right w:w="90" w:type="dxa"/>
            </w:tcMar>
            <w:vAlign w:val="center"/>
          </w:tcPr>
          <w:p w14:paraId="0C92CD3C" w14:textId="77777777" w:rsidR="00C521CB" w:rsidRDefault="00923650">
            <w:pPr>
              <w:jc w:val="left"/>
            </w:pPr>
            <w:r>
              <w:rPr>
                <w:rFonts w:ascii="Arial" w:hAnsi="Arial"/>
                <w:sz w:val="16"/>
              </w:rPr>
              <w:t>1991</w:t>
            </w:r>
          </w:p>
        </w:tc>
        <w:tc>
          <w:tcPr>
            <w:tcW w:w="1560" w:type="dxa"/>
            <w:tcMar>
              <w:top w:w="70" w:type="dxa"/>
              <w:left w:w="90" w:type="dxa"/>
              <w:bottom w:w="70" w:type="dxa"/>
              <w:right w:w="90" w:type="dxa"/>
            </w:tcMar>
            <w:vAlign w:val="center"/>
          </w:tcPr>
          <w:p w14:paraId="76D8210E" w14:textId="77777777" w:rsidR="00C521CB" w:rsidRDefault="00923650">
            <w:pPr>
              <w:jc w:val="left"/>
            </w:pPr>
            <w:r>
              <w:rPr>
                <w:rFonts w:ascii="Arial" w:hAnsi="Arial"/>
                <w:sz w:val="16"/>
              </w:rPr>
              <w:t>Classic motion analysis of daily activities</w:t>
            </w:r>
          </w:p>
        </w:tc>
        <w:tc>
          <w:tcPr>
            <w:tcW w:w="3300" w:type="dxa"/>
            <w:tcMar>
              <w:top w:w="70" w:type="dxa"/>
              <w:left w:w="90" w:type="dxa"/>
              <w:bottom w:w="70" w:type="dxa"/>
              <w:right w:w="90" w:type="dxa"/>
            </w:tcMar>
            <w:vAlign w:val="center"/>
          </w:tcPr>
          <w:p w14:paraId="5C790102" w14:textId="77777777" w:rsidR="00C521CB" w:rsidRDefault="00923650">
            <w:pPr>
              <w:jc w:val="left"/>
            </w:pPr>
            <w:r>
              <w:rPr>
                <w:rFonts w:ascii="Arial" w:hAnsi="Arial"/>
                <w:sz w:val="16"/>
              </w:rPr>
              <w:t>Daily tasks performable within a defined functional arc</w:t>
            </w:r>
          </w:p>
        </w:tc>
        <w:tc>
          <w:tcPr>
            <w:tcW w:w="2330" w:type="dxa"/>
            <w:tcMar>
              <w:top w:w="70" w:type="dxa"/>
              <w:left w:w="90" w:type="dxa"/>
              <w:bottom w:w="70" w:type="dxa"/>
              <w:right w:w="90" w:type="dxa"/>
            </w:tcMar>
            <w:vAlign w:val="center"/>
          </w:tcPr>
          <w:p w14:paraId="29288B5C" w14:textId="77777777" w:rsidR="00C521CB" w:rsidRDefault="00923650">
            <w:pPr>
              <w:jc w:val="left"/>
            </w:pPr>
            <w:r>
              <w:rPr>
                <w:rFonts w:ascii="Arial" w:hAnsi="Arial"/>
                <w:sz w:val="16"/>
              </w:rPr>
              <w:t>R1 functional arc anchor</w:t>
            </w:r>
          </w:p>
        </w:tc>
      </w:tr>
      <w:tr w:rsidR="00C521CB" w14:paraId="3ABAF74E" w14:textId="77777777">
        <w:trPr>
          <w:cantSplit/>
          <w:jc w:val="center"/>
        </w:trPr>
        <w:tc>
          <w:tcPr>
            <w:tcW w:w="1750" w:type="dxa"/>
            <w:tcMar>
              <w:top w:w="70" w:type="dxa"/>
              <w:left w:w="90" w:type="dxa"/>
              <w:bottom w:w="70" w:type="dxa"/>
              <w:right w:w="90" w:type="dxa"/>
            </w:tcMar>
            <w:vAlign w:val="center"/>
          </w:tcPr>
          <w:p w14:paraId="5A8FEB59" w14:textId="77777777" w:rsidR="00C521CB" w:rsidRDefault="00923650">
            <w:pPr>
              <w:jc w:val="left"/>
            </w:pPr>
            <w:r>
              <w:rPr>
                <w:rFonts w:ascii="Arial" w:hAnsi="Arial"/>
                <w:sz w:val="16"/>
              </w:rPr>
              <w:t xml:space="preserve">Stage 0: </w:t>
            </w:r>
            <w:proofErr w:type="spellStart"/>
            <w:r>
              <w:rPr>
                <w:rFonts w:ascii="Arial" w:hAnsi="Arial"/>
                <w:sz w:val="16"/>
              </w:rPr>
              <w:t>Boeckstyns</w:t>
            </w:r>
            <w:proofErr w:type="spellEnd"/>
            <w:r>
              <w:rPr>
                <w:rFonts w:ascii="Arial" w:hAnsi="Arial"/>
                <w:sz w:val="16"/>
              </w:rPr>
              <w:t xml:space="preserve"> et al. {</w:t>
            </w:r>
            <w:proofErr w:type="spellStart"/>
            <w:r>
              <w:rPr>
                <w:rFonts w:ascii="Arial" w:hAnsi="Arial"/>
                <w:sz w:val="16"/>
              </w:rPr>
              <w:t>Boeckstyns</w:t>
            </w:r>
            <w:proofErr w:type="spellEnd"/>
            <w:r>
              <w:rPr>
                <w:rFonts w:ascii="Arial" w:hAnsi="Arial"/>
                <w:sz w:val="16"/>
              </w:rPr>
              <w:t xml:space="preserve"> 2013}</w:t>
            </w:r>
          </w:p>
        </w:tc>
        <w:tc>
          <w:tcPr>
            <w:tcW w:w="620" w:type="dxa"/>
            <w:tcMar>
              <w:top w:w="70" w:type="dxa"/>
              <w:left w:w="90" w:type="dxa"/>
              <w:bottom w:w="70" w:type="dxa"/>
              <w:right w:w="90" w:type="dxa"/>
            </w:tcMar>
            <w:vAlign w:val="center"/>
          </w:tcPr>
          <w:p w14:paraId="5E44AA85" w14:textId="77777777" w:rsidR="00C521CB" w:rsidRDefault="00923650">
            <w:pPr>
              <w:jc w:val="left"/>
            </w:pPr>
            <w:r>
              <w:rPr>
                <w:rFonts w:ascii="Arial" w:hAnsi="Arial"/>
                <w:sz w:val="16"/>
              </w:rPr>
              <w:t>2013</w:t>
            </w:r>
          </w:p>
        </w:tc>
        <w:tc>
          <w:tcPr>
            <w:tcW w:w="1560" w:type="dxa"/>
            <w:tcMar>
              <w:top w:w="70" w:type="dxa"/>
              <w:left w:w="90" w:type="dxa"/>
              <w:bottom w:w="70" w:type="dxa"/>
              <w:right w:w="90" w:type="dxa"/>
            </w:tcMar>
            <w:vAlign w:val="center"/>
          </w:tcPr>
          <w:p w14:paraId="0B4E8D75" w14:textId="77777777" w:rsidR="00C521CB" w:rsidRDefault="00923650">
            <w:pPr>
              <w:jc w:val="left"/>
            </w:pPr>
            <w:r>
              <w:rPr>
                <w:rFonts w:ascii="Arial" w:hAnsi="Arial"/>
                <w:sz w:val="16"/>
              </w:rPr>
              <w:t>Clinical series, post-traumatic wrists</w:t>
            </w:r>
          </w:p>
        </w:tc>
        <w:tc>
          <w:tcPr>
            <w:tcW w:w="3300" w:type="dxa"/>
            <w:tcMar>
              <w:top w:w="70" w:type="dxa"/>
              <w:left w:w="90" w:type="dxa"/>
              <w:bottom w:w="70" w:type="dxa"/>
              <w:right w:w="90" w:type="dxa"/>
            </w:tcMar>
            <w:vAlign w:val="center"/>
          </w:tcPr>
          <w:p w14:paraId="5F956C83" w14:textId="77777777" w:rsidR="00C521CB" w:rsidRDefault="00923650">
            <w:pPr>
              <w:jc w:val="left"/>
            </w:pPr>
            <w:r>
              <w:rPr>
                <w:rFonts w:ascii="Arial" w:hAnsi="Arial"/>
                <w:sz w:val="16"/>
              </w:rPr>
              <w:t>TWA feasible in the severely destroyed post-traumatic wrist with defined expectations</w:t>
            </w:r>
          </w:p>
        </w:tc>
        <w:tc>
          <w:tcPr>
            <w:tcW w:w="2330" w:type="dxa"/>
            <w:tcMar>
              <w:top w:w="70" w:type="dxa"/>
              <w:left w:w="90" w:type="dxa"/>
              <w:bottom w:w="70" w:type="dxa"/>
              <w:right w:w="90" w:type="dxa"/>
            </w:tcMar>
            <w:vAlign w:val="center"/>
          </w:tcPr>
          <w:p w14:paraId="0270C179" w14:textId="77777777" w:rsidR="00C521CB" w:rsidRDefault="00923650">
            <w:pPr>
              <w:jc w:val="left"/>
            </w:pPr>
            <w:r>
              <w:rPr>
                <w:rFonts w:ascii="Arial" w:hAnsi="Arial"/>
                <w:sz w:val="16"/>
              </w:rPr>
              <w:t>Candidacy and target-anatomy requirements</w:t>
            </w:r>
          </w:p>
        </w:tc>
      </w:tr>
      <w:tr w:rsidR="00C521CB" w14:paraId="6B536DB4" w14:textId="77777777">
        <w:trPr>
          <w:cantSplit/>
          <w:jc w:val="center"/>
        </w:trPr>
        <w:tc>
          <w:tcPr>
            <w:tcW w:w="1750" w:type="dxa"/>
            <w:tcMar>
              <w:top w:w="70" w:type="dxa"/>
              <w:left w:w="90" w:type="dxa"/>
              <w:bottom w:w="70" w:type="dxa"/>
              <w:right w:w="90" w:type="dxa"/>
            </w:tcMar>
            <w:vAlign w:val="center"/>
          </w:tcPr>
          <w:p w14:paraId="31AE3598" w14:textId="77777777" w:rsidR="00C521CB" w:rsidRDefault="00923650">
            <w:pPr>
              <w:jc w:val="left"/>
            </w:pPr>
            <w:r>
              <w:rPr>
                <w:rFonts w:ascii="Arial" w:hAnsi="Arial"/>
                <w:sz w:val="16"/>
              </w:rPr>
              <w:t xml:space="preserve">Stage 0: </w:t>
            </w:r>
            <w:proofErr w:type="spellStart"/>
            <w:r>
              <w:rPr>
                <w:rFonts w:ascii="Arial" w:hAnsi="Arial"/>
                <w:sz w:val="16"/>
              </w:rPr>
              <w:t>Gvozdenovic</w:t>
            </w:r>
            <w:proofErr w:type="spellEnd"/>
            <w:r>
              <w:rPr>
                <w:rFonts w:ascii="Arial" w:hAnsi="Arial"/>
                <w:sz w:val="16"/>
              </w:rPr>
              <w:t xml:space="preserve"> et al. {</w:t>
            </w:r>
            <w:proofErr w:type="spellStart"/>
            <w:r>
              <w:rPr>
                <w:rFonts w:ascii="Arial" w:hAnsi="Arial"/>
                <w:sz w:val="16"/>
              </w:rPr>
              <w:t>Gvozdenovic</w:t>
            </w:r>
            <w:proofErr w:type="spellEnd"/>
            <w:r>
              <w:rPr>
                <w:rFonts w:ascii="Arial" w:hAnsi="Arial"/>
                <w:sz w:val="16"/>
              </w:rPr>
              <w:t xml:space="preserve"> 2020}</w:t>
            </w:r>
          </w:p>
        </w:tc>
        <w:tc>
          <w:tcPr>
            <w:tcW w:w="620" w:type="dxa"/>
            <w:tcMar>
              <w:top w:w="70" w:type="dxa"/>
              <w:left w:w="90" w:type="dxa"/>
              <w:bottom w:w="70" w:type="dxa"/>
              <w:right w:w="90" w:type="dxa"/>
            </w:tcMar>
            <w:vAlign w:val="center"/>
          </w:tcPr>
          <w:p w14:paraId="034AD2ED" w14:textId="77777777" w:rsidR="00C521CB" w:rsidRDefault="00923650">
            <w:pPr>
              <w:jc w:val="left"/>
            </w:pPr>
            <w:r>
              <w:rPr>
                <w:rFonts w:ascii="Arial" w:hAnsi="Arial"/>
                <w:sz w:val="16"/>
              </w:rPr>
              <w:t>2020</w:t>
            </w:r>
          </w:p>
        </w:tc>
        <w:tc>
          <w:tcPr>
            <w:tcW w:w="1560" w:type="dxa"/>
            <w:tcMar>
              <w:top w:w="70" w:type="dxa"/>
              <w:left w:w="90" w:type="dxa"/>
              <w:bottom w:w="70" w:type="dxa"/>
              <w:right w:w="90" w:type="dxa"/>
            </w:tcMar>
            <w:vAlign w:val="center"/>
          </w:tcPr>
          <w:p w14:paraId="688A853E" w14:textId="77777777" w:rsidR="00C521CB" w:rsidRDefault="00923650">
            <w:pPr>
              <w:jc w:val="left"/>
            </w:pPr>
            <w:r>
              <w:rPr>
                <w:rFonts w:ascii="Arial" w:hAnsi="Arial"/>
                <w:sz w:val="16"/>
              </w:rPr>
              <w:t>Clinical series, DRUJ replacement with TWA</w:t>
            </w:r>
          </w:p>
        </w:tc>
        <w:tc>
          <w:tcPr>
            <w:tcW w:w="3300" w:type="dxa"/>
            <w:tcMar>
              <w:top w:w="70" w:type="dxa"/>
              <w:left w:w="90" w:type="dxa"/>
              <w:bottom w:w="70" w:type="dxa"/>
              <w:right w:w="90" w:type="dxa"/>
            </w:tcMar>
            <w:vAlign w:val="center"/>
          </w:tcPr>
          <w:p w14:paraId="25268FBE" w14:textId="77777777" w:rsidR="00C521CB" w:rsidRDefault="00923650">
            <w:pPr>
              <w:jc w:val="left"/>
            </w:pPr>
            <w:r>
              <w:rPr>
                <w:rFonts w:ascii="Arial" w:hAnsi="Arial"/>
                <w:sz w:val="16"/>
              </w:rPr>
              <w:t>Ulnar-head and total DRUJ replacement combinable with TWA at midterm follow-up</w:t>
            </w:r>
          </w:p>
        </w:tc>
        <w:tc>
          <w:tcPr>
            <w:tcW w:w="2330" w:type="dxa"/>
            <w:tcMar>
              <w:top w:w="70" w:type="dxa"/>
              <w:left w:w="90" w:type="dxa"/>
              <w:bottom w:w="70" w:type="dxa"/>
              <w:right w:w="90" w:type="dxa"/>
            </w:tcMar>
            <w:vAlign w:val="center"/>
          </w:tcPr>
          <w:p w14:paraId="53652BF0" w14:textId="77777777" w:rsidR="00C521CB" w:rsidRDefault="00923650">
            <w:pPr>
              <w:jc w:val="left"/>
            </w:pPr>
            <w:r>
              <w:rPr>
                <w:rFonts w:ascii="Arial" w:hAnsi="Arial"/>
                <w:sz w:val="16"/>
              </w:rPr>
              <w:t>Ulnar-column requirement (R2, R5)</w:t>
            </w:r>
          </w:p>
        </w:tc>
      </w:tr>
      <w:tr w:rsidR="00C521CB" w14:paraId="5C0B8BB6" w14:textId="77777777">
        <w:trPr>
          <w:cantSplit/>
          <w:jc w:val="center"/>
        </w:trPr>
        <w:tc>
          <w:tcPr>
            <w:tcW w:w="1750" w:type="dxa"/>
            <w:tcMar>
              <w:top w:w="70" w:type="dxa"/>
              <w:left w:w="90" w:type="dxa"/>
              <w:bottom w:w="70" w:type="dxa"/>
              <w:right w:w="90" w:type="dxa"/>
            </w:tcMar>
            <w:vAlign w:val="center"/>
          </w:tcPr>
          <w:p w14:paraId="7AA47238" w14:textId="77777777" w:rsidR="00C521CB" w:rsidRDefault="00923650">
            <w:pPr>
              <w:jc w:val="left"/>
            </w:pPr>
            <w:r>
              <w:rPr>
                <w:rFonts w:ascii="Arial" w:hAnsi="Arial"/>
                <w:sz w:val="16"/>
              </w:rPr>
              <w:t>Stage 1: Study</w:t>
            </w:r>
          </w:p>
        </w:tc>
        <w:tc>
          <w:tcPr>
            <w:tcW w:w="620" w:type="dxa"/>
            <w:tcMar>
              <w:top w:w="70" w:type="dxa"/>
              <w:left w:w="90" w:type="dxa"/>
              <w:bottom w:w="70" w:type="dxa"/>
              <w:right w:w="90" w:type="dxa"/>
            </w:tcMar>
            <w:vAlign w:val="center"/>
          </w:tcPr>
          <w:p w14:paraId="11BEDAD6" w14:textId="77777777" w:rsidR="00C521CB" w:rsidRDefault="00923650">
            <w:pPr>
              <w:jc w:val="left"/>
            </w:pPr>
            <w:r>
              <w:rPr>
                <w:rFonts w:ascii="Arial" w:hAnsi="Arial"/>
                <w:sz w:val="16"/>
              </w:rPr>
              <w:t>Year</w:t>
            </w:r>
          </w:p>
        </w:tc>
        <w:tc>
          <w:tcPr>
            <w:tcW w:w="1560" w:type="dxa"/>
            <w:tcMar>
              <w:top w:w="70" w:type="dxa"/>
              <w:left w:w="90" w:type="dxa"/>
              <w:bottom w:w="70" w:type="dxa"/>
              <w:right w:w="90" w:type="dxa"/>
            </w:tcMar>
            <w:vAlign w:val="center"/>
          </w:tcPr>
          <w:p w14:paraId="61DE0D65" w14:textId="77777777" w:rsidR="00C521CB" w:rsidRDefault="00923650">
            <w:pPr>
              <w:jc w:val="left"/>
            </w:pPr>
            <w:r>
              <w:rPr>
                <w:rFonts w:ascii="Arial" w:hAnsi="Arial"/>
                <w:sz w:val="16"/>
              </w:rPr>
              <w:t>Evidence type</w:t>
            </w:r>
          </w:p>
        </w:tc>
        <w:tc>
          <w:tcPr>
            <w:tcW w:w="3300" w:type="dxa"/>
            <w:tcMar>
              <w:top w:w="70" w:type="dxa"/>
              <w:left w:w="90" w:type="dxa"/>
              <w:bottom w:w="70" w:type="dxa"/>
              <w:right w:w="90" w:type="dxa"/>
            </w:tcMar>
            <w:vAlign w:val="center"/>
          </w:tcPr>
          <w:p w14:paraId="1EB4CABD" w14:textId="77777777" w:rsidR="00C521CB" w:rsidRDefault="00923650">
            <w:pPr>
              <w:jc w:val="left"/>
            </w:pPr>
            <w:r>
              <w:rPr>
                <w:rFonts w:ascii="Arial" w:hAnsi="Arial"/>
                <w:sz w:val="16"/>
              </w:rPr>
              <w:t>Key finding</w:t>
            </w:r>
          </w:p>
        </w:tc>
        <w:tc>
          <w:tcPr>
            <w:tcW w:w="2330" w:type="dxa"/>
            <w:tcMar>
              <w:top w:w="70" w:type="dxa"/>
              <w:left w:w="90" w:type="dxa"/>
              <w:bottom w:w="70" w:type="dxa"/>
              <w:right w:w="90" w:type="dxa"/>
            </w:tcMar>
            <w:vAlign w:val="center"/>
          </w:tcPr>
          <w:p w14:paraId="18D26F7B" w14:textId="77777777" w:rsidR="00C521CB" w:rsidRDefault="00923650">
            <w:pPr>
              <w:jc w:val="left"/>
            </w:pPr>
            <w:r>
              <w:rPr>
                <w:rFonts w:ascii="Arial" w:hAnsi="Arial"/>
                <w:sz w:val="16"/>
              </w:rPr>
              <w:t>Implication for design inputs</w:t>
            </w:r>
          </w:p>
        </w:tc>
      </w:tr>
      <w:tr w:rsidR="00C521CB" w14:paraId="281F0181" w14:textId="77777777">
        <w:trPr>
          <w:cantSplit/>
          <w:jc w:val="center"/>
        </w:trPr>
        <w:tc>
          <w:tcPr>
            <w:tcW w:w="1750" w:type="dxa"/>
            <w:tcMar>
              <w:top w:w="70" w:type="dxa"/>
              <w:left w:w="90" w:type="dxa"/>
              <w:bottom w:w="70" w:type="dxa"/>
              <w:right w:w="90" w:type="dxa"/>
            </w:tcMar>
            <w:vAlign w:val="center"/>
          </w:tcPr>
          <w:p w14:paraId="41FBB0A4" w14:textId="77777777" w:rsidR="00C521CB" w:rsidRDefault="00923650">
            <w:pPr>
              <w:jc w:val="left"/>
            </w:pPr>
            <w:r>
              <w:rPr>
                <w:rFonts w:ascii="Arial" w:hAnsi="Arial"/>
                <w:sz w:val="16"/>
              </w:rPr>
              <w:t>Stage 1: Pfaeffle et al. {Pfaeffle 2005}</w:t>
            </w:r>
          </w:p>
        </w:tc>
        <w:tc>
          <w:tcPr>
            <w:tcW w:w="620" w:type="dxa"/>
            <w:tcMar>
              <w:top w:w="70" w:type="dxa"/>
              <w:left w:w="90" w:type="dxa"/>
              <w:bottom w:w="70" w:type="dxa"/>
              <w:right w:w="90" w:type="dxa"/>
            </w:tcMar>
            <w:vAlign w:val="center"/>
          </w:tcPr>
          <w:p w14:paraId="6FB45027" w14:textId="77777777" w:rsidR="00C521CB" w:rsidRDefault="00923650">
            <w:pPr>
              <w:jc w:val="left"/>
            </w:pPr>
            <w:r>
              <w:rPr>
                <w:rFonts w:ascii="Arial" w:hAnsi="Arial"/>
                <w:sz w:val="16"/>
              </w:rPr>
              <w:t>2005</w:t>
            </w:r>
          </w:p>
        </w:tc>
        <w:tc>
          <w:tcPr>
            <w:tcW w:w="1560" w:type="dxa"/>
            <w:tcMar>
              <w:top w:w="70" w:type="dxa"/>
              <w:left w:w="90" w:type="dxa"/>
              <w:bottom w:w="70" w:type="dxa"/>
              <w:right w:w="90" w:type="dxa"/>
            </w:tcMar>
            <w:vAlign w:val="center"/>
          </w:tcPr>
          <w:p w14:paraId="7373DA6E" w14:textId="77777777" w:rsidR="00C521CB" w:rsidRDefault="00923650">
            <w:pPr>
              <w:jc w:val="left"/>
            </w:pPr>
            <w:r>
              <w:rPr>
                <w:rFonts w:ascii="Arial" w:hAnsi="Arial"/>
                <w:sz w:val="16"/>
              </w:rPr>
              <w:t>CT methodology development and validation</w:t>
            </w:r>
          </w:p>
        </w:tc>
        <w:tc>
          <w:tcPr>
            <w:tcW w:w="3300" w:type="dxa"/>
            <w:tcMar>
              <w:top w:w="70" w:type="dxa"/>
              <w:left w:w="90" w:type="dxa"/>
              <w:bottom w:w="70" w:type="dxa"/>
              <w:right w:w="90" w:type="dxa"/>
            </w:tcMar>
            <w:vAlign w:val="center"/>
          </w:tcPr>
          <w:p w14:paraId="3E8FAE50" w14:textId="77777777" w:rsidR="00C521CB" w:rsidRDefault="00923650">
            <w:pPr>
              <w:jc w:val="left"/>
            </w:pPr>
            <w:r>
              <w:rPr>
                <w:rFonts w:ascii="Arial" w:hAnsi="Arial"/>
                <w:sz w:val="16"/>
              </w:rPr>
              <w:t>Established and validated a CT-based method for measuring carpal kinematics</w:t>
            </w:r>
          </w:p>
        </w:tc>
        <w:tc>
          <w:tcPr>
            <w:tcW w:w="2330" w:type="dxa"/>
            <w:tcMar>
              <w:top w:w="70" w:type="dxa"/>
              <w:left w:w="90" w:type="dxa"/>
              <w:bottom w:w="70" w:type="dxa"/>
              <w:right w:w="90" w:type="dxa"/>
            </w:tcMar>
            <w:vAlign w:val="center"/>
          </w:tcPr>
          <w:p w14:paraId="291F12BF" w14:textId="77777777" w:rsidR="00C521CB" w:rsidRDefault="00923650">
            <w:pPr>
              <w:jc w:val="left"/>
            </w:pPr>
            <w:r>
              <w:rPr>
                <w:rFonts w:ascii="Arial" w:hAnsi="Arial"/>
                <w:sz w:val="16"/>
              </w:rPr>
              <w:t>Methodological basis for coordinate systems and kinematic validation</w:t>
            </w:r>
          </w:p>
        </w:tc>
      </w:tr>
      <w:tr w:rsidR="00C521CB" w14:paraId="1FBE355C" w14:textId="77777777">
        <w:trPr>
          <w:cantSplit/>
          <w:jc w:val="center"/>
        </w:trPr>
        <w:tc>
          <w:tcPr>
            <w:tcW w:w="1750" w:type="dxa"/>
            <w:tcMar>
              <w:top w:w="70" w:type="dxa"/>
              <w:left w:w="90" w:type="dxa"/>
              <w:bottom w:w="70" w:type="dxa"/>
              <w:right w:w="90" w:type="dxa"/>
            </w:tcMar>
            <w:vAlign w:val="center"/>
          </w:tcPr>
          <w:p w14:paraId="48897CB7" w14:textId="77777777" w:rsidR="00C521CB" w:rsidRDefault="00923650">
            <w:pPr>
              <w:jc w:val="left"/>
            </w:pPr>
            <w:r>
              <w:rPr>
                <w:rFonts w:ascii="Arial" w:hAnsi="Arial"/>
                <w:sz w:val="16"/>
              </w:rPr>
              <w:t>Stage 1: Zhao et al. {Zhao 2015}</w:t>
            </w:r>
          </w:p>
        </w:tc>
        <w:tc>
          <w:tcPr>
            <w:tcW w:w="620" w:type="dxa"/>
            <w:tcMar>
              <w:top w:w="70" w:type="dxa"/>
              <w:left w:w="90" w:type="dxa"/>
              <w:bottom w:w="70" w:type="dxa"/>
              <w:right w:w="90" w:type="dxa"/>
            </w:tcMar>
            <w:vAlign w:val="center"/>
          </w:tcPr>
          <w:p w14:paraId="5D8263ED" w14:textId="77777777" w:rsidR="00C521CB" w:rsidRDefault="00923650">
            <w:pPr>
              <w:jc w:val="left"/>
            </w:pPr>
            <w:r>
              <w:rPr>
                <w:rFonts w:ascii="Arial" w:hAnsi="Arial"/>
                <w:sz w:val="16"/>
              </w:rPr>
              <w:t>2015</w:t>
            </w:r>
          </w:p>
        </w:tc>
        <w:tc>
          <w:tcPr>
            <w:tcW w:w="1560" w:type="dxa"/>
            <w:tcMar>
              <w:top w:w="70" w:type="dxa"/>
              <w:left w:w="90" w:type="dxa"/>
              <w:bottom w:w="70" w:type="dxa"/>
              <w:right w:w="90" w:type="dxa"/>
            </w:tcMar>
            <w:vAlign w:val="center"/>
          </w:tcPr>
          <w:p w14:paraId="6E406711" w14:textId="77777777" w:rsidR="00C521CB" w:rsidRDefault="00923650">
            <w:pPr>
              <w:jc w:val="left"/>
            </w:pPr>
            <w:r>
              <w:rPr>
                <w:rFonts w:ascii="Arial" w:hAnsi="Arial"/>
                <w:sz w:val="16"/>
              </w:rPr>
              <w:t>4D CT technique and validation</w:t>
            </w:r>
          </w:p>
        </w:tc>
        <w:tc>
          <w:tcPr>
            <w:tcW w:w="3300" w:type="dxa"/>
            <w:tcMar>
              <w:top w:w="70" w:type="dxa"/>
              <w:left w:w="90" w:type="dxa"/>
              <w:bottom w:w="70" w:type="dxa"/>
              <w:right w:w="90" w:type="dxa"/>
            </w:tcMar>
            <w:vAlign w:val="center"/>
          </w:tcPr>
          <w:p w14:paraId="37BEED90" w14:textId="77777777" w:rsidR="00C521CB" w:rsidRDefault="00923650">
            <w:pPr>
              <w:jc w:val="left"/>
            </w:pPr>
            <w:r>
              <w:rPr>
                <w:rFonts w:ascii="Arial" w:hAnsi="Arial"/>
                <w:sz w:val="16"/>
              </w:rPr>
              <w:t>Four-dimensional CT quantifies continuous wrist motion with defined accuracy under controlled protocols</w:t>
            </w:r>
          </w:p>
        </w:tc>
        <w:tc>
          <w:tcPr>
            <w:tcW w:w="2330" w:type="dxa"/>
            <w:tcMar>
              <w:top w:w="70" w:type="dxa"/>
              <w:left w:w="90" w:type="dxa"/>
              <w:bottom w:w="70" w:type="dxa"/>
              <w:right w:w="90" w:type="dxa"/>
            </w:tcMar>
            <w:vAlign w:val="center"/>
          </w:tcPr>
          <w:p w14:paraId="32AC86DA" w14:textId="77777777" w:rsidR="00C521CB" w:rsidRDefault="00923650">
            <w:pPr>
              <w:jc w:val="left"/>
            </w:pPr>
            <w:r>
              <w:rPr>
                <w:rFonts w:ascii="Arial" w:hAnsi="Arial"/>
                <w:sz w:val="16"/>
              </w:rPr>
              <w:t>Supports task-driven, time-resolved acquisition as a design input</w:t>
            </w:r>
          </w:p>
        </w:tc>
      </w:tr>
      <w:tr w:rsidR="00C521CB" w14:paraId="661358A7" w14:textId="77777777">
        <w:trPr>
          <w:cantSplit/>
          <w:jc w:val="center"/>
        </w:trPr>
        <w:tc>
          <w:tcPr>
            <w:tcW w:w="1750" w:type="dxa"/>
            <w:tcMar>
              <w:top w:w="70" w:type="dxa"/>
              <w:left w:w="90" w:type="dxa"/>
              <w:bottom w:w="70" w:type="dxa"/>
              <w:right w:w="90" w:type="dxa"/>
            </w:tcMar>
            <w:vAlign w:val="center"/>
          </w:tcPr>
          <w:p w14:paraId="5F11CDEE" w14:textId="77777777" w:rsidR="00C521CB" w:rsidRDefault="00923650">
            <w:pPr>
              <w:jc w:val="left"/>
            </w:pPr>
            <w:r>
              <w:rPr>
                <w:rFonts w:ascii="Arial" w:hAnsi="Arial"/>
                <w:sz w:val="16"/>
              </w:rPr>
              <w:t>Stage 1: Moore et al. {Moore 2007}</w:t>
            </w:r>
          </w:p>
        </w:tc>
        <w:tc>
          <w:tcPr>
            <w:tcW w:w="620" w:type="dxa"/>
            <w:tcMar>
              <w:top w:w="70" w:type="dxa"/>
              <w:left w:w="90" w:type="dxa"/>
              <w:bottom w:w="70" w:type="dxa"/>
              <w:right w:w="90" w:type="dxa"/>
            </w:tcMar>
            <w:vAlign w:val="center"/>
          </w:tcPr>
          <w:p w14:paraId="4916168D" w14:textId="77777777" w:rsidR="00C521CB" w:rsidRDefault="00923650">
            <w:pPr>
              <w:jc w:val="left"/>
            </w:pPr>
            <w:r>
              <w:rPr>
                <w:rFonts w:ascii="Arial" w:hAnsi="Arial"/>
                <w:sz w:val="16"/>
              </w:rPr>
              <w:t>2007</w:t>
            </w:r>
          </w:p>
        </w:tc>
        <w:tc>
          <w:tcPr>
            <w:tcW w:w="1560" w:type="dxa"/>
            <w:tcMar>
              <w:top w:w="70" w:type="dxa"/>
              <w:left w:w="90" w:type="dxa"/>
              <w:bottom w:w="70" w:type="dxa"/>
              <w:right w:w="90" w:type="dxa"/>
            </w:tcMar>
            <w:vAlign w:val="center"/>
          </w:tcPr>
          <w:p w14:paraId="6F6BF90F" w14:textId="77777777" w:rsidR="00C521CB" w:rsidRDefault="00923650">
            <w:pPr>
              <w:jc w:val="left"/>
            </w:pPr>
            <w:r>
              <w:rPr>
                <w:rFonts w:ascii="Arial" w:hAnsi="Arial"/>
                <w:sz w:val="16"/>
              </w:rPr>
              <w:t>Digital anatomy and kinematics database</w:t>
            </w:r>
          </w:p>
        </w:tc>
        <w:tc>
          <w:tcPr>
            <w:tcW w:w="3300" w:type="dxa"/>
            <w:tcMar>
              <w:top w:w="70" w:type="dxa"/>
              <w:left w:w="90" w:type="dxa"/>
              <w:bottom w:w="70" w:type="dxa"/>
              <w:right w:w="90" w:type="dxa"/>
            </w:tcMar>
            <w:vAlign w:val="center"/>
          </w:tcPr>
          <w:p w14:paraId="1C3EAC7D" w14:textId="77777777" w:rsidR="00C521CB" w:rsidRDefault="00923650">
            <w:pPr>
              <w:jc w:val="left"/>
            </w:pPr>
            <w:r>
              <w:rPr>
                <w:rFonts w:ascii="Arial" w:hAnsi="Arial"/>
                <w:sz w:val="16"/>
              </w:rPr>
              <w:t>Population database of carpal bone geometry and motion</w:t>
            </w:r>
          </w:p>
        </w:tc>
        <w:tc>
          <w:tcPr>
            <w:tcW w:w="2330" w:type="dxa"/>
            <w:tcMar>
              <w:top w:w="70" w:type="dxa"/>
              <w:left w:w="90" w:type="dxa"/>
              <w:bottom w:w="70" w:type="dxa"/>
              <w:right w:w="90" w:type="dxa"/>
            </w:tcMar>
            <w:vAlign w:val="center"/>
          </w:tcPr>
          <w:p w14:paraId="2B6BEA96" w14:textId="77777777" w:rsidR="00C521CB" w:rsidRDefault="00923650">
            <w:pPr>
              <w:jc w:val="left"/>
            </w:pPr>
            <w:r>
              <w:rPr>
                <w:rFonts w:ascii="Arial" w:hAnsi="Arial"/>
                <w:sz w:val="16"/>
              </w:rPr>
              <w:t>Reference for reconstruction targets and population variability</w:t>
            </w:r>
          </w:p>
        </w:tc>
      </w:tr>
      <w:tr w:rsidR="00C521CB" w14:paraId="578D8B26" w14:textId="77777777">
        <w:trPr>
          <w:cantSplit/>
          <w:jc w:val="center"/>
        </w:trPr>
        <w:tc>
          <w:tcPr>
            <w:tcW w:w="1750" w:type="dxa"/>
            <w:tcMar>
              <w:top w:w="70" w:type="dxa"/>
              <w:left w:w="90" w:type="dxa"/>
              <w:bottom w:w="70" w:type="dxa"/>
              <w:right w:w="90" w:type="dxa"/>
            </w:tcMar>
            <w:vAlign w:val="center"/>
          </w:tcPr>
          <w:p w14:paraId="0F3CE88C" w14:textId="77777777" w:rsidR="00C521CB" w:rsidRPr="00BE3B19" w:rsidRDefault="00923650">
            <w:pPr>
              <w:jc w:val="left"/>
              <w:rPr>
                <w:lang w:val="de-DE"/>
              </w:rPr>
            </w:pPr>
            <w:r w:rsidRPr="00BE3B19">
              <w:rPr>
                <w:rFonts w:ascii="Arial" w:hAnsi="Arial"/>
                <w:sz w:val="16"/>
                <w:lang w:val="de-DE"/>
              </w:rPr>
              <w:t>Stage 1: Akhbari et al. {Akhbari 2019}</w:t>
            </w:r>
          </w:p>
        </w:tc>
        <w:tc>
          <w:tcPr>
            <w:tcW w:w="620" w:type="dxa"/>
            <w:tcMar>
              <w:top w:w="70" w:type="dxa"/>
              <w:left w:w="90" w:type="dxa"/>
              <w:bottom w:w="70" w:type="dxa"/>
              <w:right w:w="90" w:type="dxa"/>
            </w:tcMar>
            <w:vAlign w:val="center"/>
          </w:tcPr>
          <w:p w14:paraId="2EB1E939" w14:textId="77777777" w:rsidR="00C521CB" w:rsidRDefault="00923650">
            <w:pPr>
              <w:jc w:val="left"/>
            </w:pPr>
            <w:r>
              <w:rPr>
                <w:rFonts w:ascii="Arial" w:hAnsi="Arial"/>
                <w:sz w:val="16"/>
              </w:rPr>
              <w:t>2019</w:t>
            </w:r>
          </w:p>
        </w:tc>
        <w:tc>
          <w:tcPr>
            <w:tcW w:w="1560" w:type="dxa"/>
            <w:tcMar>
              <w:top w:w="70" w:type="dxa"/>
              <w:left w:w="90" w:type="dxa"/>
              <w:bottom w:w="70" w:type="dxa"/>
              <w:right w:w="90" w:type="dxa"/>
            </w:tcMar>
            <w:vAlign w:val="center"/>
          </w:tcPr>
          <w:p w14:paraId="7A4D098B" w14:textId="77777777" w:rsidR="00C521CB" w:rsidRDefault="00923650">
            <w:pPr>
              <w:jc w:val="left"/>
            </w:pPr>
            <w:r>
              <w:rPr>
                <w:rFonts w:ascii="Arial" w:hAnsi="Arial"/>
                <w:sz w:val="16"/>
              </w:rPr>
              <w:t>Accuracy validation study</w:t>
            </w:r>
          </w:p>
        </w:tc>
        <w:tc>
          <w:tcPr>
            <w:tcW w:w="3300" w:type="dxa"/>
            <w:tcMar>
              <w:top w:w="70" w:type="dxa"/>
              <w:left w:w="90" w:type="dxa"/>
              <w:bottom w:w="70" w:type="dxa"/>
              <w:right w:w="90" w:type="dxa"/>
            </w:tcMar>
            <w:vAlign w:val="center"/>
          </w:tcPr>
          <w:p w14:paraId="78741187" w14:textId="098FE259" w:rsidR="00C521CB" w:rsidRDefault="00923650">
            <w:pPr>
              <w:jc w:val="left"/>
            </w:pPr>
            <w:r>
              <w:rPr>
                <w:rFonts w:ascii="Arial" w:hAnsi="Arial"/>
                <w:sz w:val="16"/>
              </w:rPr>
              <w:t xml:space="preserve">CT-generated models tracked with biplane </w:t>
            </w:r>
            <w:proofErr w:type="spellStart"/>
            <w:r>
              <w:rPr>
                <w:rFonts w:ascii="Arial" w:hAnsi="Arial"/>
                <w:sz w:val="16"/>
              </w:rPr>
              <w:t>videoradiography</w:t>
            </w:r>
            <w:proofErr w:type="spellEnd"/>
            <w:r>
              <w:rPr>
                <w:rFonts w:ascii="Arial" w:hAnsi="Arial"/>
                <w:sz w:val="16"/>
              </w:rPr>
              <w:t xml:space="preserve"> achieve accurate </w:t>
            </w:r>
            <w:r w:rsidR="00BC639E" w:rsidRPr="00BC639E">
              <w:rPr>
                <w:rFonts w:ascii="Arial" w:hAnsi="Arial"/>
                <w:i/>
                <w:iCs/>
                <w:sz w:val="16"/>
              </w:rPr>
              <w:t>in-vivo</w:t>
            </w:r>
            <w:r>
              <w:rPr>
                <w:rFonts w:ascii="Arial" w:hAnsi="Arial"/>
                <w:sz w:val="16"/>
              </w:rPr>
              <w:t xml:space="preserve"> TWA motion measurement</w:t>
            </w:r>
          </w:p>
        </w:tc>
        <w:tc>
          <w:tcPr>
            <w:tcW w:w="2330" w:type="dxa"/>
            <w:tcMar>
              <w:top w:w="70" w:type="dxa"/>
              <w:left w:w="90" w:type="dxa"/>
              <w:bottom w:w="70" w:type="dxa"/>
              <w:right w:w="90" w:type="dxa"/>
            </w:tcMar>
            <w:vAlign w:val="center"/>
          </w:tcPr>
          <w:p w14:paraId="17D167F3" w14:textId="77777777" w:rsidR="00C521CB" w:rsidRDefault="00923650">
            <w:pPr>
              <w:jc w:val="left"/>
            </w:pPr>
            <w:r>
              <w:rPr>
                <w:rFonts w:ascii="Arial" w:hAnsi="Arial"/>
                <w:sz w:val="16"/>
              </w:rPr>
              <w:t>Enables postoperative verification of model-based predictions</w:t>
            </w:r>
          </w:p>
        </w:tc>
      </w:tr>
      <w:tr w:rsidR="00C521CB" w14:paraId="75EB8850" w14:textId="77777777">
        <w:trPr>
          <w:cantSplit/>
          <w:jc w:val="center"/>
        </w:trPr>
        <w:tc>
          <w:tcPr>
            <w:tcW w:w="1750" w:type="dxa"/>
            <w:tcMar>
              <w:top w:w="70" w:type="dxa"/>
              <w:left w:w="90" w:type="dxa"/>
              <w:bottom w:w="70" w:type="dxa"/>
              <w:right w:w="90" w:type="dxa"/>
            </w:tcMar>
            <w:vAlign w:val="center"/>
          </w:tcPr>
          <w:p w14:paraId="6C2021A5" w14:textId="77777777" w:rsidR="00C521CB" w:rsidRDefault="00923650">
            <w:pPr>
              <w:jc w:val="left"/>
            </w:pPr>
            <w:r>
              <w:rPr>
                <w:rFonts w:ascii="Arial" w:hAnsi="Arial"/>
                <w:sz w:val="16"/>
              </w:rPr>
              <w:t>Stage 1: Study</w:t>
            </w:r>
          </w:p>
        </w:tc>
        <w:tc>
          <w:tcPr>
            <w:tcW w:w="620" w:type="dxa"/>
            <w:tcMar>
              <w:top w:w="70" w:type="dxa"/>
              <w:left w:w="90" w:type="dxa"/>
              <w:bottom w:w="70" w:type="dxa"/>
              <w:right w:w="90" w:type="dxa"/>
            </w:tcMar>
            <w:vAlign w:val="center"/>
          </w:tcPr>
          <w:p w14:paraId="27B7A5E9" w14:textId="77777777" w:rsidR="00C521CB" w:rsidRDefault="00923650">
            <w:pPr>
              <w:jc w:val="left"/>
            </w:pPr>
            <w:r>
              <w:rPr>
                <w:rFonts w:ascii="Arial" w:hAnsi="Arial"/>
                <w:sz w:val="16"/>
              </w:rPr>
              <w:t>Year</w:t>
            </w:r>
          </w:p>
        </w:tc>
        <w:tc>
          <w:tcPr>
            <w:tcW w:w="1560" w:type="dxa"/>
            <w:tcMar>
              <w:top w:w="70" w:type="dxa"/>
              <w:left w:w="90" w:type="dxa"/>
              <w:bottom w:w="70" w:type="dxa"/>
              <w:right w:w="90" w:type="dxa"/>
            </w:tcMar>
            <w:vAlign w:val="center"/>
          </w:tcPr>
          <w:p w14:paraId="4B64B5EF" w14:textId="77777777" w:rsidR="00C521CB" w:rsidRDefault="00923650">
            <w:pPr>
              <w:jc w:val="left"/>
            </w:pPr>
            <w:r>
              <w:rPr>
                <w:rFonts w:ascii="Arial" w:hAnsi="Arial"/>
                <w:sz w:val="16"/>
              </w:rPr>
              <w:t>Evidence type</w:t>
            </w:r>
          </w:p>
        </w:tc>
        <w:tc>
          <w:tcPr>
            <w:tcW w:w="3300" w:type="dxa"/>
            <w:tcMar>
              <w:top w:w="70" w:type="dxa"/>
              <w:left w:w="90" w:type="dxa"/>
              <w:bottom w:w="70" w:type="dxa"/>
              <w:right w:w="90" w:type="dxa"/>
            </w:tcMar>
            <w:vAlign w:val="center"/>
          </w:tcPr>
          <w:p w14:paraId="71A466F1" w14:textId="77777777" w:rsidR="00C521CB" w:rsidRDefault="00923650">
            <w:pPr>
              <w:jc w:val="left"/>
            </w:pPr>
            <w:r>
              <w:rPr>
                <w:rFonts w:ascii="Arial" w:hAnsi="Arial"/>
                <w:sz w:val="16"/>
              </w:rPr>
              <w:t>Key finding</w:t>
            </w:r>
          </w:p>
        </w:tc>
        <w:tc>
          <w:tcPr>
            <w:tcW w:w="2330" w:type="dxa"/>
            <w:tcMar>
              <w:top w:w="70" w:type="dxa"/>
              <w:left w:w="90" w:type="dxa"/>
              <w:bottom w:w="70" w:type="dxa"/>
              <w:right w:w="90" w:type="dxa"/>
            </w:tcMar>
            <w:vAlign w:val="center"/>
          </w:tcPr>
          <w:p w14:paraId="4B0E1294" w14:textId="77777777" w:rsidR="00C521CB" w:rsidRDefault="00923650">
            <w:pPr>
              <w:jc w:val="left"/>
            </w:pPr>
            <w:r>
              <w:rPr>
                <w:rFonts w:ascii="Arial" w:hAnsi="Arial"/>
                <w:sz w:val="16"/>
              </w:rPr>
              <w:t>Implication for design inputs</w:t>
            </w:r>
          </w:p>
        </w:tc>
      </w:tr>
      <w:tr w:rsidR="00C521CB" w14:paraId="2EDDCBF8" w14:textId="77777777">
        <w:trPr>
          <w:cantSplit/>
          <w:jc w:val="center"/>
        </w:trPr>
        <w:tc>
          <w:tcPr>
            <w:tcW w:w="1750" w:type="dxa"/>
            <w:tcMar>
              <w:top w:w="70" w:type="dxa"/>
              <w:left w:w="90" w:type="dxa"/>
              <w:bottom w:w="70" w:type="dxa"/>
              <w:right w:w="90" w:type="dxa"/>
            </w:tcMar>
            <w:vAlign w:val="center"/>
          </w:tcPr>
          <w:p w14:paraId="67D94904" w14:textId="77777777" w:rsidR="00C521CB" w:rsidRDefault="00923650">
            <w:pPr>
              <w:jc w:val="left"/>
            </w:pPr>
            <w:r>
              <w:rPr>
                <w:rFonts w:ascii="Arial" w:hAnsi="Arial"/>
                <w:sz w:val="16"/>
              </w:rPr>
              <w:t>Stage 1: Pfaeffle et al. {Pfaeffle 2005}</w:t>
            </w:r>
          </w:p>
        </w:tc>
        <w:tc>
          <w:tcPr>
            <w:tcW w:w="620" w:type="dxa"/>
            <w:tcMar>
              <w:top w:w="70" w:type="dxa"/>
              <w:left w:w="90" w:type="dxa"/>
              <w:bottom w:w="70" w:type="dxa"/>
              <w:right w:w="90" w:type="dxa"/>
            </w:tcMar>
            <w:vAlign w:val="center"/>
          </w:tcPr>
          <w:p w14:paraId="15D30449" w14:textId="77777777" w:rsidR="00C521CB" w:rsidRDefault="00923650">
            <w:pPr>
              <w:jc w:val="left"/>
            </w:pPr>
            <w:r>
              <w:rPr>
                <w:rFonts w:ascii="Arial" w:hAnsi="Arial"/>
                <w:sz w:val="16"/>
              </w:rPr>
              <w:t>2005</w:t>
            </w:r>
          </w:p>
        </w:tc>
        <w:tc>
          <w:tcPr>
            <w:tcW w:w="1560" w:type="dxa"/>
            <w:tcMar>
              <w:top w:w="70" w:type="dxa"/>
              <w:left w:w="90" w:type="dxa"/>
              <w:bottom w:w="70" w:type="dxa"/>
              <w:right w:w="90" w:type="dxa"/>
            </w:tcMar>
            <w:vAlign w:val="center"/>
          </w:tcPr>
          <w:p w14:paraId="5B581239" w14:textId="77777777" w:rsidR="00C521CB" w:rsidRDefault="00923650">
            <w:pPr>
              <w:jc w:val="left"/>
            </w:pPr>
            <w:r>
              <w:rPr>
                <w:rFonts w:ascii="Arial" w:hAnsi="Arial"/>
                <w:sz w:val="16"/>
              </w:rPr>
              <w:t>CT-based kinematic methodology</w:t>
            </w:r>
          </w:p>
        </w:tc>
        <w:tc>
          <w:tcPr>
            <w:tcW w:w="3300" w:type="dxa"/>
            <w:tcMar>
              <w:top w:w="70" w:type="dxa"/>
              <w:left w:w="90" w:type="dxa"/>
              <w:bottom w:w="70" w:type="dxa"/>
              <w:right w:w="90" w:type="dxa"/>
            </w:tcMar>
            <w:vAlign w:val="center"/>
          </w:tcPr>
          <w:p w14:paraId="5CC00D44" w14:textId="77777777" w:rsidR="00C521CB" w:rsidRDefault="00923650">
            <w:pPr>
              <w:jc w:val="left"/>
            </w:pPr>
            <w:r>
              <w:rPr>
                <w:rFonts w:ascii="Arial" w:hAnsi="Arial"/>
                <w:sz w:val="16"/>
              </w:rPr>
              <w:t>Validated measurement of carpal motion from CT</w:t>
            </w:r>
          </w:p>
        </w:tc>
        <w:tc>
          <w:tcPr>
            <w:tcW w:w="2330" w:type="dxa"/>
            <w:tcMar>
              <w:top w:w="70" w:type="dxa"/>
              <w:left w:w="90" w:type="dxa"/>
              <w:bottom w:w="70" w:type="dxa"/>
              <w:right w:w="90" w:type="dxa"/>
            </w:tcMar>
            <w:vAlign w:val="center"/>
          </w:tcPr>
          <w:p w14:paraId="4EC9CD82" w14:textId="77777777" w:rsidR="00C521CB" w:rsidRDefault="00923650">
            <w:pPr>
              <w:jc w:val="left"/>
            </w:pPr>
            <w:r>
              <w:rPr>
                <w:rFonts w:ascii="Arial" w:hAnsi="Arial"/>
                <w:sz w:val="16"/>
              </w:rPr>
              <w:t>Reproducible coordinate systems and pose descriptors</w:t>
            </w:r>
          </w:p>
        </w:tc>
      </w:tr>
      <w:tr w:rsidR="00C521CB" w14:paraId="1B79F395" w14:textId="77777777">
        <w:trPr>
          <w:cantSplit/>
          <w:jc w:val="center"/>
        </w:trPr>
        <w:tc>
          <w:tcPr>
            <w:tcW w:w="1750" w:type="dxa"/>
            <w:tcMar>
              <w:top w:w="70" w:type="dxa"/>
              <w:left w:w="90" w:type="dxa"/>
              <w:bottom w:w="70" w:type="dxa"/>
              <w:right w:w="90" w:type="dxa"/>
            </w:tcMar>
            <w:vAlign w:val="center"/>
          </w:tcPr>
          <w:p w14:paraId="0DE6B779" w14:textId="77777777" w:rsidR="00C521CB" w:rsidRDefault="00923650">
            <w:pPr>
              <w:jc w:val="left"/>
            </w:pPr>
            <w:r>
              <w:rPr>
                <w:rFonts w:ascii="Arial" w:hAnsi="Arial"/>
                <w:sz w:val="16"/>
              </w:rPr>
              <w:t>Stage 1: Moore et al. {Moore 2007}</w:t>
            </w:r>
          </w:p>
        </w:tc>
        <w:tc>
          <w:tcPr>
            <w:tcW w:w="620" w:type="dxa"/>
            <w:tcMar>
              <w:top w:w="70" w:type="dxa"/>
              <w:left w:w="90" w:type="dxa"/>
              <w:bottom w:w="70" w:type="dxa"/>
              <w:right w:w="90" w:type="dxa"/>
            </w:tcMar>
            <w:vAlign w:val="center"/>
          </w:tcPr>
          <w:p w14:paraId="67195048" w14:textId="77777777" w:rsidR="00C521CB" w:rsidRDefault="00923650">
            <w:pPr>
              <w:jc w:val="left"/>
            </w:pPr>
            <w:r>
              <w:rPr>
                <w:rFonts w:ascii="Arial" w:hAnsi="Arial"/>
                <w:sz w:val="16"/>
              </w:rPr>
              <w:t>2007</w:t>
            </w:r>
          </w:p>
        </w:tc>
        <w:tc>
          <w:tcPr>
            <w:tcW w:w="1560" w:type="dxa"/>
            <w:tcMar>
              <w:top w:w="70" w:type="dxa"/>
              <w:left w:w="90" w:type="dxa"/>
              <w:bottom w:w="70" w:type="dxa"/>
              <w:right w:w="90" w:type="dxa"/>
            </w:tcMar>
            <w:vAlign w:val="center"/>
          </w:tcPr>
          <w:p w14:paraId="5129C441" w14:textId="77777777" w:rsidR="00C521CB" w:rsidRDefault="00923650">
            <w:pPr>
              <w:jc w:val="left"/>
            </w:pPr>
            <w:r>
              <w:rPr>
                <w:rFonts w:ascii="Arial" w:hAnsi="Arial"/>
                <w:sz w:val="16"/>
              </w:rPr>
              <w:t>Anatomy and kinematics database</w:t>
            </w:r>
          </w:p>
        </w:tc>
        <w:tc>
          <w:tcPr>
            <w:tcW w:w="3300" w:type="dxa"/>
            <w:tcMar>
              <w:top w:w="70" w:type="dxa"/>
              <w:left w:w="90" w:type="dxa"/>
              <w:bottom w:w="70" w:type="dxa"/>
              <w:right w:w="90" w:type="dxa"/>
            </w:tcMar>
            <w:vAlign w:val="center"/>
          </w:tcPr>
          <w:p w14:paraId="4A5AD33F" w14:textId="77777777" w:rsidR="00C521CB" w:rsidRDefault="00923650">
            <w:pPr>
              <w:jc w:val="left"/>
            </w:pPr>
            <w:r>
              <w:rPr>
                <w:rFonts w:ascii="Arial" w:hAnsi="Arial"/>
                <w:sz w:val="16"/>
              </w:rPr>
              <w:t>Carpal bone poses in three dimensions across tasks</w:t>
            </w:r>
          </w:p>
        </w:tc>
        <w:tc>
          <w:tcPr>
            <w:tcW w:w="2330" w:type="dxa"/>
            <w:tcMar>
              <w:top w:w="70" w:type="dxa"/>
              <w:left w:w="90" w:type="dxa"/>
              <w:bottom w:w="70" w:type="dxa"/>
              <w:right w:w="90" w:type="dxa"/>
            </w:tcMar>
            <w:vAlign w:val="center"/>
          </w:tcPr>
          <w:p w14:paraId="1966E55E" w14:textId="77777777" w:rsidR="00C521CB" w:rsidRDefault="00923650">
            <w:pPr>
              <w:jc w:val="left"/>
            </w:pPr>
            <w:r>
              <w:rPr>
                <w:rFonts w:ascii="Arial" w:hAnsi="Arial"/>
                <w:sz w:val="16"/>
              </w:rPr>
              <w:t>Centroid-trajectory and orientation targets</w:t>
            </w:r>
          </w:p>
        </w:tc>
      </w:tr>
      <w:tr w:rsidR="00C521CB" w14:paraId="79DFF359" w14:textId="77777777">
        <w:trPr>
          <w:cantSplit/>
          <w:jc w:val="center"/>
        </w:trPr>
        <w:tc>
          <w:tcPr>
            <w:tcW w:w="1750" w:type="dxa"/>
            <w:tcMar>
              <w:top w:w="70" w:type="dxa"/>
              <w:left w:w="90" w:type="dxa"/>
              <w:bottom w:w="70" w:type="dxa"/>
              <w:right w:w="90" w:type="dxa"/>
            </w:tcMar>
            <w:vAlign w:val="center"/>
          </w:tcPr>
          <w:p w14:paraId="308269F4" w14:textId="77777777" w:rsidR="00C521CB" w:rsidRPr="00BE3B19" w:rsidRDefault="00923650">
            <w:pPr>
              <w:jc w:val="left"/>
              <w:rPr>
                <w:lang w:val="de-DE"/>
              </w:rPr>
            </w:pPr>
            <w:r w:rsidRPr="00BE3B19">
              <w:rPr>
                <w:rFonts w:ascii="Arial" w:hAnsi="Arial"/>
                <w:sz w:val="16"/>
                <w:lang w:val="de-DE"/>
              </w:rPr>
              <w:t>Stage 1: Akhbari et al. {Akhbari 2019}</w:t>
            </w:r>
          </w:p>
        </w:tc>
        <w:tc>
          <w:tcPr>
            <w:tcW w:w="620" w:type="dxa"/>
            <w:tcMar>
              <w:top w:w="70" w:type="dxa"/>
              <w:left w:w="90" w:type="dxa"/>
              <w:bottom w:w="70" w:type="dxa"/>
              <w:right w:w="90" w:type="dxa"/>
            </w:tcMar>
            <w:vAlign w:val="center"/>
          </w:tcPr>
          <w:p w14:paraId="162792C8" w14:textId="77777777" w:rsidR="00C521CB" w:rsidRDefault="00923650">
            <w:pPr>
              <w:jc w:val="left"/>
            </w:pPr>
            <w:r>
              <w:rPr>
                <w:rFonts w:ascii="Arial" w:hAnsi="Arial"/>
                <w:sz w:val="16"/>
              </w:rPr>
              <w:t>2019</w:t>
            </w:r>
          </w:p>
        </w:tc>
        <w:tc>
          <w:tcPr>
            <w:tcW w:w="1560" w:type="dxa"/>
            <w:tcMar>
              <w:top w:w="70" w:type="dxa"/>
              <w:left w:w="90" w:type="dxa"/>
              <w:bottom w:w="70" w:type="dxa"/>
              <w:right w:w="90" w:type="dxa"/>
            </w:tcMar>
            <w:vAlign w:val="center"/>
          </w:tcPr>
          <w:p w14:paraId="0736ADAB" w14:textId="77777777" w:rsidR="00C521CB" w:rsidRDefault="00923650">
            <w:pPr>
              <w:jc w:val="left"/>
            </w:pPr>
            <w:r>
              <w:rPr>
                <w:rFonts w:ascii="Arial" w:hAnsi="Arial"/>
                <w:sz w:val="16"/>
              </w:rPr>
              <w:t xml:space="preserve">Biplane </w:t>
            </w:r>
            <w:proofErr w:type="spellStart"/>
            <w:r>
              <w:rPr>
                <w:rFonts w:ascii="Arial" w:hAnsi="Arial"/>
                <w:sz w:val="16"/>
              </w:rPr>
              <w:t>videoradiography</w:t>
            </w:r>
            <w:proofErr w:type="spellEnd"/>
            <w:r>
              <w:rPr>
                <w:rFonts w:ascii="Arial" w:hAnsi="Arial"/>
                <w:sz w:val="16"/>
              </w:rPr>
              <w:t xml:space="preserve"> validation</w:t>
            </w:r>
          </w:p>
        </w:tc>
        <w:tc>
          <w:tcPr>
            <w:tcW w:w="3300" w:type="dxa"/>
            <w:tcMar>
              <w:top w:w="70" w:type="dxa"/>
              <w:left w:w="90" w:type="dxa"/>
              <w:bottom w:w="70" w:type="dxa"/>
              <w:right w:w="90" w:type="dxa"/>
            </w:tcMar>
            <w:vAlign w:val="center"/>
          </w:tcPr>
          <w:p w14:paraId="57B136A3" w14:textId="2D02B444" w:rsidR="00C521CB" w:rsidRDefault="00923650">
            <w:pPr>
              <w:jc w:val="left"/>
            </w:pPr>
            <w:r>
              <w:rPr>
                <w:rFonts w:ascii="Arial" w:hAnsi="Arial"/>
                <w:sz w:val="16"/>
              </w:rPr>
              <w:t xml:space="preserve">Accurate </w:t>
            </w:r>
            <w:r w:rsidR="00BC639E" w:rsidRPr="00BC639E">
              <w:rPr>
                <w:rFonts w:ascii="Arial" w:hAnsi="Arial"/>
                <w:i/>
                <w:iCs/>
                <w:sz w:val="16"/>
              </w:rPr>
              <w:t>in-vivo</w:t>
            </w:r>
            <w:r>
              <w:rPr>
                <w:rFonts w:ascii="Arial" w:hAnsi="Arial"/>
                <w:sz w:val="16"/>
              </w:rPr>
              <w:t xml:space="preserve"> tracking of TWA using CT-generated models</w:t>
            </w:r>
          </w:p>
        </w:tc>
        <w:tc>
          <w:tcPr>
            <w:tcW w:w="2330" w:type="dxa"/>
            <w:tcMar>
              <w:top w:w="70" w:type="dxa"/>
              <w:left w:w="90" w:type="dxa"/>
              <w:bottom w:w="70" w:type="dxa"/>
              <w:right w:w="90" w:type="dxa"/>
            </w:tcMar>
            <w:vAlign w:val="center"/>
          </w:tcPr>
          <w:p w14:paraId="4489E9ED" w14:textId="77777777" w:rsidR="00C521CB" w:rsidRDefault="00923650">
            <w:pPr>
              <w:jc w:val="left"/>
            </w:pPr>
            <w:r>
              <w:rPr>
                <w:rFonts w:ascii="Arial" w:hAnsi="Arial"/>
                <w:sz w:val="16"/>
              </w:rPr>
              <w:t>Postoperative verification of kinematic targets</w:t>
            </w:r>
          </w:p>
        </w:tc>
      </w:tr>
      <w:tr w:rsidR="00C521CB" w14:paraId="682BE04B" w14:textId="77777777">
        <w:trPr>
          <w:cantSplit/>
          <w:jc w:val="center"/>
        </w:trPr>
        <w:tc>
          <w:tcPr>
            <w:tcW w:w="1750" w:type="dxa"/>
            <w:tcMar>
              <w:top w:w="70" w:type="dxa"/>
              <w:left w:w="90" w:type="dxa"/>
              <w:bottom w:w="70" w:type="dxa"/>
              <w:right w:w="90" w:type="dxa"/>
            </w:tcMar>
            <w:vAlign w:val="center"/>
          </w:tcPr>
          <w:p w14:paraId="1F879DC3" w14:textId="77777777" w:rsidR="00C521CB" w:rsidRPr="00BE3B19" w:rsidRDefault="00923650">
            <w:pPr>
              <w:jc w:val="left"/>
              <w:rPr>
                <w:lang w:val="de-DE"/>
              </w:rPr>
            </w:pPr>
            <w:r w:rsidRPr="00BE3B19">
              <w:rPr>
                <w:rFonts w:ascii="Arial" w:hAnsi="Arial"/>
                <w:sz w:val="16"/>
                <w:lang w:val="de-DE"/>
              </w:rPr>
              <w:t>Stage 1: Akhbari et al. {Akhbari 2019}</w:t>
            </w:r>
          </w:p>
        </w:tc>
        <w:tc>
          <w:tcPr>
            <w:tcW w:w="620" w:type="dxa"/>
            <w:tcMar>
              <w:top w:w="70" w:type="dxa"/>
              <w:left w:w="90" w:type="dxa"/>
              <w:bottom w:w="70" w:type="dxa"/>
              <w:right w:w="90" w:type="dxa"/>
            </w:tcMar>
            <w:vAlign w:val="center"/>
          </w:tcPr>
          <w:p w14:paraId="30BC0234" w14:textId="77777777" w:rsidR="00C521CB" w:rsidRDefault="00923650">
            <w:pPr>
              <w:jc w:val="left"/>
            </w:pPr>
            <w:r>
              <w:rPr>
                <w:rFonts w:ascii="Arial" w:hAnsi="Arial"/>
                <w:sz w:val="16"/>
              </w:rPr>
              <w:t>2019</w:t>
            </w:r>
          </w:p>
        </w:tc>
        <w:tc>
          <w:tcPr>
            <w:tcW w:w="1560" w:type="dxa"/>
            <w:tcMar>
              <w:top w:w="70" w:type="dxa"/>
              <w:left w:w="90" w:type="dxa"/>
              <w:bottom w:w="70" w:type="dxa"/>
              <w:right w:w="90" w:type="dxa"/>
            </w:tcMar>
            <w:vAlign w:val="center"/>
          </w:tcPr>
          <w:p w14:paraId="37AD5FDB" w14:textId="77777777" w:rsidR="00C521CB" w:rsidRDefault="00923650">
            <w:pPr>
              <w:jc w:val="left"/>
            </w:pPr>
            <w:r>
              <w:rPr>
                <w:rFonts w:ascii="Arial" w:hAnsi="Arial"/>
                <w:sz w:val="16"/>
              </w:rPr>
              <w:t>Expanded database and prediction</w:t>
            </w:r>
          </w:p>
        </w:tc>
        <w:tc>
          <w:tcPr>
            <w:tcW w:w="3300" w:type="dxa"/>
            <w:tcMar>
              <w:top w:w="70" w:type="dxa"/>
              <w:left w:w="90" w:type="dxa"/>
              <w:bottom w:w="70" w:type="dxa"/>
              <w:right w:w="90" w:type="dxa"/>
            </w:tcMar>
            <w:vAlign w:val="center"/>
          </w:tcPr>
          <w:p w14:paraId="11431BAB" w14:textId="77777777" w:rsidR="00C521CB" w:rsidRDefault="00923650">
            <w:pPr>
              <w:jc w:val="left"/>
            </w:pPr>
            <w:r>
              <w:rPr>
                <w:rFonts w:ascii="Arial" w:hAnsi="Arial"/>
                <w:sz w:val="16"/>
              </w:rPr>
              <w:t>Carpal kinematics predictable statistically from morphology</w:t>
            </w:r>
          </w:p>
        </w:tc>
        <w:tc>
          <w:tcPr>
            <w:tcW w:w="2330" w:type="dxa"/>
            <w:tcMar>
              <w:top w:w="70" w:type="dxa"/>
              <w:left w:w="90" w:type="dxa"/>
              <w:bottom w:w="70" w:type="dxa"/>
              <w:right w:w="90" w:type="dxa"/>
            </w:tcMar>
            <w:vAlign w:val="center"/>
          </w:tcPr>
          <w:p w14:paraId="5689310F" w14:textId="77777777" w:rsidR="00C521CB" w:rsidRDefault="00923650">
            <w:pPr>
              <w:jc w:val="left"/>
            </w:pPr>
            <w:r>
              <w:rPr>
                <w:rFonts w:ascii="Arial" w:hAnsi="Arial"/>
                <w:sz w:val="16"/>
              </w:rPr>
              <w:t>Preoperative target generation and virtual-cohort sampling</w:t>
            </w:r>
          </w:p>
        </w:tc>
      </w:tr>
      <w:tr w:rsidR="00C521CB" w14:paraId="2C7AE952" w14:textId="77777777">
        <w:trPr>
          <w:cantSplit/>
          <w:jc w:val="center"/>
        </w:trPr>
        <w:tc>
          <w:tcPr>
            <w:tcW w:w="1750" w:type="dxa"/>
            <w:tcMar>
              <w:top w:w="70" w:type="dxa"/>
              <w:left w:w="90" w:type="dxa"/>
              <w:bottom w:w="70" w:type="dxa"/>
              <w:right w:w="90" w:type="dxa"/>
            </w:tcMar>
            <w:vAlign w:val="center"/>
          </w:tcPr>
          <w:p w14:paraId="764880E6" w14:textId="77777777" w:rsidR="00C521CB" w:rsidRDefault="00923650">
            <w:pPr>
              <w:jc w:val="left"/>
            </w:pPr>
            <w:r>
              <w:rPr>
                <w:rFonts w:ascii="Arial" w:hAnsi="Arial"/>
                <w:sz w:val="16"/>
              </w:rPr>
              <w:t>Stage 2: Study</w:t>
            </w:r>
          </w:p>
        </w:tc>
        <w:tc>
          <w:tcPr>
            <w:tcW w:w="620" w:type="dxa"/>
            <w:tcMar>
              <w:top w:w="70" w:type="dxa"/>
              <w:left w:w="90" w:type="dxa"/>
              <w:bottom w:w="70" w:type="dxa"/>
              <w:right w:w="90" w:type="dxa"/>
            </w:tcMar>
            <w:vAlign w:val="center"/>
          </w:tcPr>
          <w:p w14:paraId="5685E7B9" w14:textId="77777777" w:rsidR="00C521CB" w:rsidRDefault="00923650">
            <w:pPr>
              <w:jc w:val="left"/>
            </w:pPr>
            <w:r>
              <w:rPr>
                <w:rFonts w:ascii="Arial" w:hAnsi="Arial"/>
                <w:sz w:val="16"/>
              </w:rPr>
              <w:t>Year</w:t>
            </w:r>
          </w:p>
        </w:tc>
        <w:tc>
          <w:tcPr>
            <w:tcW w:w="1560" w:type="dxa"/>
            <w:tcMar>
              <w:top w:w="70" w:type="dxa"/>
              <w:left w:w="90" w:type="dxa"/>
              <w:bottom w:w="70" w:type="dxa"/>
              <w:right w:w="90" w:type="dxa"/>
            </w:tcMar>
            <w:vAlign w:val="center"/>
          </w:tcPr>
          <w:p w14:paraId="6A177AE6" w14:textId="77777777" w:rsidR="00C521CB" w:rsidRDefault="00923650">
            <w:pPr>
              <w:jc w:val="left"/>
            </w:pPr>
            <w:r>
              <w:rPr>
                <w:rFonts w:ascii="Arial" w:hAnsi="Arial"/>
                <w:sz w:val="16"/>
              </w:rPr>
              <w:t>Evidence type</w:t>
            </w:r>
          </w:p>
        </w:tc>
        <w:tc>
          <w:tcPr>
            <w:tcW w:w="3300" w:type="dxa"/>
            <w:tcMar>
              <w:top w:w="70" w:type="dxa"/>
              <w:left w:w="90" w:type="dxa"/>
              <w:bottom w:w="70" w:type="dxa"/>
              <w:right w:w="90" w:type="dxa"/>
            </w:tcMar>
            <w:vAlign w:val="center"/>
          </w:tcPr>
          <w:p w14:paraId="21D2A977" w14:textId="77777777" w:rsidR="00C521CB" w:rsidRDefault="00923650">
            <w:pPr>
              <w:jc w:val="left"/>
            </w:pPr>
            <w:r>
              <w:rPr>
                <w:rFonts w:ascii="Arial" w:hAnsi="Arial"/>
                <w:sz w:val="16"/>
              </w:rPr>
              <w:t>Key finding</w:t>
            </w:r>
          </w:p>
        </w:tc>
        <w:tc>
          <w:tcPr>
            <w:tcW w:w="2330" w:type="dxa"/>
            <w:tcMar>
              <w:top w:w="70" w:type="dxa"/>
              <w:left w:w="90" w:type="dxa"/>
              <w:bottom w:w="70" w:type="dxa"/>
              <w:right w:w="90" w:type="dxa"/>
            </w:tcMar>
            <w:vAlign w:val="center"/>
          </w:tcPr>
          <w:p w14:paraId="29BC00E4" w14:textId="77777777" w:rsidR="00C521CB" w:rsidRDefault="00923650">
            <w:pPr>
              <w:jc w:val="left"/>
            </w:pPr>
            <w:r>
              <w:rPr>
                <w:rFonts w:ascii="Arial" w:hAnsi="Arial"/>
                <w:sz w:val="16"/>
              </w:rPr>
              <w:t>Implication for analysis</w:t>
            </w:r>
          </w:p>
        </w:tc>
      </w:tr>
      <w:tr w:rsidR="00C521CB" w14:paraId="6A5650F2" w14:textId="77777777">
        <w:trPr>
          <w:cantSplit/>
          <w:jc w:val="center"/>
        </w:trPr>
        <w:tc>
          <w:tcPr>
            <w:tcW w:w="1750" w:type="dxa"/>
            <w:tcMar>
              <w:top w:w="70" w:type="dxa"/>
              <w:left w:w="90" w:type="dxa"/>
              <w:bottom w:w="70" w:type="dxa"/>
              <w:right w:w="90" w:type="dxa"/>
            </w:tcMar>
            <w:vAlign w:val="center"/>
          </w:tcPr>
          <w:p w14:paraId="0255B500" w14:textId="77777777" w:rsidR="00C521CB" w:rsidRPr="00BE3B19" w:rsidRDefault="00923650">
            <w:pPr>
              <w:jc w:val="left"/>
              <w:rPr>
                <w:lang w:val="de-DE"/>
              </w:rPr>
            </w:pPr>
            <w:r w:rsidRPr="00BE3B19">
              <w:rPr>
                <w:rFonts w:ascii="Arial" w:hAnsi="Arial"/>
                <w:sz w:val="16"/>
                <w:lang w:val="de-DE"/>
              </w:rPr>
              <w:t>Stage 2: Eschweiler et al. {Eschweiler 2022}</w:t>
            </w:r>
          </w:p>
        </w:tc>
        <w:tc>
          <w:tcPr>
            <w:tcW w:w="620" w:type="dxa"/>
            <w:tcMar>
              <w:top w:w="70" w:type="dxa"/>
              <w:left w:w="90" w:type="dxa"/>
              <w:bottom w:w="70" w:type="dxa"/>
              <w:right w:w="90" w:type="dxa"/>
            </w:tcMar>
            <w:vAlign w:val="center"/>
          </w:tcPr>
          <w:p w14:paraId="2D0D7C0C" w14:textId="77777777" w:rsidR="00C521CB" w:rsidRDefault="00923650">
            <w:pPr>
              <w:jc w:val="left"/>
            </w:pPr>
            <w:r>
              <w:rPr>
                <w:rFonts w:ascii="Arial" w:hAnsi="Arial"/>
                <w:sz w:val="16"/>
              </w:rPr>
              <w:t>2022</w:t>
            </w:r>
          </w:p>
        </w:tc>
        <w:tc>
          <w:tcPr>
            <w:tcW w:w="1560" w:type="dxa"/>
            <w:tcMar>
              <w:top w:w="70" w:type="dxa"/>
              <w:left w:w="90" w:type="dxa"/>
              <w:bottom w:w="70" w:type="dxa"/>
              <w:right w:w="90" w:type="dxa"/>
            </w:tcMar>
            <w:vAlign w:val="center"/>
          </w:tcPr>
          <w:p w14:paraId="795C90EE" w14:textId="77777777" w:rsidR="00C521CB" w:rsidRDefault="00923650">
            <w:pPr>
              <w:jc w:val="left"/>
            </w:pPr>
            <w:r>
              <w:rPr>
                <w:rFonts w:ascii="Arial" w:hAnsi="Arial"/>
                <w:sz w:val="16"/>
              </w:rPr>
              <w:t>Multibody simulation study</w:t>
            </w:r>
          </w:p>
        </w:tc>
        <w:tc>
          <w:tcPr>
            <w:tcW w:w="3300" w:type="dxa"/>
            <w:tcMar>
              <w:top w:w="70" w:type="dxa"/>
              <w:left w:w="90" w:type="dxa"/>
              <w:bottom w:w="70" w:type="dxa"/>
              <w:right w:w="90" w:type="dxa"/>
            </w:tcMar>
            <w:vAlign w:val="center"/>
          </w:tcPr>
          <w:p w14:paraId="6F30F09F" w14:textId="77777777" w:rsidR="00C521CB" w:rsidRDefault="00923650">
            <w:pPr>
              <w:jc w:val="left"/>
            </w:pPr>
            <w:r>
              <w:rPr>
                <w:rFonts w:ascii="Arial" w:hAnsi="Arial"/>
                <w:sz w:val="16"/>
              </w:rPr>
              <w:t>Musculoskeletal model of the wrist describing bones, muscles and soft-tissue interactions</w:t>
            </w:r>
          </w:p>
        </w:tc>
        <w:tc>
          <w:tcPr>
            <w:tcW w:w="2330" w:type="dxa"/>
            <w:tcMar>
              <w:top w:w="70" w:type="dxa"/>
              <w:left w:w="90" w:type="dxa"/>
              <w:bottom w:w="70" w:type="dxa"/>
              <w:right w:w="90" w:type="dxa"/>
            </w:tcMar>
            <w:vAlign w:val="center"/>
          </w:tcPr>
          <w:p w14:paraId="438BEED6" w14:textId="77777777" w:rsidR="00C521CB" w:rsidRDefault="00923650">
            <w:pPr>
              <w:jc w:val="left"/>
            </w:pPr>
            <w:r>
              <w:rPr>
                <w:rFonts w:ascii="Arial" w:hAnsi="Arial"/>
                <w:sz w:val="16"/>
              </w:rPr>
              <w:t>Core method for task-based loading and muscle-force estimation</w:t>
            </w:r>
          </w:p>
        </w:tc>
      </w:tr>
      <w:tr w:rsidR="00C521CB" w14:paraId="6FF8DD60" w14:textId="77777777">
        <w:trPr>
          <w:cantSplit/>
          <w:jc w:val="center"/>
        </w:trPr>
        <w:tc>
          <w:tcPr>
            <w:tcW w:w="1750" w:type="dxa"/>
            <w:tcMar>
              <w:top w:w="70" w:type="dxa"/>
              <w:left w:w="90" w:type="dxa"/>
              <w:bottom w:w="70" w:type="dxa"/>
              <w:right w:w="90" w:type="dxa"/>
            </w:tcMar>
            <w:vAlign w:val="center"/>
          </w:tcPr>
          <w:p w14:paraId="0C6C3F84" w14:textId="77777777" w:rsidR="00C521CB" w:rsidRPr="00BE3B19" w:rsidRDefault="00923650">
            <w:pPr>
              <w:jc w:val="left"/>
              <w:rPr>
                <w:lang w:val="de-DE"/>
              </w:rPr>
            </w:pPr>
            <w:r w:rsidRPr="00BE3B19">
              <w:rPr>
                <w:rFonts w:ascii="Arial" w:hAnsi="Arial"/>
                <w:sz w:val="16"/>
                <w:lang w:val="de-DE"/>
              </w:rPr>
              <w:t>Stage 2: Eschweiler et al. {Eschweiler 2016}</w:t>
            </w:r>
          </w:p>
        </w:tc>
        <w:tc>
          <w:tcPr>
            <w:tcW w:w="620" w:type="dxa"/>
            <w:tcMar>
              <w:top w:w="70" w:type="dxa"/>
              <w:left w:w="90" w:type="dxa"/>
              <w:bottom w:w="70" w:type="dxa"/>
              <w:right w:w="90" w:type="dxa"/>
            </w:tcMar>
            <w:vAlign w:val="center"/>
          </w:tcPr>
          <w:p w14:paraId="2FCD5823" w14:textId="77777777" w:rsidR="00C521CB" w:rsidRDefault="00923650">
            <w:pPr>
              <w:jc w:val="left"/>
            </w:pPr>
            <w:r>
              <w:rPr>
                <w:rFonts w:ascii="Arial" w:hAnsi="Arial"/>
                <w:sz w:val="16"/>
              </w:rPr>
              <w:t>2016</w:t>
            </w:r>
          </w:p>
        </w:tc>
        <w:tc>
          <w:tcPr>
            <w:tcW w:w="1560" w:type="dxa"/>
            <w:tcMar>
              <w:top w:w="70" w:type="dxa"/>
              <w:left w:w="90" w:type="dxa"/>
              <w:bottom w:w="70" w:type="dxa"/>
              <w:right w:w="90" w:type="dxa"/>
            </w:tcMar>
            <w:vAlign w:val="center"/>
          </w:tcPr>
          <w:p w14:paraId="73BAFE7E" w14:textId="77777777" w:rsidR="00C521CB" w:rsidRDefault="00923650">
            <w:pPr>
              <w:jc w:val="left"/>
            </w:pPr>
            <w:r>
              <w:rPr>
                <w:rFonts w:ascii="Arial" w:hAnsi="Arial"/>
                <w:sz w:val="16"/>
              </w:rPr>
              <w:t>Patient-specific biomechanical model, part 1</w:t>
            </w:r>
          </w:p>
        </w:tc>
        <w:tc>
          <w:tcPr>
            <w:tcW w:w="3300" w:type="dxa"/>
            <w:tcMar>
              <w:top w:w="70" w:type="dxa"/>
              <w:left w:w="90" w:type="dxa"/>
              <w:bottom w:w="70" w:type="dxa"/>
              <w:right w:w="90" w:type="dxa"/>
            </w:tcMar>
            <w:vAlign w:val="center"/>
          </w:tcPr>
          <w:p w14:paraId="67C2286C" w14:textId="77777777" w:rsidR="00C521CB" w:rsidRDefault="00923650">
            <w:pPr>
              <w:jc w:val="left"/>
            </w:pPr>
            <w:r>
              <w:rPr>
                <w:rFonts w:ascii="Arial" w:hAnsi="Arial"/>
                <w:sz w:val="16"/>
              </w:rPr>
              <w:t>Model development for patient-specific surgical therapy planning</w:t>
            </w:r>
          </w:p>
        </w:tc>
        <w:tc>
          <w:tcPr>
            <w:tcW w:w="2330" w:type="dxa"/>
            <w:tcMar>
              <w:top w:w="70" w:type="dxa"/>
              <w:left w:w="90" w:type="dxa"/>
              <w:bottom w:w="70" w:type="dxa"/>
              <w:right w:w="90" w:type="dxa"/>
            </w:tcMar>
            <w:vAlign w:val="center"/>
          </w:tcPr>
          <w:p w14:paraId="1E95B2CB" w14:textId="77777777" w:rsidR="00C521CB" w:rsidRDefault="00923650">
            <w:pPr>
              <w:jc w:val="left"/>
            </w:pPr>
            <w:r>
              <w:rPr>
                <w:rFonts w:ascii="Arial" w:hAnsi="Arial"/>
                <w:sz w:val="16"/>
              </w:rPr>
              <w:t>Establishes the pathway from patient anatomy to virtual implantation</w:t>
            </w:r>
          </w:p>
        </w:tc>
      </w:tr>
      <w:tr w:rsidR="00C521CB" w14:paraId="10A8BFBC" w14:textId="77777777">
        <w:trPr>
          <w:cantSplit/>
          <w:jc w:val="center"/>
        </w:trPr>
        <w:tc>
          <w:tcPr>
            <w:tcW w:w="1750" w:type="dxa"/>
            <w:tcMar>
              <w:top w:w="70" w:type="dxa"/>
              <w:left w:w="90" w:type="dxa"/>
              <w:bottom w:w="70" w:type="dxa"/>
              <w:right w:w="90" w:type="dxa"/>
            </w:tcMar>
            <w:vAlign w:val="center"/>
          </w:tcPr>
          <w:p w14:paraId="39519E97" w14:textId="77777777" w:rsidR="00C521CB" w:rsidRDefault="00923650">
            <w:pPr>
              <w:jc w:val="left"/>
            </w:pPr>
            <w:r>
              <w:rPr>
                <w:rFonts w:ascii="Arial" w:hAnsi="Arial"/>
                <w:sz w:val="16"/>
              </w:rPr>
              <w:lastRenderedPageBreak/>
              <w:t>Stage 2: Gislason et al. {Gislason 2017}</w:t>
            </w:r>
          </w:p>
        </w:tc>
        <w:tc>
          <w:tcPr>
            <w:tcW w:w="620" w:type="dxa"/>
            <w:tcMar>
              <w:top w:w="70" w:type="dxa"/>
              <w:left w:w="90" w:type="dxa"/>
              <w:bottom w:w="70" w:type="dxa"/>
              <w:right w:w="90" w:type="dxa"/>
            </w:tcMar>
            <w:vAlign w:val="center"/>
          </w:tcPr>
          <w:p w14:paraId="0B3DE44B" w14:textId="77777777" w:rsidR="00C521CB" w:rsidRDefault="00923650">
            <w:pPr>
              <w:jc w:val="left"/>
            </w:pPr>
            <w:r>
              <w:rPr>
                <w:rFonts w:ascii="Arial" w:hAnsi="Arial"/>
                <w:sz w:val="16"/>
              </w:rPr>
              <w:t>2017</w:t>
            </w:r>
          </w:p>
        </w:tc>
        <w:tc>
          <w:tcPr>
            <w:tcW w:w="1560" w:type="dxa"/>
            <w:tcMar>
              <w:top w:w="70" w:type="dxa"/>
              <w:left w:w="90" w:type="dxa"/>
              <w:bottom w:w="70" w:type="dxa"/>
              <w:right w:w="90" w:type="dxa"/>
            </w:tcMar>
            <w:vAlign w:val="center"/>
          </w:tcPr>
          <w:p w14:paraId="606BD820" w14:textId="77777777" w:rsidR="00C521CB" w:rsidRDefault="00923650">
            <w:pPr>
              <w:jc w:val="left"/>
            </w:pPr>
            <w:r>
              <w:rPr>
                <w:rFonts w:ascii="Arial" w:hAnsi="Arial"/>
                <w:sz w:val="16"/>
              </w:rPr>
              <w:t>Finite element study</w:t>
            </w:r>
          </w:p>
        </w:tc>
        <w:tc>
          <w:tcPr>
            <w:tcW w:w="3300" w:type="dxa"/>
            <w:tcMar>
              <w:top w:w="70" w:type="dxa"/>
              <w:left w:w="90" w:type="dxa"/>
              <w:bottom w:w="70" w:type="dxa"/>
              <w:right w:w="90" w:type="dxa"/>
            </w:tcMar>
            <w:vAlign w:val="center"/>
          </w:tcPr>
          <w:p w14:paraId="244F3D63" w14:textId="77777777" w:rsidR="00C521CB" w:rsidRDefault="00923650">
            <w:pPr>
              <w:jc w:val="left"/>
            </w:pPr>
            <w:r>
              <w:rPr>
                <w:rFonts w:ascii="Arial" w:hAnsi="Arial"/>
                <w:sz w:val="16"/>
              </w:rPr>
              <w:t>Universal 2 under grip: dorsal-ulnar component loading, load transmitted mainly through the radius</w:t>
            </w:r>
          </w:p>
        </w:tc>
        <w:tc>
          <w:tcPr>
            <w:tcW w:w="2330" w:type="dxa"/>
            <w:tcMar>
              <w:top w:w="70" w:type="dxa"/>
              <w:left w:w="90" w:type="dxa"/>
              <w:bottom w:w="70" w:type="dxa"/>
              <w:right w:w="90" w:type="dxa"/>
            </w:tcMar>
            <w:vAlign w:val="center"/>
          </w:tcPr>
          <w:p w14:paraId="0EF2B8D0" w14:textId="77777777" w:rsidR="00C521CB" w:rsidRDefault="00923650">
            <w:pPr>
              <w:jc w:val="left"/>
            </w:pPr>
            <w:r>
              <w:rPr>
                <w:rFonts w:ascii="Arial" w:hAnsi="Arial"/>
                <w:sz w:val="16"/>
              </w:rPr>
              <w:t>Direct evidence on fixation, contact and local loading</w:t>
            </w:r>
          </w:p>
        </w:tc>
      </w:tr>
      <w:tr w:rsidR="00C521CB" w14:paraId="369E1A4A" w14:textId="77777777">
        <w:trPr>
          <w:cantSplit/>
          <w:jc w:val="center"/>
        </w:trPr>
        <w:tc>
          <w:tcPr>
            <w:tcW w:w="1750" w:type="dxa"/>
            <w:tcMar>
              <w:top w:w="70" w:type="dxa"/>
              <w:left w:w="90" w:type="dxa"/>
              <w:bottom w:w="70" w:type="dxa"/>
              <w:right w:w="90" w:type="dxa"/>
            </w:tcMar>
            <w:vAlign w:val="center"/>
          </w:tcPr>
          <w:p w14:paraId="34D03D4E" w14:textId="77777777" w:rsidR="00C521CB" w:rsidRDefault="00923650">
            <w:pPr>
              <w:jc w:val="left"/>
            </w:pPr>
            <w:r>
              <w:rPr>
                <w:rFonts w:ascii="Arial" w:hAnsi="Arial"/>
                <w:sz w:val="16"/>
              </w:rPr>
              <w:t>Stage 2: Nichols et al. {Nichols 2017}</w:t>
            </w:r>
          </w:p>
        </w:tc>
        <w:tc>
          <w:tcPr>
            <w:tcW w:w="620" w:type="dxa"/>
            <w:tcMar>
              <w:top w:w="70" w:type="dxa"/>
              <w:left w:w="90" w:type="dxa"/>
              <w:bottom w:w="70" w:type="dxa"/>
              <w:right w:w="90" w:type="dxa"/>
            </w:tcMar>
            <w:vAlign w:val="center"/>
          </w:tcPr>
          <w:p w14:paraId="33CCA10B" w14:textId="77777777" w:rsidR="00C521CB" w:rsidRDefault="00923650">
            <w:pPr>
              <w:jc w:val="left"/>
            </w:pPr>
            <w:r>
              <w:rPr>
                <w:rFonts w:ascii="Arial" w:hAnsi="Arial"/>
                <w:sz w:val="16"/>
              </w:rPr>
              <w:t>2017</w:t>
            </w:r>
          </w:p>
        </w:tc>
        <w:tc>
          <w:tcPr>
            <w:tcW w:w="1560" w:type="dxa"/>
            <w:tcMar>
              <w:top w:w="70" w:type="dxa"/>
              <w:left w:w="90" w:type="dxa"/>
              <w:bottom w:w="70" w:type="dxa"/>
              <w:right w:w="90" w:type="dxa"/>
            </w:tcMar>
            <w:vAlign w:val="center"/>
          </w:tcPr>
          <w:p w14:paraId="4C4AF651" w14:textId="77777777" w:rsidR="00C521CB" w:rsidRDefault="00923650">
            <w:pPr>
              <w:jc w:val="left"/>
            </w:pPr>
            <w:r>
              <w:rPr>
                <w:rFonts w:ascii="Arial" w:hAnsi="Arial"/>
                <w:sz w:val="16"/>
              </w:rPr>
              <w:t>Wrist-hand simulation study</w:t>
            </w:r>
          </w:p>
        </w:tc>
        <w:tc>
          <w:tcPr>
            <w:tcW w:w="3300" w:type="dxa"/>
            <w:tcMar>
              <w:top w:w="70" w:type="dxa"/>
              <w:left w:w="90" w:type="dxa"/>
              <w:bottom w:w="70" w:type="dxa"/>
              <w:right w:w="90" w:type="dxa"/>
            </w:tcMar>
            <w:vAlign w:val="center"/>
          </w:tcPr>
          <w:p w14:paraId="72D85AAA" w14:textId="77777777" w:rsidR="00C521CB" w:rsidRDefault="00923650">
            <w:pPr>
              <w:jc w:val="left"/>
            </w:pPr>
            <w:r>
              <w:rPr>
                <w:rFonts w:ascii="Arial" w:hAnsi="Arial"/>
                <w:sz w:val="16"/>
              </w:rPr>
              <w:t>Wrist geometry and muscle-force changes propagate to thumb-tip endpoint force</w:t>
            </w:r>
          </w:p>
        </w:tc>
        <w:tc>
          <w:tcPr>
            <w:tcW w:w="2330" w:type="dxa"/>
            <w:tcMar>
              <w:top w:w="70" w:type="dxa"/>
              <w:left w:w="90" w:type="dxa"/>
              <w:bottom w:w="70" w:type="dxa"/>
              <w:right w:w="90" w:type="dxa"/>
            </w:tcMar>
            <w:vAlign w:val="center"/>
          </w:tcPr>
          <w:p w14:paraId="711B1268" w14:textId="77777777" w:rsidR="00C521CB" w:rsidRDefault="00923650">
            <w:pPr>
              <w:jc w:val="left"/>
            </w:pPr>
            <w:r>
              <w:rPr>
                <w:rFonts w:ascii="Arial" w:hAnsi="Arial"/>
                <w:sz w:val="16"/>
              </w:rPr>
              <w:t>Treats tendon, muscle and implant as one mechanical system</w:t>
            </w:r>
          </w:p>
        </w:tc>
      </w:tr>
      <w:tr w:rsidR="00C521CB" w14:paraId="2ADC9779" w14:textId="77777777">
        <w:trPr>
          <w:cantSplit/>
          <w:jc w:val="center"/>
        </w:trPr>
        <w:tc>
          <w:tcPr>
            <w:tcW w:w="1750" w:type="dxa"/>
            <w:tcMar>
              <w:top w:w="70" w:type="dxa"/>
              <w:left w:w="90" w:type="dxa"/>
              <w:bottom w:w="70" w:type="dxa"/>
              <w:right w:w="90" w:type="dxa"/>
            </w:tcMar>
            <w:vAlign w:val="center"/>
          </w:tcPr>
          <w:p w14:paraId="6A63621F" w14:textId="77777777" w:rsidR="00C521CB" w:rsidRDefault="00923650">
            <w:pPr>
              <w:jc w:val="left"/>
            </w:pPr>
            <w:r>
              <w:rPr>
                <w:rFonts w:ascii="Arial" w:hAnsi="Arial"/>
                <w:sz w:val="16"/>
              </w:rPr>
              <w:t>Stage 3: Study</w:t>
            </w:r>
          </w:p>
        </w:tc>
        <w:tc>
          <w:tcPr>
            <w:tcW w:w="620" w:type="dxa"/>
            <w:tcMar>
              <w:top w:w="70" w:type="dxa"/>
              <w:left w:w="90" w:type="dxa"/>
              <w:bottom w:w="70" w:type="dxa"/>
              <w:right w:w="90" w:type="dxa"/>
            </w:tcMar>
            <w:vAlign w:val="center"/>
          </w:tcPr>
          <w:p w14:paraId="01B825EB" w14:textId="77777777" w:rsidR="00C521CB" w:rsidRDefault="00923650">
            <w:pPr>
              <w:jc w:val="left"/>
            </w:pPr>
            <w:r>
              <w:rPr>
                <w:rFonts w:ascii="Arial" w:hAnsi="Arial"/>
                <w:sz w:val="16"/>
              </w:rPr>
              <w:t>Year</w:t>
            </w:r>
          </w:p>
        </w:tc>
        <w:tc>
          <w:tcPr>
            <w:tcW w:w="1560" w:type="dxa"/>
            <w:tcMar>
              <w:top w:w="70" w:type="dxa"/>
              <w:left w:w="90" w:type="dxa"/>
              <w:bottom w:w="70" w:type="dxa"/>
              <w:right w:w="90" w:type="dxa"/>
            </w:tcMar>
            <w:vAlign w:val="center"/>
          </w:tcPr>
          <w:p w14:paraId="10935601" w14:textId="77777777" w:rsidR="00C521CB" w:rsidRDefault="00923650">
            <w:pPr>
              <w:jc w:val="left"/>
            </w:pPr>
            <w:r>
              <w:rPr>
                <w:rFonts w:ascii="Arial" w:hAnsi="Arial"/>
                <w:sz w:val="16"/>
              </w:rPr>
              <w:t>Evidence type</w:t>
            </w:r>
          </w:p>
        </w:tc>
        <w:tc>
          <w:tcPr>
            <w:tcW w:w="3300" w:type="dxa"/>
            <w:tcMar>
              <w:top w:w="70" w:type="dxa"/>
              <w:left w:w="90" w:type="dxa"/>
              <w:bottom w:w="70" w:type="dxa"/>
              <w:right w:w="90" w:type="dxa"/>
            </w:tcMar>
            <w:vAlign w:val="center"/>
          </w:tcPr>
          <w:p w14:paraId="7F572F97" w14:textId="77777777" w:rsidR="00C521CB" w:rsidRDefault="00923650">
            <w:pPr>
              <w:jc w:val="left"/>
            </w:pPr>
            <w:r>
              <w:rPr>
                <w:rFonts w:ascii="Arial" w:hAnsi="Arial"/>
                <w:sz w:val="16"/>
              </w:rPr>
              <w:t>Key finding</w:t>
            </w:r>
          </w:p>
        </w:tc>
        <w:tc>
          <w:tcPr>
            <w:tcW w:w="2330" w:type="dxa"/>
            <w:tcMar>
              <w:top w:w="70" w:type="dxa"/>
              <w:left w:w="90" w:type="dxa"/>
              <w:bottom w:w="70" w:type="dxa"/>
              <w:right w:w="90" w:type="dxa"/>
            </w:tcMar>
            <w:vAlign w:val="center"/>
          </w:tcPr>
          <w:p w14:paraId="4EC9B2C9" w14:textId="77777777" w:rsidR="00C521CB" w:rsidRDefault="00923650">
            <w:pPr>
              <w:jc w:val="left"/>
            </w:pPr>
            <w:r>
              <w:rPr>
                <w:rFonts w:ascii="Arial" w:hAnsi="Arial"/>
                <w:sz w:val="16"/>
              </w:rPr>
              <w:t>Implication for synthesis</w:t>
            </w:r>
          </w:p>
        </w:tc>
      </w:tr>
      <w:tr w:rsidR="00C521CB" w14:paraId="7AF7E874" w14:textId="77777777">
        <w:trPr>
          <w:cantSplit/>
          <w:jc w:val="center"/>
        </w:trPr>
        <w:tc>
          <w:tcPr>
            <w:tcW w:w="1750" w:type="dxa"/>
            <w:tcMar>
              <w:top w:w="70" w:type="dxa"/>
              <w:left w:w="90" w:type="dxa"/>
              <w:bottom w:w="70" w:type="dxa"/>
              <w:right w:w="90" w:type="dxa"/>
            </w:tcMar>
            <w:vAlign w:val="center"/>
          </w:tcPr>
          <w:p w14:paraId="6BABB740" w14:textId="77777777" w:rsidR="00C521CB" w:rsidRPr="00BE3B19" w:rsidRDefault="00923650">
            <w:pPr>
              <w:jc w:val="left"/>
              <w:rPr>
                <w:lang w:val="de-DE"/>
              </w:rPr>
            </w:pPr>
            <w:r w:rsidRPr="00BE3B19">
              <w:rPr>
                <w:rFonts w:ascii="Arial" w:hAnsi="Arial"/>
                <w:sz w:val="16"/>
                <w:lang w:val="de-DE"/>
              </w:rPr>
              <w:t>Stage 3: Wei et al. {Wei 2025}</w:t>
            </w:r>
          </w:p>
        </w:tc>
        <w:tc>
          <w:tcPr>
            <w:tcW w:w="620" w:type="dxa"/>
            <w:tcMar>
              <w:top w:w="70" w:type="dxa"/>
              <w:left w:w="90" w:type="dxa"/>
              <w:bottom w:w="70" w:type="dxa"/>
              <w:right w:w="90" w:type="dxa"/>
            </w:tcMar>
            <w:vAlign w:val="center"/>
          </w:tcPr>
          <w:p w14:paraId="35A1F83A" w14:textId="77777777" w:rsidR="00C521CB" w:rsidRDefault="00923650">
            <w:pPr>
              <w:jc w:val="left"/>
            </w:pPr>
            <w:r>
              <w:rPr>
                <w:rFonts w:ascii="Arial" w:hAnsi="Arial"/>
                <w:sz w:val="16"/>
              </w:rPr>
              <w:t>2025</w:t>
            </w:r>
          </w:p>
        </w:tc>
        <w:tc>
          <w:tcPr>
            <w:tcW w:w="1560" w:type="dxa"/>
            <w:tcMar>
              <w:top w:w="70" w:type="dxa"/>
              <w:left w:w="90" w:type="dxa"/>
              <w:bottom w:w="70" w:type="dxa"/>
              <w:right w:w="90" w:type="dxa"/>
            </w:tcMar>
            <w:vAlign w:val="center"/>
          </w:tcPr>
          <w:p w14:paraId="21BCAB27" w14:textId="77777777" w:rsidR="00C521CB" w:rsidRDefault="00923650">
            <w:pPr>
              <w:jc w:val="left"/>
            </w:pPr>
            <w:r>
              <w:rPr>
                <w:rFonts w:ascii="Arial" w:hAnsi="Arial"/>
                <w:sz w:val="16"/>
              </w:rPr>
              <w:t>Case series, customized 3D-printed TWA</w:t>
            </w:r>
          </w:p>
        </w:tc>
        <w:tc>
          <w:tcPr>
            <w:tcW w:w="3300" w:type="dxa"/>
            <w:tcMar>
              <w:top w:w="70" w:type="dxa"/>
              <w:left w:w="90" w:type="dxa"/>
              <w:bottom w:w="70" w:type="dxa"/>
              <w:right w:w="90" w:type="dxa"/>
            </w:tcMar>
            <w:vAlign w:val="center"/>
          </w:tcPr>
          <w:p w14:paraId="5DFEC817" w14:textId="77777777" w:rsidR="00C521CB" w:rsidRDefault="00923650">
            <w:pPr>
              <w:jc w:val="left"/>
            </w:pPr>
            <w:r>
              <w:rPr>
                <w:rFonts w:ascii="Arial" w:hAnsi="Arial"/>
                <w:sz w:val="16"/>
              </w:rPr>
              <w:t>Contralateral-CT-based design with individualized fixation, materials and porous structure</w:t>
            </w:r>
          </w:p>
        </w:tc>
        <w:tc>
          <w:tcPr>
            <w:tcW w:w="2330" w:type="dxa"/>
            <w:tcMar>
              <w:top w:w="70" w:type="dxa"/>
              <w:left w:w="90" w:type="dxa"/>
              <w:bottom w:w="70" w:type="dxa"/>
              <w:right w:w="90" w:type="dxa"/>
            </w:tcMar>
            <w:vAlign w:val="center"/>
          </w:tcPr>
          <w:p w14:paraId="124EFACB" w14:textId="77777777" w:rsidR="00C521CB" w:rsidRDefault="00923650">
            <w:pPr>
              <w:jc w:val="left"/>
            </w:pPr>
            <w:r>
              <w:rPr>
                <w:rFonts w:ascii="Arial" w:hAnsi="Arial"/>
                <w:sz w:val="16"/>
              </w:rPr>
              <w:t>Clinical template for the image-to-design workflow</w:t>
            </w:r>
          </w:p>
        </w:tc>
      </w:tr>
      <w:tr w:rsidR="00C521CB" w14:paraId="26CCCBFB" w14:textId="77777777">
        <w:trPr>
          <w:cantSplit/>
          <w:jc w:val="center"/>
        </w:trPr>
        <w:tc>
          <w:tcPr>
            <w:tcW w:w="1750" w:type="dxa"/>
            <w:tcMar>
              <w:top w:w="70" w:type="dxa"/>
              <w:left w:w="90" w:type="dxa"/>
              <w:bottom w:w="70" w:type="dxa"/>
              <w:right w:w="90" w:type="dxa"/>
            </w:tcMar>
            <w:vAlign w:val="center"/>
          </w:tcPr>
          <w:p w14:paraId="139D9883" w14:textId="77777777" w:rsidR="00C521CB" w:rsidRDefault="00923650">
            <w:pPr>
              <w:jc w:val="left"/>
            </w:pPr>
            <w:r>
              <w:rPr>
                <w:rFonts w:ascii="Arial" w:hAnsi="Arial"/>
                <w:sz w:val="16"/>
              </w:rPr>
              <w:t>Stage 3: Reigstad {Reigstad 2025}</w:t>
            </w:r>
          </w:p>
        </w:tc>
        <w:tc>
          <w:tcPr>
            <w:tcW w:w="620" w:type="dxa"/>
            <w:tcMar>
              <w:top w:w="70" w:type="dxa"/>
              <w:left w:w="90" w:type="dxa"/>
              <w:bottom w:w="70" w:type="dxa"/>
              <w:right w:w="90" w:type="dxa"/>
            </w:tcMar>
            <w:vAlign w:val="center"/>
          </w:tcPr>
          <w:p w14:paraId="1FF0A27F" w14:textId="77777777" w:rsidR="00C521CB" w:rsidRDefault="00923650">
            <w:pPr>
              <w:jc w:val="left"/>
            </w:pPr>
            <w:r>
              <w:rPr>
                <w:rFonts w:ascii="Arial" w:hAnsi="Arial"/>
                <w:sz w:val="16"/>
              </w:rPr>
              <w:t>2025</w:t>
            </w:r>
          </w:p>
        </w:tc>
        <w:tc>
          <w:tcPr>
            <w:tcW w:w="1560" w:type="dxa"/>
            <w:tcMar>
              <w:top w:w="70" w:type="dxa"/>
              <w:left w:w="90" w:type="dxa"/>
              <w:bottom w:w="70" w:type="dxa"/>
              <w:right w:w="90" w:type="dxa"/>
            </w:tcMar>
            <w:vAlign w:val="center"/>
          </w:tcPr>
          <w:p w14:paraId="6D96B1DC" w14:textId="77777777" w:rsidR="00C521CB" w:rsidRDefault="00923650">
            <w:pPr>
              <w:jc w:val="left"/>
            </w:pPr>
            <w:r>
              <w:rPr>
                <w:rFonts w:ascii="Arial" w:hAnsi="Arial"/>
                <w:sz w:val="16"/>
              </w:rPr>
              <w:t>Narrative review</w:t>
            </w:r>
          </w:p>
        </w:tc>
        <w:tc>
          <w:tcPr>
            <w:tcW w:w="3300" w:type="dxa"/>
            <w:tcMar>
              <w:top w:w="70" w:type="dxa"/>
              <w:left w:w="90" w:type="dxa"/>
              <w:bottom w:w="70" w:type="dxa"/>
              <w:right w:w="90" w:type="dxa"/>
            </w:tcMar>
            <w:vAlign w:val="center"/>
          </w:tcPr>
          <w:p w14:paraId="493228F3" w14:textId="77777777" w:rsidR="00C521CB" w:rsidRDefault="00923650">
            <w:pPr>
              <w:jc w:val="left"/>
            </w:pPr>
            <w:r>
              <w:rPr>
                <w:rFonts w:ascii="Arial" w:hAnsi="Arial"/>
                <w:sz w:val="16"/>
              </w:rPr>
              <w:t>Design trends and current recommendations across modern systems</w:t>
            </w:r>
          </w:p>
        </w:tc>
        <w:tc>
          <w:tcPr>
            <w:tcW w:w="2330" w:type="dxa"/>
            <w:tcMar>
              <w:top w:w="70" w:type="dxa"/>
              <w:left w:w="90" w:type="dxa"/>
              <w:bottom w:w="70" w:type="dxa"/>
              <w:right w:w="90" w:type="dxa"/>
            </w:tcMar>
            <w:vAlign w:val="center"/>
          </w:tcPr>
          <w:p w14:paraId="2459DF00" w14:textId="77777777" w:rsidR="00C521CB" w:rsidRDefault="00923650">
            <w:pPr>
              <w:jc w:val="left"/>
            </w:pPr>
            <w:r>
              <w:rPr>
                <w:rFonts w:ascii="Arial" w:hAnsi="Arial"/>
                <w:sz w:val="16"/>
              </w:rPr>
              <w:t>Frames the clinical constraints that any design must satisfy</w:t>
            </w:r>
          </w:p>
        </w:tc>
      </w:tr>
      <w:tr w:rsidR="00C521CB" w14:paraId="4BB9667D" w14:textId="77777777">
        <w:trPr>
          <w:cantSplit/>
          <w:jc w:val="center"/>
        </w:trPr>
        <w:tc>
          <w:tcPr>
            <w:tcW w:w="1750" w:type="dxa"/>
            <w:tcMar>
              <w:top w:w="70" w:type="dxa"/>
              <w:left w:w="90" w:type="dxa"/>
              <w:bottom w:w="70" w:type="dxa"/>
              <w:right w:w="90" w:type="dxa"/>
            </w:tcMar>
            <w:vAlign w:val="center"/>
          </w:tcPr>
          <w:p w14:paraId="19BA32E1" w14:textId="77777777" w:rsidR="00C521CB" w:rsidRPr="00BE3B19" w:rsidRDefault="00923650">
            <w:pPr>
              <w:jc w:val="left"/>
              <w:rPr>
                <w:lang w:val="de-DE"/>
              </w:rPr>
            </w:pPr>
            <w:r w:rsidRPr="00BE3B19">
              <w:rPr>
                <w:rFonts w:ascii="Arial" w:hAnsi="Arial"/>
                <w:sz w:val="16"/>
                <w:lang w:val="de-DE"/>
              </w:rPr>
              <w:t>Stage 3: Akhbari et al. {Akhbari 2021}</w:t>
            </w:r>
          </w:p>
        </w:tc>
        <w:tc>
          <w:tcPr>
            <w:tcW w:w="620" w:type="dxa"/>
            <w:tcMar>
              <w:top w:w="70" w:type="dxa"/>
              <w:left w:w="90" w:type="dxa"/>
              <w:bottom w:w="70" w:type="dxa"/>
              <w:right w:w="90" w:type="dxa"/>
            </w:tcMar>
            <w:vAlign w:val="center"/>
          </w:tcPr>
          <w:p w14:paraId="173E9B49" w14:textId="77777777" w:rsidR="00C521CB" w:rsidRDefault="00923650">
            <w:pPr>
              <w:jc w:val="left"/>
            </w:pPr>
            <w:r>
              <w:rPr>
                <w:rFonts w:ascii="Arial" w:hAnsi="Arial"/>
                <w:sz w:val="16"/>
              </w:rPr>
              <w:t>2021</w:t>
            </w:r>
          </w:p>
        </w:tc>
        <w:tc>
          <w:tcPr>
            <w:tcW w:w="1560" w:type="dxa"/>
            <w:tcMar>
              <w:top w:w="70" w:type="dxa"/>
              <w:left w:w="90" w:type="dxa"/>
              <w:bottom w:w="70" w:type="dxa"/>
              <w:right w:w="90" w:type="dxa"/>
            </w:tcMar>
            <w:vAlign w:val="center"/>
          </w:tcPr>
          <w:p w14:paraId="57D8062D" w14:textId="7E61AECA" w:rsidR="00C521CB" w:rsidRDefault="00BC639E">
            <w:pPr>
              <w:jc w:val="left"/>
            </w:pPr>
            <w:r w:rsidRPr="00BC639E">
              <w:rPr>
                <w:rFonts w:ascii="Arial" w:hAnsi="Arial"/>
                <w:i/>
                <w:iCs/>
                <w:sz w:val="16"/>
              </w:rPr>
              <w:t>In-vivo</w:t>
            </w:r>
            <w:r>
              <w:rPr>
                <w:rFonts w:ascii="Arial" w:hAnsi="Arial"/>
                <w:sz w:val="16"/>
              </w:rPr>
              <w:t xml:space="preserve"> contact analysis</w:t>
            </w:r>
          </w:p>
        </w:tc>
        <w:tc>
          <w:tcPr>
            <w:tcW w:w="3300" w:type="dxa"/>
            <w:tcMar>
              <w:top w:w="70" w:type="dxa"/>
              <w:left w:w="90" w:type="dxa"/>
              <w:bottom w:w="70" w:type="dxa"/>
              <w:right w:w="90" w:type="dxa"/>
            </w:tcMar>
            <w:vAlign w:val="center"/>
          </w:tcPr>
          <w:p w14:paraId="1571D134" w14:textId="77777777" w:rsidR="00C521CB" w:rsidRDefault="00923650">
            <w:pPr>
              <w:jc w:val="left"/>
            </w:pPr>
            <w:r>
              <w:rPr>
                <w:rFonts w:ascii="Arial" w:hAnsi="Arial"/>
                <w:sz w:val="16"/>
              </w:rPr>
              <w:t>Systematic contact migration during coupled motion</w:t>
            </w:r>
          </w:p>
        </w:tc>
        <w:tc>
          <w:tcPr>
            <w:tcW w:w="2330" w:type="dxa"/>
            <w:tcMar>
              <w:top w:w="70" w:type="dxa"/>
              <w:left w:w="90" w:type="dxa"/>
              <w:bottom w:w="70" w:type="dxa"/>
              <w:right w:w="90" w:type="dxa"/>
            </w:tcMar>
            <w:vAlign w:val="center"/>
          </w:tcPr>
          <w:p w14:paraId="4A737E19" w14:textId="6F336EB3" w:rsidR="00C521CB" w:rsidRDefault="00923650">
            <w:pPr>
              <w:jc w:val="left"/>
            </w:pPr>
            <w:r>
              <w:rPr>
                <w:rFonts w:ascii="Arial" w:hAnsi="Arial"/>
                <w:sz w:val="16"/>
              </w:rPr>
              <w:t xml:space="preserve">Makes dynamic contact </w:t>
            </w:r>
            <w:r w:rsidR="00A71CFF">
              <w:rPr>
                <w:rFonts w:ascii="Arial" w:hAnsi="Arial"/>
                <w:sz w:val="16"/>
              </w:rPr>
              <w:t xml:space="preserve">behavior </w:t>
            </w:r>
            <w:r>
              <w:rPr>
                <w:rFonts w:ascii="Arial" w:hAnsi="Arial"/>
                <w:sz w:val="16"/>
              </w:rPr>
              <w:t>a primary geometry objective</w:t>
            </w:r>
          </w:p>
        </w:tc>
      </w:tr>
      <w:tr w:rsidR="00C521CB" w14:paraId="1DD8DCE5" w14:textId="77777777">
        <w:trPr>
          <w:cantSplit/>
          <w:jc w:val="center"/>
        </w:trPr>
        <w:tc>
          <w:tcPr>
            <w:tcW w:w="1750" w:type="dxa"/>
            <w:tcMar>
              <w:top w:w="70" w:type="dxa"/>
              <w:left w:w="90" w:type="dxa"/>
              <w:bottom w:w="70" w:type="dxa"/>
              <w:right w:w="90" w:type="dxa"/>
            </w:tcMar>
            <w:vAlign w:val="center"/>
          </w:tcPr>
          <w:p w14:paraId="229DA859" w14:textId="77777777" w:rsidR="00C521CB" w:rsidRDefault="00923650">
            <w:pPr>
              <w:jc w:val="left"/>
            </w:pPr>
            <w:r>
              <w:rPr>
                <w:rFonts w:ascii="Arial" w:hAnsi="Arial"/>
                <w:sz w:val="16"/>
              </w:rPr>
              <w:t>Stage 3: Xiao et al. {Xiao 2026}</w:t>
            </w:r>
          </w:p>
        </w:tc>
        <w:tc>
          <w:tcPr>
            <w:tcW w:w="620" w:type="dxa"/>
            <w:tcMar>
              <w:top w:w="70" w:type="dxa"/>
              <w:left w:w="90" w:type="dxa"/>
              <w:bottom w:w="70" w:type="dxa"/>
              <w:right w:w="90" w:type="dxa"/>
            </w:tcMar>
            <w:vAlign w:val="center"/>
          </w:tcPr>
          <w:p w14:paraId="15501721" w14:textId="77777777" w:rsidR="00C521CB" w:rsidRDefault="00923650">
            <w:pPr>
              <w:jc w:val="left"/>
            </w:pPr>
            <w:r>
              <w:rPr>
                <w:rFonts w:ascii="Arial" w:hAnsi="Arial"/>
                <w:sz w:val="16"/>
              </w:rPr>
              <w:t>2026</w:t>
            </w:r>
          </w:p>
        </w:tc>
        <w:tc>
          <w:tcPr>
            <w:tcW w:w="1560" w:type="dxa"/>
            <w:tcMar>
              <w:top w:w="70" w:type="dxa"/>
              <w:left w:w="90" w:type="dxa"/>
              <w:bottom w:w="70" w:type="dxa"/>
              <w:right w:w="90" w:type="dxa"/>
            </w:tcMar>
            <w:vAlign w:val="center"/>
          </w:tcPr>
          <w:p w14:paraId="3C941AB1" w14:textId="77777777" w:rsidR="00C521CB" w:rsidRDefault="00923650">
            <w:pPr>
              <w:jc w:val="left"/>
            </w:pPr>
            <w:r>
              <w:rPr>
                <w:rFonts w:ascii="Arial" w:hAnsi="Arial"/>
                <w:sz w:val="16"/>
              </w:rPr>
              <w:t>Quasi-dynamic finite element comparison</w:t>
            </w:r>
          </w:p>
        </w:tc>
        <w:tc>
          <w:tcPr>
            <w:tcW w:w="3300" w:type="dxa"/>
            <w:tcMar>
              <w:top w:w="70" w:type="dxa"/>
              <w:left w:w="90" w:type="dxa"/>
              <w:bottom w:w="70" w:type="dxa"/>
              <w:right w:w="90" w:type="dxa"/>
            </w:tcMar>
            <w:vAlign w:val="center"/>
          </w:tcPr>
          <w:p w14:paraId="18D0B9A4" w14:textId="31AF504D" w:rsidR="00C521CB" w:rsidRDefault="00923650">
            <w:pPr>
              <w:jc w:val="left"/>
            </w:pPr>
            <w:r>
              <w:rPr>
                <w:rFonts w:ascii="Arial" w:hAnsi="Arial"/>
                <w:sz w:val="16"/>
              </w:rPr>
              <w:t xml:space="preserve">Customized anatomical prosthesis shows more uniform stress and lower </w:t>
            </w:r>
            <w:r w:rsidR="008F1480">
              <w:rPr>
                <w:rFonts w:ascii="Arial" w:hAnsi="Arial"/>
                <w:sz w:val="16"/>
              </w:rPr>
              <w:t>COR</w:t>
            </w:r>
            <w:r>
              <w:rPr>
                <w:rFonts w:ascii="Arial" w:hAnsi="Arial"/>
                <w:sz w:val="16"/>
              </w:rPr>
              <w:t xml:space="preserve"> fluctuation than a modular comparator, within one modelling framework</w:t>
            </w:r>
          </w:p>
        </w:tc>
        <w:tc>
          <w:tcPr>
            <w:tcW w:w="2330" w:type="dxa"/>
            <w:tcMar>
              <w:top w:w="70" w:type="dxa"/>
              <w:left w:w="90" w:type="dxa"/>
              <w:bottom w:w="70" w:type="dxa"/>
              <w:right w:w="90" w:type="dxa"/>
            </w:tcMar>
            <w:vAlign w:val="center"/>
          </w:tcPr>
          <w:p w14:paraId="1A6E8B0B" w14:textId="77777777" w:rsidR="00C521CB" w:rsidRDefault="00923650">
            <w:pPr>
              <w:jc w:val="left"/>
            </w:pPr>
            <w:r>
              <w:rPr>
                <w:rFonts w:ascii="Arial" w:hAnsi="Arial"/>
                <w:sz w:val="16"/>
              </w:rPr>
              <w:t xml:space="preserve">Case study for </w:t>
            </w:r>
            <w:proofErr w:type="spellStart"/>
            <w:r>
              <w:rPr>
                <w:rFonts w:ascii="Arial" w:hAnsi="Arial"/>
                <w:sz w:val="16"/>
              </w:rPr>
              <w:t>multiobjective</w:t>
            </w:r>
            <w:proofErr w:type="spellEnd"/>
            <w:r>
              <w:rPr>
                <w:rFonts w:ascii="Arial" w:hAnsi="Arial"/>
                <w:sz w:val="16"/>
              </w:rPr>
              <w:t>, patient-specific evaluation</w:t>
            </w:r>
          </w:p>
        </w:tc>
      </w:tr>
      <w:tr w:rsidR="00C521CB" w14:paraId="0687C52E" w14:textId="77777777">
        <w:trPr>
          <w:cantSplit/>
          <w:jc w:val="center"/>
        </w:trPr>
        <w:tc>
          <w:tcPr>
            <w:tcW w:w="1750" w:type="dxa"/>
            <w:tcMar>
              <w:top w:w="70" w:type="dxa"/>
              <w:left w:w="90" w:type="dxa"/>
              <w:bottom w:w="70" w:type="dxa"/>
              <w:right w:w="90" w:type="dxa"/>
            </w:tcMar>
            <w:vAlign w:val="center"/>
          </w:tcPr>
          <w:p w14:paraId="239F0400" w14:textId="77777777" w:rsidR="00C521CB" w:rsidRDefault="00923650">
            <w:pPr>
              <w:jc w:val="left"/>
            </w:pPr>
            <w:r>
              <w:rPr>
                <w:rFonts w:ascii="Arial" w:hAnsi="Arial"/>
                <w:sz w:val="16"/>
              </w:rPr>
              <w:t>Stage 4: Study</w:t>
            </w:r>
          </w:p>
        </w:tc>
        <w:tc>
          <w:tcPr>
            <w:tcW w:w="620" w:type="dxa"/>
            <w:tcMar>
              <w:top w:w="70" w:type="dxa"/>
              <w:left w:w="90" w:type="dxa"/>
              <w:bottom w:w="70" w:type="dxa"/>
              <w:right w:w="90" w:type="dxa"/>
            </w:tcMar>
            <w:vAlign w:val="center"/>
          </w:tcPr>
          <w:p w14:paraId="2669406E" w14:textId="77777777" w:rsidR="00C521CB" w:rsidRDefault="00923650">
            <w:pPr>
              <w:jc w:val="left"/>
            </w:pPr>
            <w:r>
              <w:rPr>
                <w:rFonts w:ascii="Arial" w:hAnsi="Arial"/>
                <w:sz w:val="16"/>
              </w:rPr>
              <w:t>Year</w:t>
            </w:r>
          </w:p>
        </w:tc>
        <w:tc>
          <w:tcPr>
            <w:tcW w:w="1560" w:type="dxa"/>
            <w:tcMar>
              <w:top w:w="70" w:type="dxa"/>
              <w:left w:w="90" w:type="dxa"/>
              <w:bottom w:w="70" w:type="dxa"/>
              <w:right w:w="90" w:type="dxa"/>
            </w:tcMar>
            <w:vAlign w:val="center"/>
          </w:tcPr>
          <w:p w14:paraId="2ED979EE" w14:textId="77777777" w:rsidR="00C521CB" w:rsidRDefault="00923650">
            <w:pPr>
              <w:jc w:val="left"/>
            </w:pPr>
            <w:r>
              <w:rPr>
                <w:rFonts w:ascii="Arial" w:hAnsi="Arial"/>
                <w:sz w:val="16"/>
              </w:rPr>
              <w:t>Evidence type</w:t>
            </w:r>
          </w:p>
        </w:tc>
        <w:tc>
          <w:tcPr>
            <w:tcW w:w="3300" w:type="dxa"/>
            <w:tcMar>
              <w:top w:w="70" w:type="dxa"/>
              <w:left w:w="90" w:type="dxa"/>
              <w:bottom w:w="70" w:type="dxa"/>
              <w:right w:w="90" w:type="dxa"/>
            </w:tcMar>
            <w:vAlign w:val="center"/>
          </w:tcPr>
          <w:p w14:paraId="68275B40" w14:textId="77777777" w:rsidR="00C521CB" w:rsidRDefault="00923650">
            <w:pPr>
              <w:jc w:val="left"/>
            </w:pPr>
            <w:r>
              <w:rPr>
                <w:rFonts w:ascii="Arial" w:hAnsi="Arial"/>
                <w:sz w:val="16"/>
              </w:rPr>
              <w:t>Key finding</w:t>
            </w:r>
          </w:p>
        </w:tc>
        <w:tc>
          <w:tcPr>
            <w:tcW w:w="2330" w:type="dxa"/>
            <w:tcMar>
              <w:top w:w="70" w:type="dxa"/>
              <w:left w:w="90" w:type="dxa"/>
              <w:bottom w:w="70" w:type="dxa"/>
              <w:right w:w="90" w:type="dxa"/>
            </w:tcMar>
            <w:vAlign w:val="center"/>
          </w:tcPr>
          <w:p w14:paraId="48E4A481" w14:textId="77777777" w:rsidR="00C521CB" w:rsidRDefault="00923650">
            <w:pPr>
              <w:jc w:val="left"/>
            </w:pPr>
            <w:r>
              <w:rPr>
                <w:rFonts w:ascii="Arial" w:hAnsi="Arial"/>
                <w:sz w:val="16"/>
              </w:rPr>
              <w:t>Implication for implementation</w:t>
            </w:r>
          </w:p>
        </w:tc>
      </w:tr>
      <w:tr w:rsidR="00C521CB" w14:paraId="12781100" w14:textId="77777777">
        <w:trPr>
          <w:cantSplit/>
          <w:jc w:val="center"/>
        </w:trPr>
        <w:tc>
          <w:tcPr>
            <w:tcW w:w="1750" w:type="dxa"/>
            <w:tcMar>
              <w:top w:w="70" w:type="dxa"/>
              <w:left w:w="90" w:type="dxa"/>
              <w:bottom w:w="70" w:type="dxa"/>
              <w:right w:w="90" w:type="dxa"/>
            </w:tcMar>
            <w:vAlign w:val="center"/>
          </w:tcPr>
          <w:p w14:paraId="21A420CC" w14:textId="77777777" w:rsidR="00C521CB" w:rsidRDefault="00923650">
            <w:pPr>
              <w:jc w:val="left"/>
            </w:pPr>
            <w:r>
              <w:rPr>
                <w:rFonts w:ascii="Arial" w:hAnsi="Arial"/>
                <w:sz w:val="16"/>
              </w:rPr>
              <w:t>Stage 4: Abd-</w:t>
            </w:r>
            <w:proofErr w:type="spellStart"/>
            <w:r>
              <w:rPr>
                <w:rFonts w:ascii="Arial" w:hAnsi="Arial"/>
                <w:sz w:val="16"/>
              </w:rPr>
              <w:t>Elaziem</w:t>
            </w:r>
            <w:proofErr w:type="spellEnd"/>
            <w:r>
              <w:rPr>
                <w:rFonts w:ascii="Arial" w:hAnsi="Arial"/>
                <w:sz w:val="16"/>
              </w:rPr>
              <w:t xml:space="preserve"> et al. {Abd-</w:t>
            </w:r>
            <w:proofErr w:type="spellStart"/>
            <w:r>
              <w:rPr>
                <w:rFonts w:ascii="Arial" w:hAnsi="Arial"/>
                <w:sz w:val="16"/>
              </w:rPr>
              <w:t>Elaziem</w:t>
            </w:r>
            <w:proofErr w:type="spellEnd"/>
            <w:r>
              <w:rPr>
                <w:rFonts w:ascii="Arial" w:hAnsi="Arial"/>
                <w:sz w:val="16"/>
              </w:rPr>
              <w:t xml:space="preserve"> 2024}</w:t>
            </w:r>
          </w:p>
        </w:tc>
        <w:tc>
          <w:tcPr>
            <w:tcW w:w="620" w:type="dxa"/>
            <w:tcMar>
              <w:top w:w="70" w:type="dxa"/>
              <w:left w:w="90" w:type="dxa"/>
              <w:bottom w:w="70" w:type="dxa"/>
              <w:right w:w="90" w:type="dxa"/>
            </w:tcMar>
            <w:vAlign w:val="center"/>
          </w:tcPr>
          <w:p w14:paraId="308AF698" w14:textId="77777777" w:rsidR="00C521CB" w:rsidRDefault="00923650">
            <w:pPr>
              <w:jc w:val="left"/>
            </w:pPr>
            <w:r>
              <w:rPr>
                <w:rFonts w:ascii="Arial" w:hAnsi="Arial"/>
                <w:sz w:val="16"/>
              </w:rPr>
              <w:t>2024</w:t>
            </w:r>
          </w:p>
        </w:tc>
        <w:tc>
          <w:tcPr>
            <w:tcW w:w="1560" w:type="dxa"/>
            <w:tcMar>
              <w:top w:w="70" w:type="dxa"/>
              <w:left w:w="90" w:type="dxa"/>
              <w:bottom w:w="70" w:type="dxa"/>
              <w:right w:w="90" w:type="dxa"/>
            </w:tcMar>
            <w:vAlign w:val="center"/>
          </w:tcPr>
          <w:p w14:paraId="5E22FFCE" w14:textId="77777777" w:rsidR="00C521CB" w:rsidRDefault="00923650">
            <w:pPr>
              <w:jc w:val="left"/>
            </w:pPr>
            <w:r>
              <w:rPr>
                <w:rFonts w:ascii="Arial" w:hAnsi="Arial"/>
                <w:sz w:val="16"/>
              </w:rPr>
              <w:t>Comprehensive materials review</w:t>
            </w:r>
          </w:p>
        </w:tc>
        <w:tc>
          <w:tcPr>
            <w:tcW w:w="3300" w:type="dxa"/>
            <w:tcMar>
              <w:top w:w="70" w:type="dxa"/>
              <w:left w:w="90" w:type="dxa"/>
              <w:bottom w:w="70" w:type="dxa"/>
              <w:right w:w="90" w:type="dxa"/>
            </w:tcMar>
            <w:vAlign w:val="center"/>
          </w:tcPr>
          <w:p w14:paraId="7FBC72D3" w14:textId="77777777" w:rsidR="00C521CB" w:rsidRDefault="00923650">
            <w:pPr>
              <w:jc w:val="left"/>
            </w:pPr>
            <w:r>
              <w:rPr>
                <w:rFonts w:ascii="Arial" w:hAnsi="Arial"/>
                <w:sz w:val="16"/>
              </w:rPr>
              <w:t xml:space="preserve">Titanium alloys combine strength, corrosion resistance and biocompatibility with lower modulus than </w:t>
            </w:r>
            <w:proofErr w:type="spellStart"/>
            <w:r>
              <w:rPr>
                <w:rFonts w:ascii="Arial" w:hAnsi="Arial"/>
                <w:sz w:val="16"/>
              </w:rPr>
              <w:t>CoCrMo</w:t>
            </w:r>
            <w:proofErr w:type="spellEnd"/>
          </w:p>
        </w:tc>
        <w:tc>
          <w:tcPr>
            <w:tcW w:w="2330" w:type="dxa"/>
            <w:tcMar>
              <w:top w:w="70" w:type="dxa"/>
              <w:left w:w="90" w:type="dxa"/>
              <w:bottom w:w="70" w:type="dxa"/>
              <w:right w:w="90" w:type="dxa"/>
            </w:tcMar>
            <w:vAlign w:val="center"/>
          </w:tcPr>
          <w:p w14:paraId="7B8E058E" w14:textId="77777777" w:rsidR="00C521CB" w:rsidRDefault="00923650">
            <w:pPr>
              <w:jc w:val="left"/>
            </w:pPr>
            <w:r>
              <w:rPr>
                <w:rFonts w:ascii="Arial" w:hAnsi="Arial"/>
                <w:sz w:val="16"/>
              </w:rPr>
              <w:t>Reserves titanium for structural and bone-contact regions</w:t>
            </w:r>
          </w:p>
        </w:tc>
      </w:tr>
      <w:tr w:rsidR="00C521CB" w14:paraId="2E9BC6D1" w14:textId="77777777">
        <w:trPr>
          <w:cantSplit/>
          <w:jc w:val="center"/>
        </w:trPr>
        <w:tc>
          <w:tcPr>
            <w:tcW w:w="1750" w:type="dxa"/>
            <w:tcMar>
              <w:top w:w="70" w:type="dxa"/>
              <w:left w:w="90" w:type="dxa"/>
              <w:bottom w:w="70" w:type="dxa"/>
              <w:right w:w="90" w:type="dxa"/>
            </w:tcMar>
            <w:vAlign w:val="center"/>
          </w:tcPr>
          <w:p w14:paraId="2330DC95" w14:textId="77777777" w:rsidR="00C521CB" w:rsidRDefault="00923650">
            <w:pPr>
              <w:jc w:val="left"/>
            </w:pPr>
            <w:r>
              <w:rPr>
                <w:rFonts w:ascii="Arial" w:hAnsi="Arial"/>
                <w:sz w:val="16"/>
              </w:rPr>
              <w:t>Stage 4: Mani et al. {Mani 2024}</w:t>
            </w:r>
          </w:p>
        </w:tc>
        <w:tc>
          <w:tcPr>
            <w:tcW w:w="620" w:type="dxa"/>
            <w:tcMar>
              <w:top w:w="70" w:type="dxa"/>
              <w:left w:w="90" w:type="dxa"/>
              <w:bottom w:w="70" w:type="dxa"/>
              <w:right w:w="90" w:type="dxa"/>
            </w:tcMar>
            <w:vAlign w:val="center"/>
          </w:tcPr>
          <w:p w14:paraId="248B00B8" w14:textId="77777777" w:rsidR="00C521CB" w:rsidRDefault="00923650">
            <w:pPr>
              <w:jc w:val="left"/>
            </w:pPr>
            <w:r>
              <w:rPr>
                <w:rFonts w:ascii="Arial" w:hAnsi="Arial"/>
                <w:sz w:val="16"/>
              </w:rPr>
              <w:t>2024</w:t>
            </w:r>
          </w:p>
        </w:tc>
        <w:tc>
          <w:tcPr>
            <w:tcW w:w="1560" w:type="dxa"/>
            <w:tcMar>
              <w:top w:w="70" w:type="dxa"/>
              <w:left w:w="90" w:type="dxa"/>
              <w:bottom w:w="70" w:type="dxa"/>
              <w:right w:w="90" w:type="dxa"/>
            </w:tcMar>
            <w:vAlign w:val="center"/>
          </w:tcPr>
          <w:p w14:paraId="03A75C5A" w14:textId="77777777" w:rsidR="00C521CB" w:rsidRDefault="00923650">
            <w:pPr>
              <w:jc w:val="left"/>
            </w:pPr>
            <w:r>
              <w:rPr>
                <w:rFonts w:ascii="Arial" w:hAnsi="Arial"/>
                <w:sz w:val="16"/>
              </w:rPr>
              <w:t>Manufacturing process review</w:t>
            </w:r>
          </w:p>
        </w:tc>
        <w:tc>
          <w:tcPr>
            <w:tcW w:w="3300" w:type="dxa"/>
            <w:tcMar>
              <w:top w:w="70" w:type="dxa"/>
              <w:left w:w="90" w:type="dxa"/>
              <w:bottom w:w="70" w:type="dxa"/>
              <w:right w:w="90" w:type="dxa"/>
            </w:tcMar>
            <w:vAlign w:val="center"/>
          </w:tcPr>
          <w:p w14:paraId="468EA370" w14:textId="77777777" w:rsidR="00C521CB" w:rsidRDefault="00923650">
            <w:pPr>
              <w:jc w:val="left"/>
            </w:pPr>
            <w:r>
              <w:rPr>
                <w:rFonts w:ascii="Arial" w:hAnsi="Arial"/>
                <w:sz w:val="16"/>
              </w:rPr>
              <w:t xml:space="preserve">Casting, forging, machining and powder-bed fusion produce different </w:t>
            </w:r>
            <w:proofErr w:type="spellStart"/>
            <w:r>
              <w:rPr>
                <w:rFonts w:ascii="Arial" w:hAnsi="Arial"/>
                <w:sz w:val="16"/>
              </w:rPr>
              <w:t>CoCrMo</w:t>
            </w:r>
            <w:proofErr w:type="spellEnd"/>
            <w:r>
              <w:rPr>
                <w:rFonts w:ascii="Arial" w:hAnsi="Arial"/>
                <w:sz w:val="16"/>
              </w:rPr>
              <w:t xml:space="preserve"> microstructures affecting fatigue and corrosion</w:t>
            </w:r>
          </w:p>
        </w:tc>
        <w:tc>
          <w:tcPr>
            <w:tcW w:w="2330" w:type="dxa"/>
            <w:tcMar>
              <w:top w:w="70" w:type="dxa"/>
              <w:left w:w="90" w:type="dxa"/>
              <w:bottom w:w="70" w:type="dxa"/>
              <w:right w:w="90" w:type="dxa"/>
            </w:tcMar>
            <w:vAlign w:val="center"/>
          </w:tcPr>
          <w:p w14:paraId="6920E91C" w14:textId="77777777" w:rsidR="00C521CB" w:rsidRDefault="00923650">
            <w:pPr>
              <w:jc w:val="left"/>
            </w:pPr>
            <w:r>
              <w:rPr>
                <w:rFonts w:ascii="Arial" w:hAnsi="Arial"/>
                <w:sz w:val="16"/>
              </w:rPr>
              <w:t>Material specified by composition and manufacturing route together</w:t>
            </w:r>
          </w:p>
        </w:tc>
      </w:tr>
      <w:tr w:rsidR="00C521CB" w14:paraId="7BFF2E7B" w14:textId="77777777">
        <w:trPr>
          <w:cantSplit/>
          <w:jc w:val="center"/>
        </w:trPr>
        <w:tc>
          <w:tcPr>
            <w:tcW w:w="1750" w:type="dxa"/>
            <w:tcMar>
              <w:top w:w="70" w:type="dxa"/>
              <w:left w:w="90" w:type="dxa"/>
              <w:bottom w:w="70" w:type="dxa"/>
              <w:right w:w="90" w:type="dxa"/>
            </w:tcMar>
            <w:vAlign w:val="center"/>
          </w:tcPr>
          <w:p w14:paraId="29270C21" w14:textId="77777777" w:rsidR="00C521CB" w:rsidRPr="00BE3B19" w:rsidRDefault="00923650">
            <w:pPr>
              <w:jc w:val="left"/>
              <w:rPr>
                <w:lang w:val="de-DE"/>
              </w:rPr>
            </w:pPr>
            <w:r w:rsidRPr="00BE3B19">
              <w:rPr>
                <w:rFonts w:ascii="Arial" w:hAnsi="Arial"/>
                <w:sz w:val="16"/>
                <w:lang w:val="de-DE"/>
              </w:rPr>
              <w:t>Stage 4: Wang et al. {Wang 2016}</w:t>
            </w:r>
          </w:p>
        </w:tc>
        <w:tc>
          <w:tcPr>
            <w:tcW w:w="620" w:type="dxa"/>
            <w:tcMar>
              <w:top w:w="70" w:type="dxa"/>
              <w:left w:w="90" w:type="dxa"/>
              <w:bottom w:w="70" w:type="dxa"/>
              <w:right w:w="90" w:type="dxa"/>
            </w:tcMar>
            <w:vAlign w:val="center"/>
          </w:tcPr>
          <w:p w14:paraId="5A091D69" w14:textId="77777777" w:rsidR="00C521CB" w:rsidRDefault="00923650">
            <w:pPr>
              <w:jc w:val="left"/>
            </w:pPr>
            <w:r>
              <w:rPr>
                <w:rFonts w:ascii="Arial" w:hAnsi="Arial"/>
                <w:sz w:val="16"/>
              </w:rPr>
              <w:t>2016</w:t>
            </w:r>
          </w:p>
        </w:tc>
        <w:tc>
          <w:tcPr>
            <w:tcW w:w="1560" w:type="dxa"/>
            <w:tcMar>
              <w:top w:w="70" w:type="dxa"/>
              <w:left w:w="90" w:type="dxa"/>
              <w:bottom w:w="70" w:type="dxa"/>
              <w:right w:w="90" w:type="dxa"/>
            </w:tcMar>
            <w:vAlign w:val="center"/>
          </w:tcPr>
          <w:p w14:paraId="2ABA33AA" w14:textId="77777777" w:rsidR="00C521CB" w:rsidRDefault="00923650">
            <w:pPr>
              <w:jc w:val="left"/>
            </w:pPr>
            <w:r>
              <w:rPr>
                <w:rFonts w:ascii="Arial" w:hAnsi="Arial"/>
                <w:sz w:val="16"/>
              </w:rPr>
              <w:t>Review of porous metal design</w:t>
            </w:r>
          </w:p>
        </w:tc>
        <w:tc>
          <w:tcPr>
            <w:tcW w:w="3300" w:type="dxa"/>
            <w:tcMar>
              <w:top w:w="70" w:type="dxa"/>
              <w:left w:w="90" w:type="dxa"/>
              <w:bottom w:w="70" w:type="dxa"/>
              <w:right w:w="90" w:type="dxa"/>
            </w:tcMar>
            <w:vAlign w:val="center"/>
          </w:tcPr>
          <w:p w14:paraId="445CD786" w14:textId="77777777" w:rsidR="00C521CB" w:rsidRDefault="00923650">
            <w:pPr>
              <w:jc w:val="left"/>
            </w:pPr>
            <w:r>
              <w:rPr>
                <w:rFonts w:ascii="Arial" w:hAnsi="Arial"/>
                <w:sz w:val="16"/>
              </w:rPr>
              <w:t>Pore size, porosity and interconnectivity govern stiffness, fatigue and bone ingrowth</w:t>
            </w:r>
          </w:p>
        </w:tc>
        <w:tc>
          <w:tcPr>
            <w:tcW w:w="2330" w:type="dxa"/>
            <w:tcMar>
              <w:top w:w="70" w:type="dxa"/>
              <w:left w:w="90" w:type="dxa"/>
              <w:bottom w:w="70" w:type="dxa"/>
              <w:right w:w="90" w:type="dxa"/>
            </w:tcMar>
            <w:vAlign w:val="center"/>
          </w:tcPr>
          <w:p w14:paraId="38C5168F" w14:textId="77777777" w:rsidR="00C521CB" w:rsidRDefault="00923650">
            <w:pPr>
              <w:jc w:val="left"/>
            </w:pPr>
            <w:r>
              <w:rPr>
                <w:rFonts w:ascii="Arial" w:hAnsi="Arial"/>
                <w:sz w:val="16"/>
              </w:rPr>
              <w:t>Porous architecture optimized locally, not uniformly</w:t>
            </w:r>
          </w:p>
        </w:tc>
      </w:tr>
      <w:tr w:rsidR="00C521CB" w14:paraId="6AD2604D" w14:textId="77777777">
        <w:trPr>
          <w:cantSplit/>
          <w:jc w:val="center"/>
        </w:trPr>
        <w:tc>
          <w:tcPr>
            <w:tcW w:w="1750" w:type="dxa"/>
            <w:tcMar>
              <w:top w:w="70" w:type="dxa"/>
              <w:left w:w="90" w:type="dxa"/>
              <w:bottom w:w="70" w:type="dxa"/>
              <w:right w:w="90" w:type="dxa"/>
            </w:tcMar>
            <w:vAlign w:val="center"/>
          </w:tcPr>
          <w:p w14:paraId="07A73047" w14:textId="77777777" w:rsidR="00C521CB" w:rsidRDefault="00923650">
            <w:pPr>
              <w:jc w:val="left"/>
            </w:pPr>
            <w:r>
              <w:rPr>
                <w:rFonts w:ascii="Arial" w:hAnsi="Arial"/>
                <w:sz w:val="16"/>
              </w:rPr>
              <w:t>Stage 4: Kutluay et al. {Kutluay 2026}</w:t>
            </w:r>
          </w:p>
        </w:tc>
        <w:tc>
          <w:tcPr>
            <w:tcW w:w="620" w:type="dxa"/>
            <w:tcMar>
              <w:top w:w="70" w:type="dxa"/>
              <w:left w:w="90" w:type="dxa"/>
              <w:bottom w:w="70" w:type="dxa"/>
              <w:right w:w="90" w:type="dxa"/>
            </w:tcMar>
            <w:vAlign w:val="center"/>
          </w:tcPr>
          <w:p w14:paraId="33F3D68E" w14:textId="77777777" w:rsidR="00C521CB" w:rsidRDefault="00923650">
            <w:pPr>
              <w:jc w:val="left"/>
            </w:pPr>
            <w:r>
              <w:rPr>
                <w:rFonts w:ascii="Arial" w:hAnsi="Arial"/>
                <w:sz w:val="16"/>
              </w:rPr>
              <w:t>2026</w:t>
            </w:r>
          </w:p>
        </w:tc>
        <w:tc>
          <w:tcPr>
            <w:tcW w:w="1560" w:type="dxa"/>
            <w:tcMar>
              <w:top w:w="70" w:type="dxa"/>
              <w:left w:w="90" w:type="dxa"/>
              <w:bottom w:w="70" w:type="dxa"/>
              <w:right w:w="90" w:type="dxa"/>
            </w:tcMar>
            <w:vAlign w:val="center"/>
          </w:tcPr>
          <w:p w14:paraId="2C7AD95B" w14:textId="77777777" w:rsidR="00C521CB" w:rsidRDefault="00923650">
            <w:pPr>
              <w:jc w:val="left"/>
            </w:pPr>
            <w:r>
              <w:rPr>
                <w:rFonts w:ascii="Arial" w:hAnsi="Arial"/>
                <w:sz w:val="16"/>
              </w:rPr>
              <w:t>Critical narrative review, porous Ti-6Al-4V</w:t>
            </w:r>
          </w:p>
        </w:tc>
        <w:tc>
          <w:tcPr>
            <w:tcW w:w="3300" w:type="dxa"/>
            <w:tcMar>
              <w:top w:w="70" w:type="dxa"/>
              <w:left w:w="90" w:type="dxa"/>
              <w:bottom w:w="70" w:type="dxa"/>
              <w:right w:w="90" w:type="dxa"/>
            </w:tcMar>
            <w:vAlign w:val="center"/>
          </w:tcPr>
          <w:p w14:paraId="7FF154BE" w14:textId="77777777" w:rsidR="00C521CB" w:rsidRDefault="00923650">
            <w:pPr>
              <w:jc w:val="left"/>
            </w:pPr>
            <w:r>
              <w:rPr>
                <w:rFonts w:ascii="Arial" w:hAnsi="Arial"/>
                <w:sz w:val="16"/>
              </w:rPr>
              <w:t>Load-bearing porous Ti-6Al-4V: design, fatigue and clinical failure modes</w:t>
            </w:r>
          </w:p>
        </w:tc>
        <w:tc>
          <w:tcPr>
            <w:tcW w:w="2330" w:type="dxa"/>
            <w:tcMar>
              <w:top w:w="70" w:type="dxa"/>
              <w:left w:w="90" w:type="dxa"/>
              <w:bottom w:w="70" w:type="dxa"/>
              <w:right w:w="90" w:type="dxa"/>
            </w:tcMar>
            <w:vAlign w:val="center"/>
          </w:tcPr>
          <w:p w14:paraId="684CF14F" w14:textId="77777777" w:rsidR="00C521CB" w:rsidRDefault="00923650">
            <w:pPr>
              <w:jc w:val="left"/>
            </w:pPr>
            <w:r>
              <w:rPr>
                <w:rFonts w:ascii="Arial" w:hAnsi="Arial"/>
                <w:sz w:val="16"/>
              </w:rPr>
              <w:t>Connects AM porous design to durability evidence</w:t>
            </w:r>
          </w:p>
        </w:tc>
      </w:tr>
      <w:tr w:rsidR="00C521CB" w14:paraId="7FEB2120" w14:textId="77777777">
        <w:trPr>
          <w:cantSplit/>
          <w:jc w:val="center"/>
        </w:trPr>
        <w:tc>
          <w:tcPr>
            <w:tcW w:w="1750" w:type="dxa"/>
            <w:tcMar>
              <w:top w:w="70" w:type="dxa"/>
              <w:left w:w="90" w:type="dxa"/>
              <w:bottom w:w="70" w:type="dxa"/>
              <w:right w:w="90" w:type="dxa"/>
            </w:tcMar>
            <w:vAlign w:val="center"/>
          </w:tcPr>
          <w:p w14:paraId="23C56CCD" w14:textId="77777777" w:rsidR="00C521CB" w:rsidRDefault="00923650">
            <w:pPr>
              <w:jc w:val="left"/>
            </w:pPr>
            <w:r>
              <w:rPr>
                <w:rFonts w:ascii="Arial" w:hAnsi="Arial"/>
                <w:sz w:val="16"/>
              </w:rPr>
              <w:t>Future directions: Study</w:t>
            </w:r>
          </w:p>
        </w:tc>
        <w:tc>
          <w:tcPr>
            <w:tcW w:w="620" w:type="dxa"/>
            <w:tcMar>
              <w:top w:w="70" w:type="dxa"/>
              <w:left w:w="90" w:type="dxa"/>
              <w:bottom w:w="70" w:type="dxa"/>
              <w:right w:w="90" w:type="dxa"/>
            </w:tcMar>
            <w:vAlign w:val="center"/>
          </w:tcPr>
          <w:p w14:paraId="67EBADA4" w14:textId="77777777" w:rsidR="00C521CB" w:rsidRDefault="00923650">
            <w:pPr>
              <w:jc w:val="left"/>
            </w:pPr>
            <w:r>
              <w:rPr>
                <w:rFonts w:ascii="Arial" w:hAnsi="Arial"/>
                <w:sz w:val="16"/>
              </w:rPr>
              <w:t>Year</w:t>
            </w:r>
          </w:p>
        </w:tc>
        <w:tc>
          <w:tcPr>
            <w:tcW w:w="1560" w:type="dxa"/>
            <w:tcMar>
              <w:top w:w="70" w:type="dxa"/>
              <w:left w:w="90" w:type="dxa"/>
              <w:bottom w:w="70" w:type="dxa"/>
              <w:right w:w="90" w:type="dxa"/>
            </w:tcMar>
            <w:vAlign w:val="center"/>
          </w:tcPr>
          <w:p w14:paraId="57715D1F" w14:textId="77777777" w:rsidR="00C521CB" w:rsidRDefault="00923650">
            <w:pPr>
              <w:jc w:val="left"/>
            </w:pPr>
            <w:r>
              <w:rPr>
                <w:rFonts w:ascii="Arial" w:hAnsi="Arial"/>
                <w:sz w:val="16"/>
              </w:rPr>
              <w:t>Evidence type</w:t>
            </w:r>
          </w:p>
        </w:tc>
        <w:tc>
          <w:tcPr>
            <w:tcW w:w="3300" w:type="dxa"/>
            <w:tcMar>
              <w:top w:w="70" w:type="dxa"/>
              <w:left w:w="90" w:type="dxa"/>
              <w:bottom w:w="70" w:type="dxa"/>
              <w:right w:w="90" w:type="dxa"/>
            </w:tcMar>
            <w:vAlign w:val="center"/>
          </w:tcPr>
          <w:p w14:paraId="330E415C" w14:textId="77777777" w:rsidR="00C521CB" w:rsidRDefault="00923650">
            <w:pPr>
              <w:jc w:val="left"/>
            </w:pPr>
            <w:r>
              <w:rPr>
                <w:rFonts w:ascii="Arial" w:hAnsi="Arial"/>
                <w:sz w:val="16"/>
              </w:rPr>
              <w:t>Key finding</w:t>
            </w:r>
          </w:p>
        </w:tc>
        <w:tc>
          <w:tcPr>
            <w:tcW w:w="2330" w:type="dxa"/>
            <w:tcMar>
              <w:top w:w="70" w:type="dxa"/>
              <w:left w:w="90" w:type="dxa"/>
              <w:bottom w:w="70" w:type="dxa"/>
              <w:right w:w="90" w:type="dxa"/>
            </w:tcMar>
            <w:vAlign w:val="center"/>
          </w:tcPr>
          <w:p w14:paraId="44EE2AC2" w14:textId="77777777" w:rsidR="00C521CB" w:rsidRDefault="00923650">
            <w:pPr>
              <w:jc w:val="left"/>
            </w:pPr>
            <w:r>
              <w:rPr>
                <w:rFonts w:ascii="Arial" w:hAnsi="Arial"/>
                <w:sz w:val="16"/>
              </w:rPr>
              <w:t>Implication for future directions</w:t>
            </w:r>
          </w:p>
        </w:tc>
      </w:tr>
      <w:tr w:rsidR="00C521CB" w14:paraId="4DCB41E9" w14:textId="77777777">
        <w:trPr>
          <w:cantSplit/>
          <w:jc w:val="center"/>
        </w:trPr>
        <w:tc>
          <w:tcPr>
            <w:tcW w:w="1750" w:type="dxa"/>
            <w:tcMar>
              <w:top w:w="70" w:type="dxa"/>
              <w:left w:w="90" w:type="dxa"/>
              <w:bottom w:w="70" w:type="dxa"/>
              <w:right w:w="90" w:type="dxa"/>
            </w:tcMar>
            <w:vAlign w:val="center"/>
          </w:tcPr>
          <w:p w14:paraId="7A62C1DB" w14:textId="77777777" w:rsidR="00C521CB" w:rsidRDefault="00923650">
            <w:pPr>
              <w:jc w:val="left"/>
            </w:pPr>
            <w:r>
              <w:rPr>
                <w:rFonts w:ascii="Arial" w:hAnsi="Arial"/>
                <w:sz w:val="16"/>
              </w:rPr>
              <w:t>Future directions: Wei et al. {Wei 2025}</w:t>
            </w:r>
          </w:p>
        </w:tc>
        <w:tc>
          <w:tcPr>
            <w:tcW w:w="620" w:type="dxa"/>
            <w:tcMar>
              <w:top w:w="70" w:type="dxa"/>
              <w:left w:w="90" w:type="dxa"/>
              <w:bottom w:w="70" w:type="dxa"/>
              <w:right w:w="90" w:type="dxa"/>
            </w:tcMar>
            <w:vAlign w:val="center"/>
          </w:tcPr>
          <w:p w14:paraId="39B3EADE" w14:textId="77777777" w:rsidR="00C521CB" w:rsidRDefault="00923650">
            <w:pPr>
              <w:jc w:val="left"/>
            </w:pPr>
            <w:r>
              <w:rPr>
                <w:rFonts w:ascii="Arial" w:hAnsi="Arial"/>
                <w:sz w:val="16"/>
              </w:rPr>
              <w:t>2025</w:t>
            </w:r>
          </w:p>
        </w:tc>
        <w:tc>
          <w:tcPr>
            <w:tcW w:w="1560" w:type="dxa"/>
            <w:tcMar>
              <w:top w:w="70" w:type="dxa"/>
              <w:left w:w="90" w:type="dxa"/>
              <w:bottom w:w="70" w:type="dxa"/>
              <w:right w:w="90" w:type="dxa"/>
            </w:tcMar>
            <w:vAlign w:val="center"/>
          </w:tcPr>
          <w:p w14:paraId="46460750" w14:textId="77777777" w:rsidR="00C521CB" w:rsidRDefault="00923650">
            <w:pPr>
              <w:jc w:val="left"/>
            </w:pPr>
            <w:r>
              <w:rPr>
                <w:rFonts w:ascii="Arial" w:hAnsi="Arial"/>
                <w:sz w:val="16"/>
              </w:rPr>
              <w:t>Case series, customized 3D-printed TWA</w:t>
            </w:r>
          </w:p>
        </w:tc>
        <w:tc>
          <w:tcPr>
            <w:tcW w:w="3300" w:type="dxa"/>
            <w:tcMar>
              <w:top w:w="70" w:type="dxa"/>
              <w:left w:w="90" w:type="dxa"/>
              <w:bottom w:w="70" w:type="dxa"/>
              <w:right w:w="90" w:type="dxa"/>
            </w:tcMar>
            <w:vAlign w:val="center"/>
          </w:tcPr>
          <w:p w14:paraId="0793588A" w14:textId="77777777" w:rsidR="00C521CB" w:rsidRDefault="00923650">
            <w:pPr>
              <w:jc w:val="left"/>
            </w:pPr>
            <w:r>
              <w:rPr>
                <w:rFonts w:ascii="Arial" w:hAnsi="Arial"/>
                <w:sz w:val="16"/>
              </w:rPr>
              <w:t>Contralateral-CT-based design with individualized fixation and porous structure</w:t>
            </w:r>
          </w:p>
        </w:tc>
        <w:tc>
          <w:tcPr>
            <w:tcW w:w="2330" w:type="dxa"/>
            <w:tcMar>
              <w:top w:w="70" w:type="dxa"/>
              <w:left w:w="90" w:type="dxa"/>
              <w:bottom w:w="70" w:type="dxa"/>
              <w:right w:w="90" w:type="dxa"/>
            </w:tcMar>
            <w:vAlign w:val="center"/>
          </w:tcPr>
          <w:p w14:paraId="3AB85CC2" w14:textId="77777777" w:rsidR="00C521CB" w:rsidRDefault="00923650">
            <w:pPr>
              <w:jc w:val="left"/>
            </w:pPr>
            <w:r>
              <w:rPr>
                <w:rFonts w:ascii="Arial" w:hAnsi="Arial"/>
                <w:sz w:val="16"/>
              </w:rPr>
              <w:t>Clinical template whose maturation defines the customization trajectory</w:t>
            </w:r>
          </w:p>
        </w:tc>
      </w:tr>
      <w:tr w:rsidR="00C521CB" w14:paraId="294909FA" w14:textId="77777777">
        <w:trPr>
          <w:cantSplit/>
          <w:jc w:val="center"/>
        </w:trPr>
        <w:tc>
          <w:tcPr>
            <w:tcW w:w="1750" w:type="dxa"/>
            <w:tcMar>
              <w:top w:w="70" w:type="dxa"/>
              <w:left w:w="90" w:type="dxa"/>
              <w:bottom w:w="70" w:type="dxa"/>
              <w:right w:w="90" w:type="dxa"/>
            </w:tcMar>
            <w:vAlign w:val="center"/>
          </w:tcPr>
          <w:p w14:paraId="09AC73C5" w14:textId="77777777" w:rsidR="00C521CB" w:rsidRDefault="00923650">
            <w:pPr>
              <w:jc w:val="left"/>
            </w:pPr>
            <w:r>
              <w:rPr>
                <w:rFonts w:ascii="Arial" w:hAnsi="Arial"/>
                <w:sz w:val="16"/>
              </w:rPr>
              <w:t>Future directions: Xiao et al. {Xiao 2026}</w:t>
            </w:r>
          </w:p>
        </w:tc>
        <w:tc>
          <w:tcPr>
            <w:tcW w:w="620" w:type="dxa"/>
            <w:tcMar>
              <w:top w:w="70" w:type="dxa"/>
              <w:left w:w="90" w:type="dxa"/>
              <w:bottom w:w="70" w:type="dxa"/>
              <w:right w:w="90" w:type="dxa"/>
            </w:tcMar>
            <w:vAlign w:val="center"/>
          </w:tcPr>
          <w:p w14:paraId="37E2042A" w14:textId="77777777" w:rsidR="00C521CB" w:rsidRDefault="00923650">
            <w:pPr>
              <w:jc w:val="left"/>
            </w:pPr>
            <w:r>
              <w:rPr>
                <w:rFonts w:ascii="Arial" w:hAnsi="Arial"/>
                <w:sz w:val="16"/>
              </w:rPr>
              <w:t>2026</w:t>
            </w:r>
          </w:p>
        </w:tc>
        <w:tc>
          <w:tcPr>
            <w:tcW w:w="1560" w:type="dxa"/>
            <w:tcMar>
              <w:top w:w="70" w:type="dxa"/>
              <w:left w:w="90" w:type="dxa"/>
              <w:bottom w:w="70" w:type="dxa"/>
              <w:right w:w="90" w:type="dxa"/>
            </w:tcMar>
            <w:vAlign w:val="center"/>
          </w:tcPr>
          <w:p w14:paraId="74C6908D" w14:textId="77777777" w:rsidR="00C521CB" w:rsidRDefault="00923650">
            <w:pPr>
              <w:jc w:val="left"/>
            </w:pPr>
            <w:r>
              <w:rPr>
                <w:rFonts w:ascii="Arial" w:hAnsi="Arial"/>
                <w:sz w:val="16"/>
              </w:rPr>
              <w:t>Quasi-dynamic finite element comparison</w:t>
            </w:r>
          </w:p>
        </w:tc>
        <w:tc>
          <w:tcPr>
            <w:tcW w:w="3300" w:type="dxa"/>
            <w:tcMar>
              <w:top w:w="70" w:type="dxa"/>
              <w:left w:w="90" w:type="dxa"/>
              <w:bottom w:w="70" w:type="dxa"/>
              <w:right w:w="90" w:type="dxa"/>
            </w:tcMar>
            <w:vAlign w:val="center"/>
          </w:tcPr>
          <w:p w14:paraId="00A47480" w14:textId="77777777" w:rsidR="00C521CB" w:rsidRDefault="00923650">
            <w:pPr>
              <w:jc w:val="left"/>
            </w:pPr>
            <w:proofErr w:type="spellStart"/>
            <w:r>
              <w:rPr>
                <w:rFonts w:ascii="Arial" w:hAnsi="Arial"/>
                <w:sz w:val="16"/>
              </w:rPr>
              <w:t>Multiobjective</w:t>
            </w:r>
            <w:proofErr w:type="spellEnd"/>
            <w:r>
              <w:rPr>
                <w:rFonts w:ascii="Arial" w:hAnsi="Arial"/>
                <w:sz w:val="16"/>
              </w:rPr>
              <w:t xml:space="preserve"> patient-specific evaluation within one modelling framework</w:t>
            </w:r>
          </w:p>
        </w:tc>
        <w:tc>
          <w:tcPr>
            <w:tcW w:w="2330" w:type="dxa"/>
            <w:tcMar>
              <w:top w:w="70" w:type="dxa"/>
              <w:left w:w="90" w:type="dxa"/>
              <w:bottom w:w="70" w:type="dxa"/>
              <w:right w:w="90" w:type="dxa"/>
            </w:tcMar>
            <w:vAlign w:val="center"/>
          </w:tcPr>
          <w:p w14:paraId="40160EF8" w14:textId="77777777" w:rsidR="00C521CB" w:rsidRDefault="00923650">
            <w:pPr>
              <w:jc w:val="left"/>
            </w:pPr>
            <w:r>
              <w:rPr>
                <w:rFonts w:ascii="Arial" w:hAnsi="Arial"/>
                <w:sz w:val="16"/>
              </w:rPr>
              <w:t>Demonstrates the evaluation loop customized systems must scale</w:t>
            </w:r>
          </w:p>
        </w:tc>
      </w:tr>
      <w:tr w:rsidR="00C521CB" w14:paraId="54A37656" w14:textId="77777777">
        <w:trPr>
          <w:cantSplit/>
          <w:jc w:val="center"/>
        </w:trPr>
        <w:tc>
          <w:tcPr>
            <w:tcW w:w="1750" w:type="dxa"/>
            <w:tcMar>
              <w:top w:w="70" w:type="dxa"/>
              <w:left w:w="90" w:type="dxa"/>
              <w:bottom w:w="70" w:type="dxa"/>
              <w:right w:w="90" w:type="dxa"/>
            </w:tcMar>
            <w:vAlign w:val="center"/>
          </w:tcPr>
          <w:p w14:paraId="72107E81" w14:textId="77777777" w:rsidR="00C521CB" w:rsidRDefault="00923650">
            <w:pPr>
              <w:jc w:val="left"/>
            </w:pPr>
            <w:r>
              <w:rPr>
                <w:rFonts w:ascii="Arial" w:hAnsi="Arial"/>
                <w:sz w:val="16"/>
              </w:rPr>
              <w:t xml:space="preserve">Future directions: </w:t>
            </w:r>
            <w:proofErr w:type="spellStart"/>
            <w:r>
              <w:rPr>
                <w:rFonts w:ascii="Arial" w:hAnsi="Arial"/>
                <w:sz w:val="16"/>
              </w:rPr>
              <w:t>Akhbari</w:t>
            </w:r>
            <w:proofErr w:type="spellEnd"/>
            <w:r>
              <w:rPr>
                <w:rFonts w:ascii="Arial" w:hAnsi="Arial"/>
                <w:sz w:val="16"/>
              </w:rPr>
              <w:t xml:space="preserve"> et al. {</w:t>
            </w:r>
            <w:proofErr w:type="spellStart"/>
            <w:r>
              <w:rPr>
                <w:rFonts w:ascii="Arial" w:hAnsi="Arial"/>
                <w:sz w:val="16"/>
              </w:rPr>
              <w:t>Akhbari</w:t>
            </w:r>
            <w:proofErr w:type="spellEnd"/>
            <w:r>
              <w:rPr>
                <w:rFonts w:ascii="Arial" w:hAnsi="Arial"/>
                <w:sz w:val="16"/>
              </w:rPr>
              <w:t xml:space="preserve"> 2020}</w:t>
            </w:r>
          </w:p>
        </w:tc>
        <w:tc>
          <w:tcPr>
            <w:tcW w:w="620" w:type="dxa"/>
            <w:tcMar>
              <w:top w:w="70" w:type="dxa"/>
              <w:left w:w="90" w:type="dxa"/>
              <w:bottom w:w="70" w:type="dxa"/>
              <w:right w:w="90" w:type="dxa"/>
            </w:tcMar>
            <w:vAlign w:val="center"/>
          </w:tcPr>
          <w:p w14:paraId="7DD20E06" w14:textId="77777777" w:rsidR="00C521CB" w:rsidRDefault="00923650">
            <w:pPr>
              <w:jc w:val="left"/>
            </w:pPr>
            <w:r>
              <w:rPr>
                <w:rFonts w:ascii="Arial" w:hAnsi="Arial"/>
                <w:sz w:val="16"/>
              </w:rPr>
              <w:t>2020</w:t>
            </w:r>
          </w:p>
        </w:tc>
        <w:tc>
          <w:tcPr>
            <w:tcW w:w="1560" w:type="dxa"/>
            <w:tcMar>
              <w:top w:w="70" w:type="dxa"/>
              <w:left w:w="90" w:type="dxa"/>
              <w:bottom w:w="70" w:type="dxa"/>
              <w:right w:w="90" w:type="dxa"/>
            </w:tcMar>
            <w:vAlign w:val="center"/>
          </w:tcPr>
          <w:p w14:paraId="7E71036C" w14:textId="0D21DF32" w:rsidR="00C521CB" w:rsidRDefault="00BC639E">
            <w:pPr>
              <w:jc w:val="left"/>
            </w:pPr>
            <w:r w:rsidRPr="00BC639E">
              <w:rPr>
                <w:rFonts w:ascii="Arial" w:hAnsi="Arial"/>
                <w:i/>
                <w:iCs/>
                <w:sz w:val="16"/>
              </w:rPr>
              <w:t>In-vivo</w:t>
            </w:r>
            <w:r>
              <w:rPr>
                <w:rFonts w:ascii="Arial" w:hAnsi="Arial"/>
                <w:sz w:val="16"/>
              </w:rPr>
              <w:t xml:space="preserve"> biplane </w:t>
            </w:r>
            <w:proofErr w:type="spellStart"/>
            <w:r>
              <w:rPr>
                <w:rFonts w:ascii="Arial" w:hAnsi="Arial"/>
                <w:sz w:val="16"/>
              </w:rPr>
              <w:t>videoradiography</w:t>
            </w:r>
            <w:proofErr w:type="spellEnd"/>
          </w:p>
        </w:tc>
        <w:tc>
          <w:tcPr>
            <w:tcW w:w="3300" w:type="dxa"/>
            <w:tcMar>
              <w:top w:w="70" w:type="dxa"/>
              <w:left w:w="90" w:type="dxa"/>
              <w:bottom w:w="70" w:type="dxa"/>
              <w:right w:w="90" w:type="dxa"/>
            </w:tcMar>
            <w:vAlign w:val="center"/>
          </w:tcPr>
          <w:p w14:paraId="509D4131" w14:textId="33783856" w:rsidR="00C521CB" w:rsidRDefault="00923650">
            <w:pPr>
              <w:jc w:val="left"/>
            </w:pPr>
            <w:r>
              <w:rPr>
                <w:rFonts w:ascii="Arial" w:hAnsi="Arial"/>
                <w:sz w:val="16"/>
              </w:rPr>
              <w:t xml:space="preserve">Marked postoperative </w:t>
            </w:r>
            <w:r w:rsidR="008F1480">
              <w:rPr>
                <w:rFonts w:ascii="Arial" w:hAnsi="Arial"/>
                <w:sz w:val="16"/>
              </w:rPr>
              <w:t>COR</w:t>
            </w:r>
            <w:r>
              <w:rPr>
                <w:rFonts w:ascii="Arial" w:hAnsi="Arial"/>
                <w:sz w:val="16"/>
              </w:rPr>
              <w:t xml:space="preserve"> migration relative to healthy wrists</w:t>
            </w:r>
          </w:p>
        </w:tc>
        <w:tc>
          <w:tcPr>
            <w:tcW w:w="2330" w:type="dxa"/>
            <w:tcMar>
              <w:top w:w="70" w:type="dxa"/>
              <w:left w:w="90" w:type="dxa"/>
              <w:bottom w:w="70" w:type="dxa"/>
              <w:right w:w="90" w:type="dxa"/>
            </w:tcMar>
            <w:vAlign w:val="center"/>
          </w:tcPr>
          <w:p w14:paraId="3BDAD17D" w14:textId="77777777" w:rsidR="00C521CB" w:rsidRDefault="00923650">
            <w:pPr>
              <w:jc w:val="left"/>
            </w:pPr>
            <w:r>
              <w:rPr>
                <w:rFonts w:ascii="Arial" w:hAnsi="Arial"/>
                <w:sz w:val="16"/>
              </w:rPr>
              <w:t>The measurement layer a digital twin consumes</w:t>
            </w:r>
          </w:p>
        </w:tc>
      </w:tr>
      <w:tr w:rsidR="00C521CB" w14:paraId="7141D1D3" w14:textId="77777777">
        <w:trPr>
          <w:cantSplit/>
          <w:jc w:val="center"/>
        </w:trPr>
        <w:tc>
          <w:tcPr>
            <w:tcW w:w="1750" w:type="dxa"/>
            <w:tcMar>
              <w:top w:w="70" w:type="dxa"/>
              <w:left w:w="90" w:type="dxa"/>
              <w:bottom w:w="70" w:type="dxa"/>
              <w:right w:w="90" w:type="dxa"/>
            </w:tcMar>
            <w:vAlign w:val="center"/>
          </w:tcPr>
          <w:p w14:paraId="1DFF977D" w14:textId="77777777" w:rsidR="00C521CB" w:rsidRDefault="00923650">
            <w:pPr>
              <w:jc w:val="left"/>
            </w:pPr>
            <w:r>
              <w:rPr>
                <w:rFonts w:ascii="Arial" w:hAnsi="Arial"/>
                <w:sz w:val="16"/>
              </w:rPr>
              <w:t>Future directions: Ma et al. {Ma 2024}</w:t>
            </w:r>
          </w:p>
        </w:tc>
        <w:tc>
          <w:tcPr>
            <w:tcW w:w="620" w:type="dxa"/>
            <w:tcMar>
              <w:top w:w="70" w:type="dxa"/>
              <w:left w:w="90" w:type="dxa"/>
              <w:bottom w:w="70" w:type="dxa"/>
              <w:right w:w="90" w:type="dxa"/>
            </w:tcMar>
            <w:vAlign w:val="center"/>
          </w:tcPr>
          <w:p w14:paraId="71634C81" w14:textId="77777777" w:rsidR="00C521CB" w:rsidRDefault="00923650">
            <w:pPr>
              <w:jc w:val="left"/>
            </w:pPr>
            <w:r>
              <w:rPr>
                <w:rFonts w:ascii="Arial" w:hAnsi="Arial"/>
                <w:sz w:val="16"/>
              </w:rPr>
              <w:t>2024</w:t>
            </w:r>
          </w:p>
        </w:tc>
        <w:tc>
          <w:tcPr>
            <w:tcW w:w="1560" w:type="dxa"/>
            <w:tcMar>
              <w:top w:w="70" w:type="dxa"/>
              <w:left w:w="90" w:type="dxa"/>
              <w:bottom w:w="70" w:type="dxa"/>
              <w:right w:w="90" w:type="dxa"/>
            </w:tcMar>
            <w:vAlign w:val="center"/>
          </w:tcPr>
          <w:p w14:paraId="097AF69D" w14:textId="77777777" w:rsidR="00C521CB" w:rsidRDefault="00923650">
            <w:pPr>
              <w:jc w:val="left"/>
            </w:pPr>
            <w:r>
              <w:rPr>
                <w:rFonts w:ascii="Arial" w:hAnsi="Arial"/>
                <w:sz w:val="16"/>
              </w:rPr>
              <w:t>Foundation-model segmentation (</w:t>
            </w:r>
            <w:proofErr w:type="spellStart"/>
            <w:r>
              <w:rPr>
                <w:rFonts w:ascii="Arial" w:hAnsi="Arial"/>
                <w:sz w:val="16"/>
              </w:rPr>
              <w:t>MedSAM</w:t>
            </w:r>
            <w:proofErr w:type="spellEnd"/>
            <w:r>
              <w:rPr>
                <w:rFonts w:ascii="Arial" w:hAnsi="Arial"/>
                <w:sz w:val="16"/>
              </w:rPr>
              <w:t>)</w:t>
            </w:r>
          </w:p>
        </w:tc>
        <w:tc>
          <w:tcPr>
            <w:tcW w:w="3300" w:type="dxa"/>
            <w:tcMar>
              <w:top w:w="70" w:type="dxa"/>
              <w:left w:w="90" w:type="dxa"/>
              <w:bottom w:w="70" w:type="dxa"/>
              <w:right w:w="90" w:type="dxa"/>
            </w:tcMar>
            <w:vAlign w:val="center"/>
          </w:tcPr>
          <w:p w14:paraId="4D53A15A" w14:textId="77777777" w:rsidR="00C521CB" w:rsidRDefault="00923650">
            <w:pPr>
              <w:jc w:val="left"/>
            </w:pPr>
            <w:proofErr w:type="spellStart"/>
            <w:r>
              <w:rPr>
                <w:rFonts w:ascii="Arial" w:hAnsi="Arial"/>
                <w:sz w:val="16"/>
              </w:rPr>
              <w:t>Promptable</w:t>
            </w:r>
            <w:proofErr w:type="spellEnd"/>
            <w:r>
              <w:rPr>
                <w:rFonts w:ascii="Arial" w:hAnsi="Arial"/>
                <w:sz w:val="16"/>
              </w:rPr>
              <w:t xml:space="preserve"> segmentation generalizable across modalities and anatomies</w:t>
            </w:r>
          </w:p>
        </w:tc>
        <w:tc>
          <w:tcPr>
            <w:tcW w:w="2330" w:type="dxa"/>
            <w:tcMar>
              <w:top w:w="70" w:type="dxa"/>
              <w:left w:w="90" w:type="dxa"/>
              <w:bottom w:w="70" w:type="dxa"/>
              <w:right w:w="90" w:type="dxa"/>
            </w:tcMar>
            <w:vAlign w:val="center"/>
          </w:tcPr>
          <w:p w14:paraId="1C61DC01" w14:textId="77777777" w:rsidR="00C521CB" w:rsidRDefault="00923650">
            <w:pPr>
              <w:jc w:val="left"/>
            </w:pPr>
            <w:r>
              <w:rPr>
                <w:rFonts w:ascii="Arial" w:hAnsi="Arial"/>
                <w:sz w:val="16"/>
              </w:rPr>
              <w:t>AI crossing from segmentation into planning inputs</w:t>
            </w:r>
          </w:p>
        </w:tc>
      </w:tr>
      <w:tr w:rsidR="00C521CB" w14:paraId="42EAD1B1" w14:textId="77777777">
        <w:trPr>
          <w:cantSplit/>
          <w:jc w:val="center"/>
        </w:trPr>
        <w:tc>
          <w:tcPr>
            <w:tcW w:w="1750" w:type="dxa"/>
            <w:tcMar>
              <w:top w:w="70" w:type="dxa"/>
              <w:left w:w="90" w:type="dxa"/>
              <w:bottom w:w="70" w:type="dxa"/>
              <w:right w:w="90" w:type="dxa"/>
            </w:tcMar>
            <w:vAlign w:val="center"/>
          </w:tcPr>
          <w:p w14:paraId="051B8617" w14:textId="77777777" w:rsidR="00C521CB" w:rsidRDefault="00923650">
            <w:pPr>
              <w:jc w:val="left"/>
            </w:pPr>
            <w:r>
              <w:rPr>
                <w:rFonts w:ascii="Arial" w:hAnsi="Arial"/>
                <w:sz w:val="16"/>
              </w:rPr>
              <w:lastRenderedPageBreak/>
              <w:t>Future directions: Özdemir {Özdemir 2026}</w:t>
            </w:r>
          </w:p>
        </w:tc>
        <w:tc>
          <w:tcPr>
            <w:tcW w:w="620" w:type="dxa"/>
            <w:tcMar>
              <w:top w:w="70" w:type="dxa"/>
              <w:left w:w="90" w:type="dxa"/>
              <w:bottom w:w="70" w:type="dxa"/>
              <w:right w:w="90" w:type="dxa"/>
            </w:tcMar>
            <w:vAlign w:val="center"/>
          </w:tcPr>
          <w:p w14:paraId="0BF3CC58" w14:textId="77777777" w:rsidR="00C521CB" w:rsidRDefault="00923650">
            <w:pPr>
              <w:jc w:val="left"/>
            </w:pPr>
            <w:r>
              <w:rPr>
                <w:rFonts w:ascii="Arial" w:hAnsi="Arial"/>
                <w:sz w:val="16"/>
              </w:rPr>
              <w:t>2026</w:t>
            </w:r>
          </w:p>
        </w:tc>
        <w:tc>
          <w:tcPr>
            <w:tcW w:w="1560" w:type="dxa"/>
            <w:tcMar>
              <w:top w:w="70" w:type="dxa"/>
              <w:left w:w="90" w:type="dxa"/>
              <w:bottom w:w="70" w:type="dxa"/>
              <w:right w:w="90" w:type="dxa"/>
            </w:tcMar>
            <w:vAlign w:val="center"/>
          </w:tcPr>
          <w:p w14:paraId="22F2F0FC" w14:textId="77777777" w:rsidR="00C521CB" w:rsidRDefault="00923650">
            <w:pPr>
              <w:jc w:val="left"/>
            </w:pPr>
            <w:r>
              <w:rPr>
                <w:rFonts w:ascii="Arial" w:hAnsi="Arial"/>
                <w:sz w:val="16"/>
              </w:rPr>
              <w:t xml:space="preserve">Review, embodied AI in robotic </w:t>
            </w:r>
            <w:proofErr w:type="spellStart"/>
            <w:r>
              <w:rPr>
                <w:rFonts w:ascii="Arial" w:hAnsi="Arial"/>
                <w:sz w:val="16"/>
              </w:rPr>
              <w:t>orthopaedic</w:t>
            </w:r>
            <w:proofErr w:type="spellEnd"/>
            <w:r>
              <w:rPr>
                <w:rFonts w:ascii="Arial" w:hAnsi="Arial"/>
                <w:sz w:val="16"/>
              </w:rPr>
              <w:t xml:space="preserve"> surgery</w:t>
            </w:r>
          </w:p>
        </w:tc>
        <w:tc>
          <w:tcPr>
            <w:tcW w:w="3300" w:type="dxa"/>
            <w:tcMar>
              <w:top w:w="70" w:type="dxa"/>
              <w:left w:w="90" w:type="dxa"/>
              <w:bottom w:w="70" w:type="dxa"/>
              <w:right w:w="90" w:type="dxa"/>
            </w:tcMar>
            <w:vAlign w:val="center"/>
          </w:tcPr>
          <w:p w14:paraId="5D13C30B" w14:textId="77777777" w:rsidR="00C521CB" w:rsidRDefault="00923650">
            <w:pPr>
              <w:jc w:val="left"/>
            </w:pPr>
            <w:r>
              <w:rPr>
                <w:rFonts w:ascii="Arial" w:hAnsi="Arial"/>
                <w:sz w:val="16"/>
              </w:rPr>
              <w:t>From intelligent assistance toward adaptive surgical autonomy</w:t>
            </w:r>
          </w:p>
        </w:tc>
        <w:tc>
          <w:tcPr>
            <w:tcW w:w="2330" w:type="dxa"/>
            <w:tcMar>
              <w:top w:w="70" w:type="dxa"/>
              <w:left w:w="90" w:type="dxa"/>
              <w:bottom w:w="70" w:type="dxa"/>
              <w:right w:w="90" w:type="dxa"/>
            </w:tcMar>
            <w:vAlign w:val="center"/>
          </w:tcPr>
          <w:p w14:paraId="5A2E727B" w14:textId="77777777" w:rsidR="00C521CB" w:rsidRDefault="00923650">
            <w:pPr>
              <w:jc w:val="left"/>
            </w:pPr>
            <w:r>
              <w:rPr>
                <w:rFonts w:ascii="Arial" w:hAnsi="Arial"/>
                <w:sz w:val="16"/>
              </w:rPr>
              <w:t>Robotics converging on the same loop from the intraoperative side</w:t>
            </w:r>
          </w:p>
        </w:tc>
      </w:tr>
    </w:tbl>
    <w:p w14:paraId="457B5A8D" w14:textId="77777777" w:rsidR="00C521CB" w:rsidRDefault="00C521CB">
      <w:pPr>
        <w:ind w:firstLine="317"/>
      </w:pPr>
    </w:p>
    <w:p w14:paraId="284DB89A" w14:textId="77777777" w:rsidR="00C521CB" w:rsidRDefault="00923650">
      <w:pPr>
        <w:pStyle w:val="21"/>
      </w:pPr>
      <w:r>
        <w:t>8.2 Digital twins as the architecture for continuous personalization</w:t>
      </w:r>
    </w:p>
    <w:p w14:paraId="48AFBC91" w14:textId="37719C7B" w:rsidR="00C521CB" w:rsidRDefault="00923650">
      <w:pPr>
        <w:ind w:firstLine="317"/>
      </w:pPr>
      <w:r>
        <w:t xml:space="preserve">The digital twin is the patient-specific model of Section 4 made longitudinal: created preoperatively from imaging and the target envelope, updated intraoperatively with executed placement, and updated again with postoperative measurements, namely </w:t>
      </w:r>
      <w:r w:rsidR="008F1480">
        <w:t>COR</w:t>
      </w:r>
      <w:r>
        <w:t xml:space="preserve"> </w:t>
      </w:r>
      <w:r w:rsidR="00A71CFF">
        <w:t xml:space="preserve">behavior </w:t>
      </w:r>
      <w:r>
        <w:t xml:space="preserve">by biplane </w:t>
      </w:r>
      <w:proofErr w:type="spellStart"/>
      <w:r>
        <w:t>videoradiography</w:t>
      </w:r>
      <w:proofErr w:type="spellEnd"/>
      <w:r>
        <w:t xml:space="preserve"> {</w:t>
      </w:r>
      <w:proofErr w:type="spellStart"/>
      <w:r>
        <w:t>Akhbari</w:t>
      </w:r>
      <w:proofErr w:type="spellEnd"/>
      <w:r>
        <w:t xml:space="preserve"> 2020; </w:t>
      </w:r>
      <w:proofErr w:type="spellStart"/>
      <w:r>
        <w:t>Akhbari</w:t>
      </w:r>
      <w:proofErr w:type="spellEnd"/>
      <w:r>
        <w:t xml:space="preserve"> 2019; Crisco 2026}, articular contact migration so far in single-design cohorts {</w:t>
      </w:r>
      <w:proofErr w:type="spellStart"/>
      <w:r>
        <w:t>Akhbari</w:t>
      </w:r>
      <w:proofErr w:type="spellEnd"/>
      <w:r>
        <w:t xml:space="preserve"> 2021}, migration by </w:t>
      </w:r>
      <w:proofErr w:type="spellStart"/>
      <w:r>
        <w:t>radiostereometry</w:t>
      </w:r>
      <w:proofErr w:type="spellEnd"/>
      <w:r>
        <w:t xml:space="preserve"> or photon-counting CT {Lind 2026; </w:t>
      </w:r>
      <w:proofErr w:type="spellStart"/>
      <w:r>
        <w:t>Jürgens-Lahnstein</w:t>
      </w:r>
      <w:proofErr w:type="spellEnd"/>
      <w:r>
        <w:t xml:space="preserve"> 2026; Baykal 2014}, and symptoms and survival {Newton 2023; </w:t>
      </w:r>
      <w:proofErr w:type="spellStart"/>
      <w:r>
        <w:t>Akhbari</w:t>
      </w:r>
      <w:proofErr w:type="spellEnd"/>
      <w:r>
        <w:t xml:space="preserve"> 2020}. Standardized instruments, the Patient-Rated Wrist Evaluation {MacDermid 1998} and the Michigan Hand Outcomes Questionnaire {Chung 1998}, supply the clinical layer against which the twin's predictions are validated, and model-credibility vocabulary with virtual cohorts bounds what each update can claim {</w:t>
      </w:r>
      <w:proofErr w:type="spellStart"/>
      <w:r>
        <w:t>Sarkalkan</w:t>
      </w:r>
      <w:proofErr w:type="spellEnd"/>
      <w:r>
        <w:t xml:space="preserve"> 2014; </w:t>
      </w:r>
      <w:proofErr w:type="spellStart"/>
      <w:r>
        <w:t>Pappalardo</w:t>
      </w:r>
      <w:proofErr w:type="spellEnd"/>
      <w:r>
        <w:t xml:space="preserve"> 2019}. The design record that makes this possible, preserving source images, segmentation edits, coordinate systems, design revisions and inspection results, is the same digital thread of Section 6.3 {Zhao 2015; Xiao 2026; Wei 2025}; kept intact, it converts the model from a one-time preoperative forecast into a longitudinal instrument whose predictions are compared with symptoms, damage and survival.</w:t>
      </w:r>
    </w:p>
    <w:p w14:paraId="18E1F19A" w14:textId="77777777" w:rsidR="00C521CB" w:rsidRDefault="00923650">
      <w:pPr>
        <w:pStyle w:val="21"/>
      </w:pPr>
      <w:r>
        <w:t>8.3 AI as an enabling layer</w:t>
      </w:r>
    </w:p>
    <w:p w14:paraId="2EFE5C24" w14:textId="77777777" w:rsidR="00C521CB" w:rsidRDefault="00923650">
      <w:pPr>
        <w:ind w:firstLine="317"/>
      </w:pPr>
      <w:r>
        <w:t xml:space="preserve">Artificial intelligence enters as the automation layer of this loop. Self-configuring and foundation-model segmentation have moved carpal and implant segmentation close to routine design use {Isensee 2021; Ma 2024}, although the pathological and implant-containing wrist of Section 3.2 still sits outside most training distributions; the same methods extend to automated landmarking and coordinate-system construction, virtual placement and sizing, learned surrogate models that make the </w:t>
      </w:r>
      <w:proofErr w:type="spellStart"/>
      <w:r>
        <w:t>multiobjective</w:t>
      </w:r>
      <w:proofErr w:type="spellEnd"/>
      <w:r>
        <w:t xml:space="preserve"> optimization of Section 5.4 affordable, and automated migration measurement on follow-up imaging, an automation demonstrated in adjacent contexts rather than yet in the wrist {Lind 2026; Koo 2026}. The limits matter as much as the reach: learned predictors interpolate within their training distributions and degrade silently outside them, so outputs that steer a design or a clinical decision require physics-based verification against the Stage 2 models, with credibility vocabulary stating how much weight each prediction can bear {Pappalardo 2019}.</w:t>
      </w:r>
    </w:p>
    <w:p w14:paraId="6F219795" w14:textId="77777777" w:rsidR="00C521CB" w:rsidRDefault="00923650">
      <w:pPr>
        <w:pStyle w:val="21"/>
      </w:pPr>
      <w:r>
        <w:t>8.4 Robotics and intraoperative personalization</w:t>
      </w:r>
    </w:p>
    <w:p w14:paraId="76C12C68" w14:textId="77777777" w:rsidR="00C521CB" w:rsidRDefault="00923650">
      <w:pPr>
        <w:ind w:firstLine="317"/>
      </w:pPr>
      <w:r>
        <w:t xml:space="preserve">Surgical robotics and online planning converge on the same loop from the intraoperative side. Reviews of </w:t>
      </w:r>
      <w:proofErr w:type="spellStart"/>
      <w:r>
        <w:t>orthopaedic</w:t>
      </w:r>
      <w:proofErr w:type="spellEnd"/>
      <w:r>
        <w:t xml:space="preserve"> artificial intelligence describe a perception-decision-execution pipeline whose elements are mature in larger joints {Li 2026}, and embodied artificial intelligence is moving robotic assistance toward adaptive autonomy {Özdemir 2026}. Total wrist arthroplasty has no dedicated robotic system; its nearest candidates are specific: fluoroscopic verification of executed placement, for which single-view kinematic measurement {Zheng 2013} and open-source tracking pipelines {Crisco 2026} provide the technical base; online assessment of trial-stage kinematics and soft-tissue balance; and robotic assistance for resection and carpal screw trajectories, for which the screw-corridor analyses {Glanville 2026} mark the plausible first target. Patient-specific instruments remain the current form of intraoperative execution {Xiao 2026; Wei 2025}; robotics is their extension, not their replacement.</w:t>
      </w:r>
    </w:p>
    <w:p w14:paraId="6BD18698" w14:textId="77777777" w:rsidR="00C521CB" w:rsidRDefault="00923650">
      <w:pPr>
        <w:ind w:firstLine="317"/>
      </w:pPr>
      <w:r>
        <w:t>The unifying consequence is temporal: online replanning compares the plan with the executed resection and placement during surgery and updates the twin's initial conditions immediately, so the loop's starting point moves from postoperative surveillance to the operating table, and modelling, verification, measurement and updating form one continuous cycle. Its full biomechanical form remains unverifiable while absolute load calibration is missing, so the near-term twin is deliberately minimal, covering migration, kinematics and symptoms, pending telemetric data. Within that boundary, an AI-fed digital twin, bounded by the credibility standards of its underlying models {Pappalardo 2019}, is the nearest deliverable convergence of personalized wrist arthroplasty: deliverable once its predictions are validated prospectively against outcomes, cleared through the regulatory route of Section 6.3, and shown to be affordable for a low-volume procedure.</w:t>
      </w:r>
    </w:p>
    <w:p w14:paraId="602555F3" w14:textId="77777777" w:rsidR="00C521CB" w:rsidRDefault="00923650">
      <w:pPr>
        <w:pStyle w:val="21"/>
      </w:pPr>
      <w:r>
        <w:lastRenderedPageBreak/>
        <w:t>8.5 The future of customized wrist implants</w:t>
      </w:r>
    </w:p>
    <w:p w14:paraId="135F384D" w14:textId="6468830D" w:rsidR="00C521CB" w:rsidRDefault="00923650">
      <w:pPr>
        <w:ind w:firstLine="317"/>
      </w:pPr>
      <w:r>
        <w:t xml:space="preserve">Customized wrist arthroplasty currently stands at the feasibility stage: four severely damaged wrists treated with contralateral-CT-based prostheses {Wei 2025}, a fourteen-wrist microporous titanium series without observed loosening at about twenty months {Cai 2023}, and quasi-dynamic finite element evidence of more uniform stress and steadier </w:t>
      </w:r>
      <w:r w:rsidR="008F1480">
        <w:t>COR</w:t>
      </w:r>
      <w:r>
        <w:t xml:space="preserve"> </w:t>
      </w:r>
      <w:r w:rsidR="00A71CFF">
        <w:t xml:space="preserve">behavior </w:t>
      </w:r>
      <w:r>
        <w:t xml:space="preserve">than a modular comparator {Xiao 2026}. The next step is evidentiary rather than technical: maturation requires controlled comparison against well-selected modular implants, acceptance criteria stated in advance, and prospective surveillance of fixation, kinematics and patient-reported function, the standards that modular systems were themselves held to only after decades {Berber 2018; </w:t>
      </w:r>
      <w:proofErr w:type="spellStart"/>
      <w:r>
        <w:t>Zijlker</w:t>
      </w:r>
      <w:proofErr w:type="spellEnd"/>
      <w:r>
        <w:t xml:space="preserve"> 2022; </w:t>
      </w:r>
      <w:proofErr w:type="spellStart"/>
      <w:r>
        <w:t>Pappalardo</w:t>
      </w:r>
      <w:proofErr w:type="spellEnd"/>
      <w:r>
        <w:t xml:space="preserve"> 2026}.</w:t>
      </w:r>
    </w:p>
    <w:p w14:paraId="46FFA076" w14:textId="1C1D1611" w:rsidR="00C521CB" w:rsidRDefault="00923650">
      <w:pPr>
        <w:ind w:firstLine="317"/>
      </w:pPr>
      <w:r>
        <w:t>Two trajectories define the near future. The first is population-scale customization: statistical shape models already support sizing families, reconstruction of missing anatomy and virtual-cohort sampling {</w:t>
      </w:r>
      <w:proofErr w:type="spellStart"/>
      <w:r>
        <w:t>Sarkalkan</w:t>
      </w:r>
      <w:proofErr w:type="spellEnd"/>
      <w:r>
        <w:t xml:space="preserve"> 2014; Cai 2024}, and functional customization, in which curvature, </w:t>
      </w:r>
      <w:r w:rsidR="008F1480">
        <w:t>center</w:t>
      </w:r>
      <w:r>
        <w:t xml:space="preserve"> of rotation and constraint are tuned to a patient's motion-and-load envelope rather than to external fit alone, is the level at which patient specificity becomes biomechanically meaningful {</w:t>
      </w:r>
      <w:proofErr w:type="spellStart"/>
      <w:r>
        <w:t>Akhbari</w:t>
      </w:r>
      <w:proofErr w:type="spellEnd"/>
      <w:r>
        <w:t xml:space="preserve"> 2020; </w:t>
      </w:r>
      <w:proofErr w:type="spellStart"/>
      <w:r>
        <w:t>Akhbari</w:t>
      </w:r>
      <w:proofErr w:type="spellEnd"/>
      <w:r>
        <w:t xml:space="preserve"> 2021; Xiao 2026}. The second is industrial: unit-quantity additive manufacturing with qualified powder lifecycles, post-build treatments and fatigue evaluation is maturing on the back of load-bearing porous titanium experience {Mani 2024; Abd-</w:t>
      </w:r>
      <w:proofErr w:type="spellStart"/>
      <w:r>
        <w:t>Elaziem</w:t>
      </w:r>
      <w:proofErr w:type="spellEnd"/>
      <w:r>
        <w:t xml:space="preserve"> 2024; </w:t>
      </w:r>
      <w:proofErr w:type="spellStart"/>
      <w:r>
        <w:t>Kutluay</w:t>
      </w:r>
      <w:proofErr w:type="spellEnd"/>
      <w:r>
        <w:t xml:space="preserve"> 2026}, and the regulatory routes for patient-matched extensions versus truly custom-made devices are becoming explicit enough to be planned as design inputs {Wei 2025; Cai 2023}. Customization also raises the stakes of revision stewardship: a bespoke implant leaves no off-the-shelf fallback, so extraction features, bone-preserving resection levels and planned fusion options must be designed in as standard outputs, with the digital thread guaranteeing a design record complete enough for a future surgeon to work from {Wei 2025; Cash 2025; Berber 2020; Cai 2023}.</w:t>
      </w:r>
    </w:p>
    <w:p w14:paraId="57BBBB70" w14:textId="77777777" w:rsidR="00C521CB" w:rsidRDefault="00923650">
      <w:pPr>
        <w:pStyle w:val="21"/>
      </w:pPr>
      <w:r>
        <w:t>8.6 Evidence priorities for the field</w:t>
      </w:r>
    </w:p>
    <w:p w14:paraId="58129918" w14:textId="294EDF25" w:rsidR="00C521CB" w:rsidRDefault="00923650">
      <w:pPr>
        <w:ind w:firstLine="317"/>
      </w:pPr>
      <w:r>
        <w:t>Beyond customized implants, the field's evidence priorities follow from the interface analysis above. Standardized quantitative targets, the motion, migration and contact quantities of Tables 2 and Table 4, need agreed definitions so that cohorts can be pooled. Prospective validation, multi</w:t>
      </w:r>
      <w:r w:rsidR="008F1480">
        <w:t>center</w:t>
      </w:r>
      <w:r>
        <w:t xml:space="preserve"> datasets and longitudinal patient-specific measurement would replace the single-design cohorts that currently dominate {Berber 2018; </w:t>
      </w:r>
      <w:proofErr w:type="spellStart"/>
      <w:r>
        <w:t>Zijlker</w:t>
      </w:r>
      <w:proofErr w:type="spellEnd"/>
      <w:r>
        <w:t xml:space="preserve"> 2022; </w:t>
      </w:r>
      <w:proofErr w:type="spellStart"/>
      <w:r>
        <w:t>Akhbari</w:t>
      </w:r>
      <w:proofErr w:type="spellEnd"/>
      <w:r>
        <w:t xml:space="preserve"> 2020; </w:t>
      </w:r>
      <w:proofErr w:type="spellStart"/>
      <w:r>
        <w:t>Akhbari</w:t>
      </w:r>
      <w:proofErr w:type="spellEnd"/>
      <w:r>
        <w:t xml:space="preserve"> 2021; </w:t>
      </w:r>
      <w:proofErr w:type="spellStart"/>
      <w:r>
        <w:t>Pappalardo</w:t>
      </w:r>
      <w:proofErr w:type="spellEnd"/>
      <w:r>
        <w:t xml:space="preserve"> 2026}. Benchmark datasets for segmentation and tracking would let methodological claims be compared on common ground {Crisco 2026; Isensee 2021; Ma 2024}. Common reporting standards of the boundary-condition and gate-record kind would make studies reproducible rather than merely published {Eschweiler 2022; Pfaeffle 2005}. Clinically meaningful acceptance criteria, re-justified for the wrist rather than imported by analogy, would give the field thresholds to design against {</w:t>
      </w:r>
      <w:proofErr w:type="spellStart"/>
      <w:r>
        <w:t>Pilliar</w:t>
      </w:r>
      <w:proofErr w:type="spellEnd"/>
      <w:r>
        <w:t xml:space="preserve"> 1986; </w:t>
      </w:r>
      <w:proofErr w:type="spellStart"/>
      <w:r>
        <w:t>Bobyn</w:t>
      </w:r>
      <w:proofErr w:type="spellEnd"/>
      <w:r>
        <w:t xml:space="preserve"> 1999}. Series-level reporting carries a parallel burden: cohorts assembled before and after widespread biologic disease modification differ in indication structure, disease severity and bone quality, and current series rarely separate them, so cross-generation survival comparison (Table 1) must remain indicative rather than pooled. None of these requires a new technology; each requires the connection that the previous subsections found missing.</w:t>
      </w:r>
    </w:p>
    <w:p w14:paraId="5C880CA7" w14:textId="77777777" w:rsidR="00C521CB" w:rsidRDefault="00923650">
      <w:pPr>
        <w:pStyle w:val="1"/>
        <w:pageBreakBefore/>
      </w:pPr>
      <w:r>
        <w:lastRenderedPageBreak/>
        <w:t>9 Conclusions</w:t>
      </w:r>
    </w:p>
    <w:p w14:paraId="6A5A41D3" w14:textId="77777777" w:rsidR="00C521CB" w:rsidRDefault="00923650">
      <w:pPr>
        <w:ind w:firstLine="317"/>
      </w:pPr>
      <w:r>
        <w:t>The history of total wrist arthroplasty, read as a whole, is less a story of inadequate hardware than of an unfinished methodology. Across successive implant generations, pain relief and preserved motion improved, yet each generation changed, rather than removed, the way reconstructions fail, and survivorship still trails what large-joint arthroplasty now delivers. This Review has argued that the native wrist is a patient-specific motion system whose reconstruction cannot be judged by radiographic position or component fit alone, and that the persistent evolution of failure patterns is most coherently understood as a downstream consequence of how standardized implants interact with individual anatomy, kinematics and load transfer. On that reading, the binding constraint on the field is no longer the availability of technology but the integration of what is already known into a traceable, verifiable design pathway. The competing view, that measurement infrastructure must come first, was weighed openly; the two are best understood as complementary demands on one pathway rather than rival directions for it.</w:t>
      </w:r>
    </w:p>
    <w:p w14:paraId="239C2FB8" w14:textId="77777777" w:rsidR="00C521CB" w:rsidRDefault="00923650">
      <w:pPr>
        <w:ind w:firstLine="317"/>
      </w:pPr>
      <w:r>
        <w:t>What such a pathway would change is less the implants themselves than the discipline that surrounds them. Requirements would be stated as measurable quantities; imaging and motion analysis would deliver design inputs with their uncertainties attached; computational models would be disciplined by what implanted wrists actually do; and verification would document, at every stage, what was assumed, what was tested and what was learned. None of these capabilities is new, and none is missing from the published literature; what is missing is the expectation that they speak to one another. No wrist implant has yet been carried through that expectation in sequence, and the weakest points lie at the hand-offs between disciplines rather than within them. The novelty of an implant concept should never supersede validation of its mechanical fidelity, and a field that measures survival far better than it understands mechanics cannot convert technical progress into durable clinical benefit.</w:t>
      </w:r>
    </w:p>
    <w:p w14:paraId="39DF672F" w14:textId="77777777" w:rsidR="00C521CB" w:rsidRDefault="00923650">
      <w:pPr>
        <w:ind w:firstLine="317"/>
      </w:pPr>
      <w:r>
        <w:t>The larger significance reaches beyond a single small joint. Total wrist arthroplasty is an exacting test case for personalized implant medicine: volumes are low, mechanics are complex, anatomy is unforgiving and the margin for error is thin. A specialty that learns to reconstruct this joint through an evidence-verified, patient-specific design pathway would assemble an approach from which reconstruction of other small and complex joints could draw, and a working example of surgical judgement, quantitative measurement and engineering method being held to a shared standard of evidence. The governing objective remains constant: restore a robust physiological motion-and-load envelope, preserve bone and future revision options, and treat every implant as a hypothesis about one patient's mechanics that postoperative measurement must confirm, correct or refute. The transition ahead is cultural as much as technical, from iterating implants to learning systematically, and patient-specific biomechanics is the instrument with the greatest unused leverage in making a fragile motion-preserving option a durable one.</w:t>
      </w:r>
    </w:p>
    <w:p w14:paraId="4A863889" w14:textId="77777777" w:rsidR="00C521CB" w:rsidRDefault="00923650">
      <w:pPr>
        <w:pStyle w:val="1"/>
        <w:pageBreakBefore/>
      </w:pPr>
      <w:r>
        <w:lastRenderedPageBreak/>
        <w:t>References</w:t>
      </w:r>
    </w:p>
    <w:p w14:paraId="1A33BE08" w14:textId="77777777" w:rsidR="00C521CB" w:rsidRDefault="00923650">
      <w:pPr>
        <w:spacing w:after="40"/>
      </w:pPr>
      <w:r>
        <w:rPr>
          <w:sz w:val="18"/>
        </w:rPr>
        <w:t>1. Reigstad O. Total wrist arthroplasty: recent advances and current recommendations. Journal of Hand Surgery European Volume. 2025;50(1):34-41. DOI: https://doi.org/10.1177/17531934241276383</w:t>
      </w:r>
    </w:p>
    <w:p w14:paraId="4E0DFFB7" w14:textId="77777777" w:rsidR="00C521CB" w:rsidRDefault="00923650">
      <w:pPr>
        <w:spacing w:after="40"/>
      </w:pPr>
      <w:r>
        <w:rPr>
          <w:sz w:val="18"/>
        </w:rPr>
        <w:t xml:space="preserve">2. Berber O, </w:t>
      </w:r>
      <w:proofErr w:type="spellStart"/>
      <w:r>
        <w:rPr>
          <w:sz w:val="18"/>
        </w:rPr>
        <w:t>Garagnani</w:t>
      </w:r>
      <w:proofErr w:type="spellEnd"/>
      <w:r>
        <w:rPr>
          <w:sz w:val="18"/>
        </w:rPr>
        <w:t xml:space="preserve"> L, </w:t>
      </w:r>
      <w:proofErr w:type="spellStart"/>
      <w:r>
        <w:rPr>
          <w:sz w:val="18"/>
        </w:rPr>
        <w:t>Gidwani</w:t>
      </w:r>
      <w:proofErr w:type="spellEnd"/>
      <w:r>
        <w:rPr>
          <w:sz w:val="18"/>
        </w:rPr>
        <w:t xml:space="preserve"> S. Systematic review of total wrist arthroplasty and arthrodesis in wrist arthritis. Journal of Wrist Surgery. 2018;7(5):424-440. DOI: https://doi.org/10.1055/s-0038-1646956</w:t>
      </w:r>
    </w:p>
    <w:p w14:paraId="0A17DBE9" w14:textId="77777777" w:rsidR="00C521CB" w:rsidRDefault="00923650">
      <w:pPr>
        <w:spacing w:after="40"/>
      </w:pPr>
      <w:r>
        <w:rPr>
          <w:sz w:val="18"/>
        </w:rPr>
        <w:t xml:space="preserve">3. </w:t>
      </w:r>
      <w:proofErr w:type="spellStart"/>
      <w:r>
        <w:rPr>
          <w:sz w:val="18"/>
        </w:rPr>
        <w:t>Zijlker</w:t>
      </w:r>
      <w:proofErr w:type="spellEnd"/>
      <w:r>
        <w:rPr>
          <w:sz w:val="18"/>
        </w:rPr>
        <w:t xml:space="preserve"> HJA, </w:t>
      </w:r>
      <w:proofErr w:type="spellStart"/>
      <w:r>
        <w:rPr>
          <w:sz w:val="18"/>
        </w:rPr>
        <w:t>Ritt</w:t>
      </w:r>
      <w:proofErr w:type="spellEnd"/>
      <w:r>
        <w:rPr>
          <w:sz w:val="18"/>
        </w:rPr>
        <w:t xml:space="preserve"> MJPF, Beumer A. Fourth-generation total wrist arthroplasty: a systematic review of clinical outcomes. Journal of Wrist Surgery. 2022;11(5):456-464. DOI: https://doi.org/10.1055/s-0041-1735840</w:t>
      </w:r>
    </w:p>
    <w:p w14:paraId="505C379C" w14:textId="77777777" w:rsidR="00C521CB" w:rsidRDefault="00923650">
      <w:pPr>
        <w:spacing w:after="40"/>
      </w:pPr>
      <w:r>
        <w:rPr>
          <w:sz w:val="18"/>
        </w:rPr>
        <w:t xml:space="preserve">4. Eschweiler J, Li J, Quack V, </w:t>
      </w:r>
      <w:proofErr w:type="spellStart"/>
      <w:r>
        <w:rPr>
          <w:sz w:val="18"/>
        </w:rPr>
        <w:t>Rath</w:t>
      </w:r>
      <w:proofErr w:type="spellEnd"/>
      <w:r>
        <w:rPr>
          <w:sz w:val="18"/>
        </w:rPr>
        <w:t xml:space="preserve"> B, </w:t>
      </w:r>
      <w:proofErr w:type="spellStart"/>
      <w:r>
        <w:rPr>
          <w:sz w:val="18"/>
        </w:rPr>
        <w:t>Baroncini</w:t>
      </w:r>
      <w:proofErr w:type="spellEnd"/>
      <w:r>
        <w:rPr>
          <w:sz w:val="18"/>
        </w:rPr>
        <w:t xml:space="preserve"> A, Hildebrand F, Migliorini F. Anatomy, biomechanics, and loads of the wrist joint. Life. 2022;12(2):188. DOI: https://doi.org/10.3390/life12020188</w:t>
      </w:r>
    </w:p>
    <w:p w14:paraId="7CCE3DD3" w14:textId="77777777" w:rsidR="00C521CB" w:rsidRDefault="00923650">
      <w:pPr>
        <w:spacing w:after="40"/>
      </w:pPr>
      <w:r>
        <w:rPr>
          <w:sz w:val="18"/>
        </w:rPr>
        <w:t>5. Moore DC, Crisco JJ, Trafton TG, Leventhal EL. A digital database of wrist bone anatomy and carpal kinematics. Journal of Biomechanics. 2007;40(11):2537-2542. DOI: https://doi.org/10.1016/j.jbiomech.2006.10.041</w:t>
      </w:r>
    </w:p>
    <w:p w14:paraId="0F26C5E9" w14:textId="77777777" w:rsidR="00C521CB" w:rsidRDefault="00923650">
      <w:pPr>
        <w:spacing w:after="40"/>
      </w:pPr>
      <w:r>
        <w:rPr>
          <w:sz w:val="18"/>
        </w:rPr>
        <w:t xml:space="preserve">6. </w:t>
      </w:r>
      <w:proofErr w:type="spellStart"/>
      <w:r>
        <w:rPr>
          <w:sz w:val="18"/>
        </w:rPr>
        <w:t>Moritomo</w:t>
      </w:r>
      <w:proofErr w:type="spellEnd"/>
      <w:r>
        <w:rPr>
          <w:sz w:val="18"/>
        </w:rPr>
        <w:t xml:space="preserve"> H, </w:t>
      </w:r>
      <w:proofErr w:type="spellStart"/>
      <w:r>
        <w:rPr>
          <w:sz w:val="18"/>
        </w:rPr>
        <w:t>Apergis</w:t>
      </w:r>
      <w:proofErr w:type="spellEnd"/>
      <w:r>
        <w:rPr>
          <w:sz w:val="18"/>
        </w:rPr>
        <w:t xml:space="preserve"> EP, Herzberg G, Werner FW, Wolfe SW, Garcia-Elias M. 2007 IFSSH committee report of wrist biomechanics committee: biomechanics of the so-called dart-throwing motion of the wrist. Journal of Hand Surgery American Volume. 2007;32(9):1447-1453. DOI: https://doi.org/10.1016/j.jhsa.2007.08.014</w:t>
      </w:r>
    </w:p>
    <w:p w14:paraId="5D8331AB" w14:textId="77777777" w:rsidR="00C521CB" w:rsidRDefault="00923650">
      <w:pPr>
        <w:spacing w:after="40"/>
      </w:pPr>
      <w:r>
        <w:rPr>
          <w:sz w:val="18"/>
        </w:rPr>
        <w:t xml:space="preserve">7. Eschweiler J, </w:t>
      </w:r>
      <w:proofErr w:type="spellStart"/>
      <w:r>
        <w:rPr>
          <w:sz w:val="18"/>
        </w:rPr>
        <w:t>Praster</w:t>
      </w:r>
      <w:proofErr w:type="spellEnd"/>
      <w:r>
        <w:rPr>
          <w:sz w:val="18"/>
        </w:rPr>
        <w:t xml:space="preserve"> M, Quack V, Michalik R, Hildebrand F, Rath B, Migliorini F. Musculoskeletal modeling of the wrist via a multi body simulation. Life. 2022;12(4):581. DOI: https://doi.org/10.3390/life12040581</w:t>
      </w:r>
    </w:p>
    <w:p w14:paraId="0D15458A" w14:textId="77777777" w:rsidR="00C521CB" w:rsidRDefault="00923650">
      <w:pPr>
        <w:spacing w:after="40"/>
      </w:pPr>
      <w:r>
        <w:rPr>
          <w:sz w:val="18"/>
        </w:rPr>
        <w:t>8. Kennedy CD, Huang JI. Prosthetic design in total wrist arthroplasty. Orthopedic Clinics of North America. 2016;47(1):207-218. DOI: https://doi.org/10.1016/j.ocl.2015.08.018</w:t>
      </w:r>
    </w:p>
    <w:p w14:paraId="04197F80" w14:textId="77777777" w:rsidR="00C521CB" w:rsidRDefault="00923650">
      <w:pPr>
        <w:spacing w:after="40"/>
      </w:pPr>
      <w:r>
        <w:rPr>
          <w:sz w:val="18"/>
        </w:rPr>
        <w:t>9. Herzberg G, et al. "Remotion" total wrist arthroplasty: preliminary results of a prospective international multicenter study of 215 cases. Journal of Wrist Surgery. 2012;1(1):17-22. DOI: https://doi.org/10.1055/s-0032-1323642</w:t>
      </w:r>
    </w:p>
    <w:p w14:paraId="613D0619" w14:textId="77777777" w:rsidR="00C521CB" w:rsidRDefault="00923650">
      <w:pPr>
        <w:spacing w:after="40"/>
      </w:pPr>
      <w:r>
        <w:rPr>
          <w:sz w:val="18"/>
        </w:rPr>
        <w:t xml:space="preserve">10. </w:t>
      </w:r>
      <w:proofErr w:type="spellStart"/>
      <w:r>
        <w:rPr>
          <w:sz w:val="18"/>
        </w:rPr>
        <w:t>Boeckstyns</w:t>
      </w:r>
      <w:proofErr w:type="spellEnd"/>
      <w:r>
        <w:rPr>
          <w:sz w:val="18"/>
        </w:rPr>
        <w:t xml:space="preserve"> ME, et al. Favorable results after total wrist arthroplasty: 65 wrists in 60 patients followed for 5-9 years. Acta </w:t>
      </w:r>
      <w:proofErr w:type="spellStart"/>
      <w:r>
        <w:rPr>
          <w:sz w:val="18"/>
        </w:rPr>
        <w:t>Orthopaedica</w:t>
      </w:r>
      <w:proofErr w:type="spellEnd"/>
      <w:r>
        <w:rPr>
          <w:sz w:val="18"/>
        </w:rPr>
        <w:t>. 2013;84(5):481-485. DOI: https://doi.org/10.3109/17453674.2013.823588</w:t>
      </w:r>
    </w:p>
    <w:p w14:paraId="7D1FDA8D" w14:textId="77777777" w:rsidR="00C521CB" w:rsidRDefault="00923650">
      <w:pPr>
        <w:spacing w:after="40"/>
      </w:pPr>
      <w:r>
        <w:rPr>
          <w:sz w:val="18"/>
        </w:rPr>
        <w:t xml:space="preserve">11. </w:t>
      </w:r>
      <w:proofErr w:type="spellStart"/>
      <w:r>
        <w:rPr>
          <w:sz w:val="18"/>
        </w:rPr>
        <w:t>Krukhaug</w:t>
      </w:r>
      <w:proofErr w:type="spellEnd"/>
      <w:r>
        <w:rPr>
          <w:sz w:val="18"/>
        </w:rPr>
        <w:t xml:space="preserve"> Y, et al. Results of 189 wrist replacements. A report from the Norwegian Arthroplasty Register. Acta </w:t>
      </w:r>
      <w:proofErr w:type="spellStart"/>
      <w:r>
        <w:rPr>
          <w:sz w:val="18"/>
        </w:rPr>
        <w:t>Orthopaedica</w:t>
      </w:r>
      <w:proofErr w:type="spellEnd"/>
      <w:r>
        <w:rPr>
          <w:sz w:val="18"/>
        </w:rPr>
        <w:t>. 2011;82(4):405-409. DOI: https://doi.org/10.3109/17453674.2011.588858</w:t>
      </w:r>
    </w:p>
    <w:p w14:paraId="4A103B86" w14:textId="77777777" w:rsidR="00C521CB" w:rsidRDefault="00923650">
      <w:pPr>
        <w:spacing w:after="40"/>
      </w:pPr>
      <w:r>
        <w:rPr>
          <w:sz w:val="18"/>
        </w:rPr>
        <w:t xml:space="preserve">12. </w:t>
      </w:r>
      <w:proofErr w:type="spellStart"/>
      <w:r>
        <w:rPr>
          <w:sz w:val="18"/>
        </w:rPr>
        <w:t>Labek</w:t>
      </w:r>
      <w:proofErr w:type="spellEnd"/>
      <w:r>
        <w:rPr>
          <w:sz w:val="18"/>
        </w:rPr>
        <w:t xml:space="preserve"> G, Thaler M, </w:t>
      </w:r>
      <w:proofErr w:type="spellStart"/>
      <w:r>
        <w:rPr>
          <w:sz w:val="18"/>
        </w:rPr>
        <w:t>Janda</w:t>
      </w:r>
      <w:proofErr w:type="spellEnd"/>
      <w:r>
        <w:rPr>
          <w:sz w:val="18"/>
        </w:rPr>
        <w:t xml:space="preserve"> W, </w:t>
      </w:r>
      <w:proofErr w:type="spellStart"/>
      <w:r>
        <w:rPr>
          <w:sz w:val="18"/>
        </w:rPr>
        <w:t>Agreiter</w:t>
      </w:r>
      <w:proofErr w:type="spellEnd"/>
      <w:r>
        <w:rPr>
          <w:sz w:val="18"/>
        </w:rPr>
        <w:t xml:space="preserve"> M, </w:t>
      </w:r>
      <w:proofErr w:type="spellStart"/>
      <w:r>
        <w:rPr>
          <w:sz w:val="18"/>
        </w:rPr>
        <w:t>Stöckl</w:t>
      </w:r>
      <w:proofErr w:type="spellEnd"/>
      <w:r>
        <w:rPr>
          <w:sz w:val="18"/>
        </w:rPr>
        <w:t xml:space="preserve"> B. Revision rates after total joint replacement: cumulative results from worldwide joint register datasets. Journal of Bone and Joint Surgery British Volume. 2011;93(3):293-297. DOI: https://doi.org/10.1302/0301-620X.93B3.25467</w:t>
      </w:r>
    </w:p>
    <w:p w14:paraId="6BC85786" w14:textId="77777777" w:rsidR="00C521CB" w:rsidRDefault="00923650">
      <w:pPr>
        <w:spacing w:after="40"/>
      </w:pPr>
      <w:r>
        <w:rPr>
          <w:sz w:val="18"/>
        </w:rPr>
        <w:t>13. Newton A, Kandemir G, Joyce TJ, et al. Long-term outcomes of the Universal 2 total wrist replacement: revision and loosening at 10 years and beyond. Journal of Hand Surgery European Volume. 2023;48(7):641-647. DOI: https://doi.org/10.1177/17531934231160380</w:t>
      </w:r>
    </w:p>
    <w:p w14:paraId="7FD29355" w14:textId="77777777" w:rsidR="00C521CB" w:rsidRDefault="00923650">
      <w:pPr>
        <w:spacing w:after="40"/>
      </w:pPr>
      <w:r>
        <w:rPr>
          <w:sz w:val="18"/>
        </w:rPr>
        <w:t>14. Taylor F, et al. Increasing use of total wrist arthroplasty: an Australian National Joint Registry report. Journal of Wrist Surgery. 2024. DOI: https://doi.org/10.1055/s-0043-1777408</w:t>
      </w:r>
    </w:p>
    <w:p w14:paraId="4C6B1432" w14:textId="77777777" w:rsidR="00C521CB" w:rsidRDefault="00923650">
      <w:pPr>
        <w:spacing w:after="40"/>
      </w:pPr>
      <w:r>
        <w:rPr>
          <w:sz w:val="18"/>
        </w:rPr>
        <w:t>15. Ward CM, et al. Five to ten-year outcomes of the Universal total wrist arthroplasty in patients with rheumatoid arthritis. Journal of Bone and Joint Surgery American Volume. 2011;93(10):914-919. DOI: https://doi.org/10.2106/JBJS.H.01614</w:t>
      </w:r>
    </w:p>
    <w:p w14:paraId="42F2A6CB" w14:textId="77777777" w:rsidR="00C521CB" w:rsidRDefault="00923650">
      <w:pPr>
        <w:spacing w:after="40"/>
      </w:pPr>
      <w:r>
        <w:rPr>
          <w:sz w:val="18"/>
        </w:rPr>
        <w:t xml:space="preserve">16. </w:t>
      </w:r>
      <w:proofErr w:type="spellStart"/>
      <w:r>
        <w:rPr>
          <w:sz w:val="18"/>
        </w:rPr>
        <w:t>Akhbari</w:t>
      </w:r>
      <w:proofErr w:type="spellEnd"/>
      <w:r>
        <w:rPr>
          <w:sz w:val="18"/>
        </w:rPr>
        <w:t xml:space="preserve"> B, Morton AM, Shah KN, et al. Proximal-distal shift of the center of rotation in a total wrist arthroplasty is more than twice that of the healthy wrist. Journal of </w:t>
      </w:r>
      <w:proofErr w:type="spellStart"/>
      <w:r>
        <w:rPr>
          <w:sz w:val="18"/>
        </w:rPr>
        <w:t>Orthopaedic</w:t>
      </w:r>
      <w:proofErr w:type="spellEnd"/>
      <w:r>
        <w:rPr>
          <w:sz w:val="18"/>
        </w:rPr>
        <w:t xml:space="preserve"> Research. 2020;38(7):1575-1586. DOI: https://doi.org/10.1002/jor.24717</w:t>
      </w:r>
    </w:p>
    <w:p w14:paraId="71F59169" w14:textId="232D270E" w:rsidR="00C521CB" w:rsidRDefault="00923650">
      <w:pPr>
        <w:spacing w:after="40"/>
      </w:pPr>
      <w:r>
        <w:rPr>
          <w:sz w:val="18"/>
        </w:rPr>
        <w:t xml:space="preserve">17. </w:t>
      </w:r>
      <w:proofErr w:type="spellStart"/>
      <w:r>
        <w:rPr>
          <w:sz w:val="18"/>
        </w:rPr>
        <w:t>Akhbari</w:t>
      </w:r>
      <w:proofErr w:type="spellEnd"/>
      <w:r>
        <w:rPr>
          <w:sz w:val="18"/>
        </w:rPr>
        <w:t xml:space="preserve"> B, Morton AM, Shah KN, et al. </w:t>
      </w:r>
      <w:r w:rsidR="00BC639E" w:rsidRPr="00BC639E">
        <w:rPr>
          <w:i/>
          <w:iCs/>
          <w:sz w:val="18"/>
        </w:rPr>
        <w:t>In-vivo</w:t>
      </w:r>
      <w:r>
        <w:rPr>
          <w:sz w:val="18"/>
        </w:rPr>
        <w:t xml:space="preserve"> articular contact pattern of a total wrist arthroplasty design. Journal of Biomechanics. </w:t>
      </w:r>
      <w:proofErr w:type="gramStart"/>
      <w:r>
        <w:rPr>
          <w:sz w:val="18"/>
        </w:rPr>
        <w:t>2021;121:110420</w:t>
      </w:r>
      <w:proofErr w:type="gramEnd"/>
      <w:r>
        <w:rPr>
          <w:sz w:val="18"/>
        </w:rPr>
        <w:t>. DOI: https://doi.org/10.1016/j.jbiomech.2021.110420</w:t>
      </w:r>
    </w:p>
    <w:p w14:paraId="74D856E9" w14:textId="77777777" w:rsidR="00C521CB" w:rsidRDefault="00923650">
      <w:pPr>
        <w:spacing w:after="40"/>
      </w:pPr>
      <w:r>
        <w:rPr>
          <w:sz w:val="18"/>
        </w:rPr>
        <w:t>18. Bain GI, Bellringer SF, Russo MP, Amin DB, Costi JJ. Biomechanical analysis of cadaveric wrists before and after MOTEC wrist arthroplasty using a hexapod robot. Journal of Hand Surgery European Volume. 2025;50(4):492-499. DOI: https://doi.org/10.1177/17531934241274135</w:t>
      </w:r>
    </w:p>
    <w:p w14:paraId="2A8B2CE5" w14:textId="77777777" w:rsidR="00C521CB" w:rsidRDefault="00923650">
      <w:pPr>
        <w:spacing w:after="40"/>
      </w:pPr>
      <w:r>
        <w:rPr>
          <w:sz w:val="18"/>
        </w:rPr>
        <w:t xml:space="preserve">19. </w:t>
      </w:r>
      <w:proofErr w:type="spellStart"/>
      <w:r>
        <w:rPr>
          <w:sz w:val="18"/>
        </w:rPr>
        <w:t>Akhbari</w:t>
      </w:r>
      <w:proofErr w:type="spellEnd"/>
      <w:r>
        <w:rPr>
          <w:sz w:val="18"/>
        </w:rPr>
        <w:t xml:space="preserve"> B, Shah KN, Morton AM, et al. Total wrist arthroplasty alignment and its potential association with clinical outcomes. Journal of Wrist Surgery. 2021;10(4):308-315. DOI: https://doi.org/10.1055/s-0041-1725172</w:t>
      </w:r>
    </w:p>
    <w:p w14:paraId="38461799" w14:textId="77777777" w:rsidR="00C521CB" w:rsidRDefault="00923650">
      <w:pPr>
        <w:spacing w:after="40"/>
      </w:pPr>
      <w:r>
        <w:rPr>
          <w:sz w:val="18"/>
        </w:rPr>
        <w:t>20. Gislason MK, Foster E, Bransby-Zachary M, Nash DH. Biomechanical analysis of the Universal 2 implant in total wrist arthroplasty: a finite element study. Computer Methods in Biomechanics and Biomedical Engineering. 2017;20(10):1113-1121. DOI: https://doi.org/10.1080/10255842.2017.1336548</w:t>
      </w:r>
    </w:p>
    <w:p w14:paraId="74040A37" w14:textId="77777777" w:rsidR="00C521CB" w:rsidRDefault="00923650">
      <w:pPr>
        <w:spacing w:after="40"/>
      </w:pPr>
      <w:r>
        <w:rPr>
          <w:sz w:val="18"/>
        </w:rPr>
        <w:t>21. McCullough MBA, Adams BD, Grosland NM. The effect of articular surface shape and tendon forces of total wrist arthroplasty systems: a finite element study. Journal of Musculoskeletal Research. 2012;15(4):1250021. DOI: https://doi.org/10.1142/S0218957712500212</w:t>
      </w:r>
    </w:p>
    <w:p w14:paraId="5A08E4AD" w14:textId="77777777" w:rsidR="00C521CB" w:rsidRDefault="00923650">
      <w:pPr>
        <w:spacing w:after="40"/>
      </w:pPr>
      <w:r>
        <w:rPr>
          <w:sz w:val="18"/>
        </w:rPr>
        <w:t xml:space="preserve">22. Pappalardo G, Schafer L, Falco D, Tammaro N, Eschweiler J, Migliorini F. Total wrist arthroplasty efficacy and safety: a systematic review. Journal of </w:t>
      </w:r>
      <w:proofErr w:type="spellStart"/>
      <w:r>
        <w:rPr>
          <w:sz w:val="18"/>
        </w:rPr>
        <w:t>Orthopaedics</w:t>
      </w:r>
      <w:proofErr w:type="spellEnd"/>
      <w:r>
        <w:rPr>
          <w:sz w:val="18"/>
        </w:rPr>
        <w:t xml:space="preserve">. </w:t>
      </w:r>
      <w:proofErr w:type="gramStart"/>
      <w:r>
        <w:rPr>
          <w:sz w:val="18"/>
        </w:rPr>
        <w:t>2026;77:49</w:t>
      </w:r>
      <w:proofErr w:type="gramEnd"/>
      <w:r>
        <w:rPr>
          <w:sz w:val="18"/>
        </w:rPr>
        <w:t>-58. DOI: https://doi.org/10.1016/j.jor.2026.04.001</w:t>
      </w:r>
    </w:p>
    <w:p w14:paraId="2239B510" w14:textId="77777777" w:rsidR="00C521CB" w:rsidRDefault="00923650">
      <w:pPr>
        <w:spacing w:after="40"/>
      </w:pPr>
      <w:r>
        <w:rPr>
          <w:sz w:val="18"/>
        </w:rPr>
        <w:t>23. Smith AM, Maling LC, Williamson M. Total wrist arthroplasty: commentary and opinions. Journal of Hand Surgery European Volume. 2024;49(1):115-118. DOI: https://doi.org/10.1177/17531934231209638</w:t>
      </w:r>
    </w:p>
    <w:p w14:paraId="1AE3F617" w14:textId="77777777" w:rsidR="00C521CB" w:rsidRDefault="00923650">
      <w:pPr>
        <w:spacing w:after="40"/>
      </w:pPr>
      <w:r>
        <w:rPr>
          <w:sz w:val="18"/>
        </w:rPr>
        <w:t xml:space="preserve">24. Pfaeffle J, Blankenhorn B, Stabile K, </w:t>
      </w:r>
      <w:proofErr w:type="spellStart"/>
      <w:r>
        <w:rPr>
          <w:sz w:val="18"/>
        </w:rPr>
        <w:t>Imbriglia</w:t>
      </w:r>
      <w:proofErr w:type="spellEnd"/>
      <w:r>
        <w:rPr>
          <w:sz w:val="18"/>
        </w:rPr>
        <w:t xml:space="preserve"> J, </w:t>
      </w:r>
      <w:proofErr w:type="spellStart"/>
      <w:r>
        <w:rPr>
          <w:sz w:val="18"/>
        </w:rPr>
        <w:t>Goitz</w:t>
      </w:r>
      <w:proofErr w:type="spellEnd"/>
      <w:r>
        <w:rPr>
          <w:sz w:val="18"/>
        </w:rPr>
        <w:t xml:space="preserve"> R, Robertson D. Development and validation of a computed tomography-based methodology to measure carpal kinematics. Journal of Biomechanical Engineering. 2005;127(3):541-548. DOI: https://doi.org/10.1115/1.1894370</w:t>
      </w:r>
    </w:p>
    <w:p w14:paraId="36648A93" w14:textId="77777777" w:rsidR="00C521CB" w:rsidRDefault="00923650">
      <w:pPr>
        <w:spacing w:after="40"/>
      </w:pPr>
      <w:r>
        <w:rPr>
          <w:sz w:val="18"/>
        </w:rPr>
        <w:lastRenderedPageBreak/>
        <w:t xml:space="preserve">25. Eschweiler J, </w:t>
      </w:r>
      <w:proofErr w:type="spellStart"/>
      <w:r>
        <w:rPr>
          <w:sz w:val="18"/>
        </w:rPr>
        <w:t>Stromps</w:t>
      </w:r>
      <w:proofErr w:type="spellEnd"/>
      <w:r>
        <w:rPr>
          <w:sz w:val="18"/>
        </w:rPr>
        <w:t xml:space="preserve"> JP, Fischer MCM, Schick F, </w:t>
      </w:r>
      <w:proofErr w:type="spellStart"/>
      <w:r>
        <w:rPr>
          <w:sz w:val="18"/>
        </w:rPr>
        <w:t>Rath</w:t>
      </w:r>
      <w:proofErr w:type="spellEnd"/>
      <w:r>
        <w:rPr>
          <w:sz w:val="18"/>
        </w:rPr>
        <w:t xml:space="preserve"> B, </w:t>
      </w:r>
      <w:proofErr w:type="spellStart"/>
      <w:r>
        <w:rPr>
          <w:sz w:val="18"/>
        </w:rPr>
        <w:t>Pallua</w:t>
      </w:r>
      <w:proofErr w:type="spellEnd"/>
      <w:r>
        <w:rPr>
          <w:sz w:val="18"/>
        </w:rPr>
        <w:t xml:space="preserve"> N, </w:t>
      </w:r>
      <w:proofErr w:type="spellStart"/>
      <w:r>
        <w:rPr>
          <w:sz w:val="18"/>
        </w:rPr>
        <w:t>Radermacher</w:t>
      </w:r>
      <w:proofErr w:type="spellEnd"/>
      <w:r>
        <w:rPr>
          <w:sz w:val="18"/>
        </w:rPr>
        <w:t xml:space="preserve"> K. Development of a biomechanical model of the wrist joint for patient-specific model guided surgical therapy planning: part 1. Proceedings of the Institution of Mechanical Engineers Part H. 2016;230(4):310-325. DOI: https://doi.org/10.1177/0954411916632791</w:t>
      </w:r>
    </w:p>
    <w:p w14:paraId="4A250869" w14:textId="77777777" w:rsidR="00C521CB" w:rsidRDefault="00923650">
      <w:pPr>
        <w:spacing w:after="40"/>
      </w:pPr>
      <w:r>
        <w:rPr>
          <w:sz w:val="18"/>
        </w:rPr>
        <w:t xml:space="preserve">26. </w:t>
      </w:r>
      <w:proofErr w:type="spellStart"/>
      <w:r>
        <w:rPr>
          <w:sz w:val="18"/>
        </w:rPr>
        <w:t>Mirakhorlo</w:t>
      </w:r>
      <w:proofErr w:type="spellEnd"/>
      <w:r>
        <w:rPr>
          <w:sz w:val="18"/>
        </w:rPr>
        <w:t xml:space="preserve"> M, van </w:t>
      </w:r>
      <w:proofErr w:type="spellStart"/>
      <w:r>
        <w:rPr>
          <w:sz w:val="18"/>
        </w:rPr>
        <w:t>Beek</w:t>
      </w:r>
      <w:proofErr w:type="spellEnd"/>
      <w:r>
        <w:rPr>
          <w:sz w:val="18"/>
        </w:rPr>
        <w:t xml:space="preserve"> N, Wesseling M, Maas H, Veeger HEJ, Jonkers I. A musculoskeletal model of the hand and wrist: model definition and evaluation. Computer Methods in Biomechanics and Biomedical Engineering. 2018;21(9):548-557. DOI: https://doi.org/10.1080/10255842.2018.1490952</w:t>
      </w:r>
    </w:p>
    <w:p w14:paraId="09C08A47" w14:textId="77777777" w:rsidR="00C521CB" w:rsidRDefault="00923650">
      <w:pPr>
        <w:spacing w:after="40"/>
      </w:pPr>
      <w:r>
        <w:rPr>
          <w:sz w:val="18"/>
        </w:rPr>
        <w:t xml:space="preserve">27. Glanville JN, Bates KT, Brown DJ, Potts D, Curran J, Fichera S. Evaluation of a cadaveric wrist motion simulator using marker-based X-ray reconstruction of moving morphology. </w:t>
      </w:r>
      <w:proofErr w:type="spellStart"/>
      <w:r>
        <w:rPr>
          <w:sz w:val="18"/>
        </w:rPr>
        <w:t>PeerJ</w:t>
      </w:r>
      <w:proofErr w:type="spellEnd"/>
      <w:r>
        <w:rPr>
          <w:sz w:val="18"/>
        </w:rPr>
        <w:t>. 2024;</w:t>
      </w:r>
      <w:proofErr w:type="gramStart"/>
      <w:r>
        <w:rPr>
          <w:sz w:val="18"/>
        </w:rPr>
        <w:t>12:e</w:t>
      </w:r>
      <w:proofErr w:type="gramEnd"/>
      <w:r>
        <w:rPr>
          <w:sz w:val="18"/>
        </w:rPr>
        <w:t>17179. DOI: https://doi.org/10.7717/peerj.17179</w:t>
      </w:r>
    </w:p>
    <w:p w14:paraId="3A856903" w14:textId="77777777" w:rsidR="00C521CB" w:rsidRDefault="00923650">
      <w:pPr>
        <w:spacing w:after="40"/>
      </w:pPr>
      <w:r>
        <w:rPr>
          <w:sz w:val="18"/>
        </w:rPr>
        <w:t xml:space="preserve">28. Glanville J, Bates KT, Silver N, </w:t>
      </w:r>
      <w:proofErr w:type="spellStart"/>
      <w:r>
        <w:rPr>
          <w:sz w:val="18"/>
        </w:rPr>
        <w:t>Karthikappallil</w:t>
      </w:r>
      <w:proofErr w:type="spellEnd"/>
      <w:r>
        <w:rPr>
          <w:sz w:val="18"/>
        </w:rPr>
        <w:t xml:space="preserve"> D, </w:t>
      </w:r>
      <w:proofErr w:type="spellStart"/>
      <w:r>
        <w:rPr>
          <w:sz w:val="18"/>
        </w:rPr>
        <w:t>Fichera</w:t>
      </w:r>
      <w:proofErr w:type="spellEnd"/>
      <w:r>
        <w:rPr>
          <w:sz w:val="18"/>
        </w:rPr>
        <w:t xml:space="preserve"> S, Brown DJ. Replication of coupled movements of the wrist: a cadaveric study of total wrist arthroplasty. Journal of Hand Surgery American Volume. 2025;50. DOI: https://doi.org/10.1016/j.jhsa.2024.12.006</w:t>
      </w:r>
    </w:p>
    <w:p w14:paraId="2B1A59CE" w14:textId="2FF7B640" w:rsidR="00C521CB" w:rsidRDefault="00923650">
      <w:pPr>
        <w:spacing w:after="40"/>
      </w:pPr>
      <w:r>
        <w:rPr>
          <w:sz w:val="18"/>
        </w:rPr>
        <w:t xml:space="preserve">29. Jia S, Xiang Z, Lu X, et al. Quantifying </w:t>
      </w:r>
      <w:r w:rsidR="00BC639E" w:rsidRPr="00BC639E">
        <w:rPr>
          <w:i/>
          <w:iCs/>
          <w:sz w:val="18"/>
        </w:rPr>
        <w:t>in-vivo</w:t>
      </w:r>
      <w:r>
        <w:rPr>
          <w:sz w:val="18"/>
        </w:rPr>
        <w:t xml:space="preserve"> kinematics of the wrist during opposite dart-throwing motion: a 4D CT study. Journal of </w:t>
      </w:r>
      <w:proofErr w:type="spellStart"/>
      <w:r>
        <w:rPr>
          <w:sz w:val="18"/>
        </w:rPr>
        <w:t>Orthopaedic</w:t>
      </w:r>
      <w:proofErr w:type="spellEnd"/>
      <w:r>
        <w:rPr>
          <w:sz w:val="18"/>
        </w:rPr>
        <w:t xml:space="preserve"> Surgery and Research. 2026;21(1):277. DOI: https://doi.org/10.1186/s13018-026-06810-7</w:t>
      </w:r>
    </w:p>
    <w:p w14:paraId="2CF3F2C7" w14:textId="77777777" w:rsidR="00C521CB" w:rsidRDefault="00923650">
      <w:pPr>
        <w:spacing w:after="40"/>
      </w:pPr>
      <w:r>
        <w:rPr>
          <w:sz w:val="18"/>
        </w:rPr>
        <w:t xml:space="preserve">30. </w:t>
      </w:r>
      <w:proofErr w:type="spellStart"/>
      <w:r>
        <w:rPr>
          <w:sz w:val="18"/>
        </w:rPr>
        <w:t>Akhbari</w:t>
      </w:r>
      <w:proofErr w:type="spellEnd"/>
      <w:r>
        <w:rPr>
          <w:sz w:val="18"/>
        </w:rPr>
        <w:t xml:space="preserve"> B, Morton AM, Moore DC, Crisco JJ. Kinematic accuracy in tracking total wrist arthroplasty with biplane </w:t>
      </w:r>
      <w:proofErr w:type="spellStart"/>
      <w:r>
        <w:rPr>
          <w:sz w:val="18"/>
        </w:rPr>
        <w:t>videoradiography</w:t>
      </w:r>
      <w:proofErr w:type="spellEnd"/>
      <w:r>
        <w:rPr>
          <w:sz w:val="18"/>
        </w:rPr>
        <w:t xml:space="preserve"> using a computed tomography-generated model. Journal of Biomechanical Engineering. 2019;141(4):041001. DOI: https://doi.org/10.1115/1.4042769</w:t>
      </w:r>
    </w:p>
    <w:p w14:paraId="25B585F3" w14:textId="77777777" w:rsidR="00C521CB" w:rsidRDefault="00923650">
      <w:pPr>
        <w:spacing w:after="40"/>
      </w:pPr>
      <w:r>
        <w:rPr>
          <w:sz w:val="18"/>
        </w:rPr>
        <w:t>31. Zhao K, Breighner R, Holmes D 3rd, Leng S, McCollough C, An KN. A technique for quantifying wrist motion using four-dimensional computed tomography: approach and validation. Journal of Biomechanical Engineering. 2015;137(7):074501. DOI: https://doi.org/10.1115/1.4030405</w:t>
      </w:r>
    </w:p>
    <w:p w14:paraId="3FE083F5" w14:textId="77777777" w:rsidR="00C521CB" w:rsidRDefault="00923650">
      <w:pPr>
        <w:spacing w:after="40"/>
      </w:pPr>
      <w:r>
        <w:rPr>
          <w:sz w:val="18"/>
        </w:rPr>
        <w:t xml:space="preserve">32. Crisco JJ, et al. Kinematic tracking of the small bones of the wrist in sequential 3DCT and dynamic 4DCT volume images using open-source hierarchical 3D registration, a module within </w:t>
      </w:r>
      <w:proofErr w:type="spellStart"/>
      <w:r>
        <w:rPr>
          <w:sz w:val="18"/>
        </w:rPr>
        <w:t>SlicerAutoscoperM</w:t>
      </w:r>
      <w:proofErr w:type="spellEnd"/>
      <w:r>
        <w:rPr>
          <w:sz w:val="18"/>
        </w:rPr>
        <w:t xml:space="preserve">. </w:t>
      </w:r>
      <w:proofErr w:type="spellStart"/>
      <w:r>
        <w:rPr>
          <w:sz w:val="18"/>
        </w:rPr>
        <w:t>BioMedical</w:t>
      </w:r>
      <w:proofErr w:type="spellEnd"/>
      <w:r>
        <w:rPr>
          <w:sz w:val="18"/>
        </w:rPr>
        <w:t xml:space="preserve"> Engineering </w:t>
      </w:r>
      <w:proofErr w:type="spellStart"/>
      <w:r>
        <w:rPr>
          <w:sz w:val="18"/>
        </w:rPr>
        <w:t>OnLine</w:t>
      </w:r>
      <w:proofErr w:type="spellEnd"/>
      <w:r>
        <w:rPr>
          <w:sz w:val="18"/>
        </w:rPr>
        <w:t>. 2026. DOI: https://doi.org/10.1186/s12938-026-01601-x</w:t>
      </w:r>
    </w:p>
    <w:p w14:paraId="23332F30" w14:textId="77777777" w:rsidR="00C521CB" w:rsidRDefault="00923650">
      <w:pPr>
        <w:spacing w:after="40"/>
      </w:pPr>
      <w:r>
        <w:rPr>
          <w:sz w:val="18"/>
        </w:rPr>
        <w:t xml:space="preserve">33. </w:t>
      </w:r>
      <w:proofErr w:type="spellStart"/>
      <w:r>
        <w:rPr>
          <w:sz w:val="18"/>
        </w:rPr>
        <w:t>Teule</w:t>
      </w:r>
      <w:proofErr w:type="spellEnd"/>
      <w:r>
        <w:rPr>
          <w:sz w:val="18"/>
        </w:rPr>
        <w:t xml:space="preserve"> EHS, </w:t>
      </w:r>
      <w:proofErr w:type="spellStart"/>
      <w:r>
        <w:rPr>
          <w:sz w:val="18"/>
        </w:rPr>
        <w:t>Lessmann</w:t>
      </w:r>
      <w:proofErr w:type="spellEnd"/>
      <w:r>
        <w:rPr>
          <w:sz w:val="18"/>
        </w:rPr>
        <w:t xml:space="preserve"> N, van der Heijden EPA, </w:t>
      </w:r>
      <w:proofErr w:type="spellStart"/>
      <w:r>
        <w:rPr>
          <w:sz w:val="18"/>
        </w:rPr>
        <w:t>Hummelink</w:t>
      </w:r>
      <w:proofErr w:type="spellEnd"/>
      <w:r>
        <w:rPr>
          <w:sz w:val="18"/>
        </w:rPr>
        <w:t xml:space="preserve"> S. Automatic segmentation and labelling of wrist bones in four-dimensional computed tomography datasets via deep learning. Journal of Hand Surgery European Volume. 2024;49(4):507-509. DOI: https://doi.org/10.1177/17531934231209876</w:t>
      </w:r>
    </w:p>
    <w:p w14:paraId="7DA60E77" w14:textId="77777777" w:rsidR="00C521CB" w:rsidRDefault="00923650">
      <w:pPr>
        <w:spacing w:after="40"/>
      </w:pPr>
      <w:r>
        <w:rPr>
          <w:sz w:val="18"/>
        </w:rPr>
        <w:t xml:space="preserve">34. Anas EMA, </w:t>
      </w:r>
      <w:proofErr w:type="spellStart"/>
      <w:r>
        <w:rPr>
          <w:sz w:val="18"/>
        </w:rPr>
        <w:t>Rasoulian</w:t>
      </w:r>
      <w:proofErr w:type="spellEnd"/>
      <w:r>
        <w:rPr>
          <w:sz w:val="18"/>
        </w:rPr>
        <w:t xml:space="preserve"> A, </w:t>
      </w:r>
      <w:proofErr w:type="spellStart"/>
      <w:r>
        <w:rPr>
          <w:sz w:val="18"/>
        </w:rPr>
        <w:t>Seitel</w:t>
      </w:r>
      <w:proofErr w:type="spellEnd"/>
      <w:r>
        <w:rPr>
          <w:sz w:val="18"/>
        </w:rPr>
        <w:t xml:space="preserve"> A, et al. Automatic segmentation of wrist bones in CT using a Statistical Wrist Shape + Pose Model. IEEE Transactions on Medical Imaging. 2016;35(8):1789-1801. DOI: https://doi.org/10.1109/TMI.2016.2529500</w:t>
      </w:r>
    </w:p>
    <w:p w14:paraId="6685D6C0" w14:textId="77777777" w:rsidR="00C521CB" w:rsidRDefault="00923650">
      <w:pPr>
        <w:spacing w:after="40"/>
      </w:pPr>
      <w:r>
        <w:rPr>
          <w:sz w:val="18"/>
        </w:rPr>
        <w:t xml:space="preserve">35. Isensee F, et al. </w:t>
      </w:r>
      <w:proofErr w:type="spellStart"/>
      <w:r>
        <w:rPr>
          <w:sz w:val="18"/>
        </w:rPr>
        <w:t>nnU</w:t>
      </w:r>
      <w:proofErr w:type="spellEnd"/>
      <w:r>
        <w:rPr>
          <w:sz w:val="18"/>
        </w:rPr>
        <w:t>-Net: a self-configuring method for deep learning-based biomedical image segmentation. Nature Methods. 2021;18(2):203-211. DOI: https://doi.org/10.1038/s41592-020-01008-z</w:t>
      </w:r>
    </w:p>
    <w:p w14:paraId="378C76C4" w14:textId="77777777" w:rsidR="00C521CB" w:rsidRDefault="00923650">
      <w:pPr>
        <w:spacing w:after="40"/>
      </w:pPr>
      <w:r>
        <w:rPr>
          <w:sz w:val="18"/>
        </w:rPr>
        <w:t xml:space="preserve">36. Ma J, et al. Segment anything in medical images. Nature Communications. </w:t>
      </w:r>
      <w:proofErr w:type="gramStart"/>
      <w:r>
        <w:rPr>
          <w:sz w:val="18"/>
        </w:rPr>
        <w:t>2024;15:654</w:t>
      </w:r>
      <w:proofErr w:type="gramEnd"/>
      <w:r>
        <w:rPr>
          <w:sz w:val="18"/>
        </w:rPr>
        <w:t>. DOI: https://doi.org/10.1038/s41467-024-44824-z</w:t>
      </w:r>
    </w:p>
    <w:p w14:paraId="22B51013" w14:textId="77777777" w:rsidR="00C521CB" w:rsidRDefault="00923650">
      <w:pPr>
        <w:spacing w:after="40"/>
      </w:pPr>
      <w:r w:rsidRPr="00BE3B19">
        <w:rPr>
          <w:sz w:val="18"/>
          <w:lang w:val="de-DE"/>
        </w:rPr>
        <w:t xml:space="preserve">37. Sarkalkan N, Weinans H, Zadpoor AA. </w:t>
      </w:r>
      <w:r>
        <w:rPr>
          <w:sz w:val="18"/>
        </w:rPr>
        <w:t xml:space="preserve">Statistical shape and appearance models of bones. Bone. </w:t>
      </w:r>
      <w:proofErr w:type="gramStart"/>
      <w:r>
        <w:rPr>
          <w:sz w:val="18"/>
        </w:rPr>
        <w:t>2014;60:129</w:t>
      </w:r>
      <w:proofErr w:type="gramEnd"/>
      <w:r>
        <w:rPr>
          <w:sz w:val="18"/>
        </w:rPr>
        <w:t>-140. DOI: https://doi.org/10.1016/j.bone.2013.12.006</w:t>
      </w:r>
    </w:p>
    <w:p w14:paraId="17367EB3" w14:textId="77777777" w:rsidR="00C521CB" w:rsidRDefault="00923650">
      <w:pPr>
        <w:spacing w:after="40"/>
      </w:pPr>
      <w:r>
        <w:rPr>
          <w:sz w:val="18"/>
        </w:rPr>
        <w:t>38. Xiao Y, Tan X, Liu J, Yan J, Yang Y, Xiang F. Biomechanical properties of a new 3D-printed customized anatomical total wrist prosthesis: a quasi-dynamic finite element analysis. Bone and Joint Research. 2026;15(3):311-321. DOI: https://doi.org/10.1302/2046-3758.153.BJR-2024-0425.R3</w:t>
      </w:r>
    </w:p>
    <w:p w14:paraId="20A74BAE" w14:textId="77777777" w:rsidR="00C521CB" w:rsidRDefault="00923650">
      <w:pPr>
        <w:spacing w:after="40"/>
      </w:pPr>
      <w:r>
        <w:rPr>
          <w:sz w:val="18"/>
        </w:rPr>
        <w:t xml:space="preserve">39. Wei Q, Liu C, Chen S, Liu M. Customized metal 3D printed total wrist prosthesis in the treatment of severely destroyed wrist: design rationale and clinical applications. </w:t>
      </w:r>
      <w:proofErr w:type="spellStart"/>
      <w:r>
        <w:rPr>
          <w:sz w:val="18"/>
        </w:rPr>
        <w:t>Orthopaedic</w:t>
      </w:r>
      <w:proofErr w:type="spellEnd"/>
      <w:r>
        <w:rPr>
          <w:sz w:val="18"/>
        </w:rPr>
        <w:t xml:space="preserve"> Surgery. 2025;17(5):1536-1546. DOI: https://doi.org/10.1111/os.70030</w:t>
      </w:r>
    </w:p>
    <w:p w14:paraId="4D0F23F5" w14:textId="77777777" w:rsidR="00C521CB" w:rsidRPr="00BE3B19" w:rsidRDefault="00923650">
      <w:pPr>
        <w:spacing w:after="40"/>
        <w:rPr>
          <w:lang w:val="de-DE"/>
        </w:rPr>
      </w:pPr>
      <w:r>
        <w:rPr>
          <w:sz w:val="18"/>
        </w:rPr>
        <w:t xml:space="preserve">40. Wang X, Xu S, Zhou S, et al. Topological design and additive manufacturing of porous metals for bone scaffolds and </w:t>
      </w:r>
      <w:proofErr w:type="spellStart"/>
      <w:r>
        <w:rPr>
          <w:sz w:val="18"/>
        </w:rPr>
        <w:t>orthopaedic</w:t>
      </w:r>
      <w:proofErr w:type="spellEnd"/>
      <w:r>
        <w:rPr>
          <w:sz w:val="18"/>
        </w:rPr>
        <w:t xml:space="preserve"> implants: a review. </w:t>
      </w:r>
      <w:r w:rsidRPr="00BE3B19">
        <w:rPr>
          <w:sz w:val="18"/>
          <w:lang w:val="de-DE"/>
        </w:rPr>
        <w:t>Biomaterials. 2016;83:127-141. DOI: https://doi.org/10.1016/j.biomaterials.2016.01.012</w:t>
      </w:r>
    </w:p>
    <w:p w14:paraId="58E34E5C" w14:textId="77777777" w:rsidR="00C521CB" w:rsidRDefault="00923650">
      <w:pPr>
        <w:spacing w:after="40"/>
      </w:pPr>
      <w:r w:rsidRPr="00BE3B19">
        <w:rPr>
          <w:sz w:val="18"/>
          <w:lang w:val="de-DE"/>
        </w:rPr>
        <w:t xml:space="preserve">41. Lind G, et al. </w:t>
      </w:r>
      <w:r>
        <w:rPr>
          <w:sz w:val="18"/>
        </w:rPr>
        <w:t>Photon-counting detector CT precision for wrist arthroplasty migration measurement. Skeletal Radiology. 2026. DOI: https://doi.org/10.1007/s00256-026-05293-1</w:t>
      </w:r>
    </w:p>
    <w:p w14:paraId="23420FE4" w14:textId="77777777" w:rsidR="00C521CB" w:rsidRDefault="00923650">
      <w:pPr>
        <w:spacing w:after="40"/>
      </w:pPr>
      <w:r>
        <w:rPr>
          <w:sz w:val="18"/>
        </w:rPr>
        <w:t>42. Cash T, Talwalkar S. Revision wrist arthroplasty strategies. Journal of Hand Surgery European Volume. 2025;50(1):42-49. DOI: https://doi.org/10.1177/17531934241297843</w:t>
      </w:r>
    </w:p>
    <w:p w14:paraId="386869F5" w14:textId="77777777" w:rsidR="00C521CB" w:rsidRDefault="00923650">
      <w:pPr>
        <w:spacing w:after="40"/>
      </w:pPr>
      <w:r>
        <w:rPr>
          <w:sz w:val="18"/>
        </w:rPr>
        <w:t>43. Ryu JY, Cooney WP 3rd, Askew LJ, An KN, Chao EY. Functional ranges of motion of the wrist joint. Journal of Hand Surgery American Volume. 1991;16(3):409-419. DOI: https://doi.org/10.1016/0363-5023(91)90006-W</w:t>
      </w:r>
    </w:p>
    <w:p w14:paraId="18B5A476" w14:textId="77777777" w:rsidR="00C521CB" w:rsidRDefault="00923650">
      <w:pPr>
        <w:spacing w:after="40"/>
      </w:pPr>
      <w:r>
        <w:rPr>
          <w:sz w:val="18"/>
        </w:rPr>
        <w:t xml:space="preserve">44. </w:t>
      </w:r>
      <w:proofErr w:type="spellStart"/>
      <w:r>
        <w:rPr>
          <w:sz w:val="18"/>
        </w:rPr>
        <w:t>Pilliar</w:t>
      </w:r>
      <w:proofErr w:type="spellEnd"/>
      <w:r>
        <w:rPr>
          <w:sz w:val="18"/>
        </w:rPr>
        <w:t xml:space="preserve"> RM, Lee JM, </w:t>
      </w:r>
      <w:proofErr w:type="spellStart"/>
      <w:r>
        <w:rPr>
          <w:sz w:val="18"/>
        </w:rPr>
        <w:t>Maniatopoulos</w:t>
      </w:r>
      <w:proofErr w:type="spellEnd"/>
      <w:r>
        <w:rPr>
          <w:sz w:val="18"/>
        </w:rPr>
        <w:t xml:space="preserve"> C. Observations on the effect of movement on bone ingrowth into porous-surfaced implants. Clinical </w:t>
      </w:r>
      <w:proofErr w:type="spellStart"/>
      <w:r>
        <w:rPr>
          <w:sz w:val="18"/>
        </w:rPr>
        <w:t>Orthopaedics</w:t>
      </w:r>
      <w:proofErr w:type="spellEnd"/>
      <w:r>
        <w:rPr>
          <w:sz w:val="18"/>
        </w:rPr>
        <w:t xml:space="preserve"> and Related Research. </w:t>
      </w:r>
      <w:proofErr w:type="gramStart"/>
      <w:r>
        <w:rPr>
          <w:sz w:val="18"/>
        </w:rPr>
        <w:t>1986;208:108</w:t>
      </w:r>
      <w:proofErr w:type="gramEnd"/>
      <w:r>
        <w:rPr>
          <w:sz w:val="18"/>
        </w:rPr>
        <w:t>-113. DOI: https://doi.org/10.1097/00003086-198607000-00023</w:t>
      </w:r>
    </w:p>
    <w:p w14:paraId="0B730F26" w14:textId="77777777" w:rsidR="00C521CB" w:rsidRDefault="00923650">
      <w:pPr>
        <w:spacing w:after="40"/>
      </w:pPr>
      <w:r>
        <w:rPr>
          <w:sz w:val="18"/>
        </w:rPr>
        <w:t xml:space="preserve">45. </w:t>
      </w:r>
      <w:proofErr w:type="spellStart"/>
      <w:r>
        <w:rPr>
          <w:sz w:val="18"/>
        </w:rPr>
        <w:t>Bobyn</w:t>
      </w:r>
      <w:proofErr w:type="spellEnd"/>
      <w:r>
        <w:rPr>
          <w:sz w:val="18"/>
        </w:rPr>
        <w:t xml:space="preserve"> JD, et al. Characteristics of bone ingrowth and interface mechanics of a new porous tantalum biomaterial. Journal of Bone and Joint Surgery British Volume. 1999;81(5):907-914. DOI: https://doi.org/10.1302/0301-620X.81B5.9283</w:t>
      </w:r>
    </w:p>
    <w:p w14:paraId="5818D4D5" w14:textId="77777777" w:rsidR="00C521CB" w:rsidRDefault="00923650">
      <w:pPr>
        <w:spacing w:after="40"/>
      </w:pPr>
      <w:r>
        <w:rPr>
          <w:sz w:val="18"/>
        </w:rPr>
        <w:t>46. Clementson M, Larsson SL, Abramo A, Brogren E. Clinical and patient-reported outcomes after total wrist arthroplasty and total wrist fusion: a prospective cohort study with 2-year follow-up. JBJS Open Access. 2024;9(1</w:t>
      </w:r>
      <w:proofErr w:type="gramStart"/>
      <w:r>
        <w:rPr>
          <w:sz w:val="18"/>
        </w:rPr>
        <w:t>):e</w:t>
      </w:r>
      <w:proofErr w:type="gramEnd"/>
      <w:r>
        <w:rPr>
          <w:sz w:val="18"/>
        </w:rPr>
        <w:t>23.00081. DOI: https://doi.org/10.2106/JBJS.OA.23.00081</w:t>
      </w:r>
    </w:p>
    <w:p w14:paraId="4BA9D9C7" w14:textId="77777777" w:rsidR="00C521CB" w:rsidRDefault="00923650">
      <w:pPr>
        <w:spacing w:after="40"/>
      </w:pPr>
      <w:r>
        <w:rPr>
          <w:sz w:val="18"/>
        </w:rPr>
        <w:t xml:space="preserve">47. Hooke AW, </w:t>
      </w:r>
      <w:proofErr w:type="spellStart"/>
      <w:r>
        <w:rPr>
          <w:sz w:val="18"/>
        </w:rPr>
        <w:t>Pettersson</w:t>
      </w:r>
      <w:proofErr w:type="spellEnd"/>
      <w:r>
        <w:rPr>
          <w:sz w:val="18"/>
        </w:rPr>
        <w:t xml:space="preserve"> K, </w:t>
      </w:r>
      <w:proofErr w:type="spellStart"/>
      <w:r>
        <w:rPr>
          <w:sz w:val="18"/>
        </w:rPr>
        <w:t>Sagerfors</w:t>
      </w:r>
      <w:proofErr w:type="spellEnd"/>
      <w:r>
        <w:rPr>
          <w:sz w:val="18"/>
        </w:rPr>
        <w:t xml:space="preserve"> M, An KN, Rizzo M. An anatomic and kinematic analysis of a new total wrist arthroplasty design. Journal of Wrist Surgery. 2015;4(2):121-127. DOI: https://doi.org/10.1055/s-0035-1549288</w:t>
      </w:r>
    </w:p>
    <w:p w14:paraId="4E147E6F" w14:textId="77777777" w:rsidR="00C521CB" w:rsidRDefault="00923650">
      <w:pPr>
        <w:spacing w:after="40"/>
      </w:pPr>
      <w:r>
        <w:rPr>
          <w:sz w:val="18"/>
        </w:rPr>
        <w:t xml:space="preserve">48. Berber O, </w:t>
      </w:r>
      <w:proofErr w:type="spellStart"/>
      <w:r>
        <w:rPr>
          <w:sz w:val="18"/>
        </w:rPr>
        <w:t>Gidwani</w:t>
      </w:r>
      <w:proofErr w:type="spellEnd"/>
      <w:r>
        <w:rPr>
          <w:sz w:val="18"/>
        </w:rPr>
        <w:t xml:space="preserve"> S, </w:t>
      </w:r>
      <w:proofErr w:type="spellStart"/>
      <w:r>
        <w:rPr>
          <w:sz w:val="18"/>
        </w:rPr>
        <w:t>Garagnani</w:t>
      </w:r>
      <w:proofErr w:type="spellEnd"/>
      <w:r>
        <w:rPr>
          <w:sz w:val="18"/>
        </w:rPr>
        <w:t xml:space="preserve"> L. Salvage of the failed total wrist arthroplasty: a systematic review. Journal of Wrist Surgery. 2020;9(5):446-456. DOI: https://doi.org/10.1055/s-0040-1713728</w:t>
      </w:r>
    </w:p>
    <w:p w14:paraId="03434BAF" w14:textId="77777777" w:rsidR="00C521CB" w:rsidRDefault="00923650">
      <w:pPr>
        <w:spacing w:after="40"/>
      </w:pPr>
      <w:r>
        <w:rPr>
          <w:sz w:val="18"/>
        </w:rPr>
        <w:t>49. Koo B, et al. Quantitative phantom-based comparison of commercial CT metal artifact reduction algorithms. Journal of Applied Clinical Medical Physics. 2026. DOI: https://doi.org/10.1002/acm2.70631</w:t>
      </w:r>
    </w:p>
    <w:p w14:paraId="47BB2681" w14:textId="77777777" w:rsidR="00C521CB" w:rsidRDefault="00923650">
      <w:pPr>
        <w:spacing w:after="40"/>
      </w:pPr>
      <w:r w:rsidRPr="00BE3B19">
        <w:rPr>
          <w:sz w:val="18"/>
          <w:lang w:val="de-DE"/>
        </w:rPr>
        <w:lastRenderedPageBreak/>
        <w:t xml:space="preserve">50. Jürgens-Lahnstein JH, et al. </w:t>
      </w:r>
      <w:r>
        <w:rPr>
          <w:sz w:val="18"/>
        </w:rPr>
        <w:t xml:space="preserve">Inducible displacement measured with </w:t>
      </w:r>
      <w:proofErr w:type="spellStart"/>
      <w:r>
        <w:rPr>
          <w:sz w:val="18"/>
        </w:rPr>
        <w:t>radiostereometric</w:t>
      </w:r>
      <w:proofErr w:type="spellEnd"/>
      <w:r>
        <w:rPr>
          <w:sz w:val="18"/>
        </w:rPr>
        <w:t xml:space="preserve"> analysis in primary knee arthroplasty: a systematic review. Acta </w:t>
      </w:r>
      <w:proofErr w:type="spellStart"/>
      <w:r>
        <w:rPr>
          <w:sz w:val="18"/>
        </w:rPr>
        <w:t>Orthopaedica</w:t>
      </w:r>
      <w:proofErr w:type="spellEnd"/>
      <w:r>
        <w:rPr>
          <w:sz w:val="18"/>
        </w:rPr>
        <w:t>. 2026. DOI: https://doi.org/10.2340/17453674.2026.46318</w:t>
      </w:r>
    </w:p>
    <w:p w14:paraId="71C109F7" w14:textId="77777777" w:rsidR="00C521CB" w:rsidRDefault="00923650">
      <w:pPr>
        <w:spacing w:after="40"/>
      </w:pPr>
      <w:r>
        <w:rPr>
          <w:sz w:val="18"/>
        </w:rPr>
        <w:t>51. Mani G, Porter D, Collins S, Schatz T, Ornberg A, Shulfer R. A review on manufacturing processes of cobalt-chromium alloy implants and its impact on corrosion resistance and biocompatibility. Journal of Biomedical Materials Research Part B Applied Biomaterials. 2024;112. DOI: https://doi.org/10.1002/jbm.b.35431</w:t>
      </w:r>
    </w:p>
    <w:p w14:paraId="15A8372D" w14:textId="77777777" w:rsidR="00C521CB" w:rsidRDefault="00923650">
      <w:pPr>
        <w:spacing w:after="40"/>
      </w:pPr>
      <w:r>
        <w:rPr>
          <w:sz w:val="18"/>
        </w:rPr>
        <w:t>52. Abd-</w:t>
      </w:r>
      <w:proofErr w:type="spellStart"/>
      <w:r>
        <w:rPr>
          <w:sz w:val="18"/>
        </w:rPr>
        <w:t>Elaziem</w:t>
      </w:r>
      <w:proofErr w:type="spellEnd"/>
      <w:r>
        <w:rPr>
          <w:sz w:val="18"/>
        </w:rPr>
        <w:t xml:space="preserve"> W, Darwish MA, Hamada A, </w:t>
      </w:r>
      <w:proofErr w:type="spellStart"/>
      <w:r>
        <w:rPr>
          <w:sz w:val="18"/>
        </w:rPr>
        <w:t>Daoush</w:t>
      </w:r>
      <w:proofErr w:type="spellEnd"/>
      <w:r>
        <w:rPr>
          <w:sz w:val="18"/>
        </w:rPr>
        <w:t xml:space="preserve"> WM. Titanium-based alloys and composites for orthopedic implant applications: a comprehensive review. Materials and Design. </w:t>
      </w:r>
      <w:proofErr w:type="gramStart"/>
      <w:r>
        <w:rPr>
          <w:sz w:val="18"/>
        </w:rPr>
        <w:t>2024;241:112850</w:t>
      </w:r>
      <w:proofErr w:type="gramEnd"/>
      <w:r>
        <w:rPr>
          <w:sz w:val="18"/>
        </w:rPr>
        <w:t>. DOI: https://doi.org/10.1016/j.matdes.2024.112850</w:t>
      </w:r>
    </w:p>
    <w:p w14:paraId="7159894B" w14:textId="77777777" w:rsidR="00C521CB" w:rsidRPr="00BE3B19" w:rsidRDefault="00923650">
      <w:pPr>
        <w:spacing w:after="40"/>
        <w:rPr>
          <w:lang w:val="de-DE"/>
        </w:rPr>
      </w:pPr>
      <w:r>
        <w:rPr>
          <w:sz w:val="18"/>
        </w:rPr>
        <w:t xml:space="preserve">53. Kutluay GE, et al. Porous Ti-6Al-4V architectures in load-bearing orthopedic reconstruction: a critical narrative review. </w:t>
      </w:r>
      <w:r w:rsidRPr="00BE3B19">
        <w:rPr>
          <w:sz w:val="18"/>
          <w:lang w:val="de-DE"/>
        </w:rPr>
        <w:t>Materials. 2026;19(18):3860. DOI: https://doi.org/10.3390/ma19183860</w:t>
      </w:r>
    </w:p>
    <w:p w14:paraId="12F4FB2F" w14:textId="77777777" w:rsidR="00C521CB" w:rsidRDefault="00923650">
      <w:pPr>
        <w:spacing w:after="40"/>
      </w:pPr>
      <w:r w:rsidRPr="00BE3B19">
        <w:rPr>
          <w:sz w:val="18"/>
          <w:lang w:val="de-DE"/>
        </w:rPr>
        <w:t xml:space="preserve">54. Cai X, Wang B, Zhang B, et al. </w:t>
      </w:r>
      <w:r>
        <w:rPr>
          <w:sz w:val="18"/>
        </w:rPr>
        <w:t xml:space="preserve">Safety and efficacy of a novel three-dimensional printed microporous titanium prosthesis for total wrist arthroplasty in the treatment of end-stage wrist arthritis. Frontiers in Bioengineering and Biotechnology. </w:t>
      </w:r>
      <w:proofErr w:type="gramStart"/>
      <w:r>
        <w:rPr>
          <w:sz w:val="18"/>
        </w:rPr>
        <w:t>2023;10:1119720</w:t>
      </w:r>
      <w:proofErr w:type="gramEnd"/>
      <w:r>
        <w:rPr>
          <w:sz w:val="18"/>
        </w:rPr>
        <w:t>. DOI: https://doi.org/10.3389/fbioe.2022.1119720</w:t>
      </w:r>
    </w:p>
    <w:p w14:paraId="5B54F424" w14:textId="77777777" w:rsidR="00C521CB" w:rsidRDefault="00923650">
      <w:pPr>
        <w:spacing w:after="40"/>
      </w:pPr>
      <w:r>
        <w:rPr>
          <w:sz w:val="18"/>
        </w:rPr>
        <w:t xml:space="preserve">55. MacDermid JC, Turgeon T, Richards RS, Beadle M, Roth JH. Patient rating of wrist pain and disability: a reliable and valid measurement tool. Journal of </w:t>
      </w:r>
      <w:proofErr w:type="spellStart"/>
      <w:r>
        <w:rPr>
          <w:sz w:val="18"/>
        </w:rPr>
        <w:t>Orthopaedic</w:t>
      </w:r>
      <w:proofErr w:type="spellEnd"/>
      <w:r>
        <w:rPr>
          <w:sz w:val="18"/>
        </w:rPr>
        <w:t xml:space="preserve"> Trauma. 1998;12(8):577-586. DOI: https://doi.org/10.1097/00005131-199811000-00009</w:t>
      </w:r>
    </w:p>
    <w:p w14:paraId="65270083" w14:textId="77777777" w:rsidR="00C521CB" w:rsidRDefault="00923650">
      <w:pPr>
        <w:spacing w:after="40"/>
      </w:pPr>
      <w:r>
        <w:rPr>
          <w:sz w:val="18"/>
        </w:rPr>
        <w:t>56. Chung KC, et al. Reliability and validity testing of the Michigan Hand Outcomes Questionnaire. Journal of Hand Surgery American Volume. 1998;23(4):575-587. DOI: https://doi.org/10.1016/S0363-5023(98)80042-7</w:t>
      </w:r>
    </w:p>
    <w:p w14:paraId="244B8FF6" w14:textId="77777777" w:rsidR="00C521CB" w:rsidRDefault="00923650">
      <w:pPr>
        <w:spacing w:after="40"/>
      </w:pPr>
      <w:r>
        <w:rPr>
          <w:sz w:val="18"/>
        </w:rPr>
        <w:t xml:space="preserve">57. </w:t>
      </w:r>
      <w:proofErr w:type="spellStart"/>
      <w:r>
        <w:rPr>
          <w:sz w:val="18"/>
        </w:rPr>
        <w:t>Boeckstyns</w:t>
      </w:r>
      <w:proofErr w:type="spellEnd"/>
      <w:r>
        <w:rPr>
          <w:sz w:val="18"/>
        </w:rPr>
        <w:t xml:space="preserve"> ME, et al. Can total wrist arthroplasty be an option in the treatment of the severely destroyed posttraumatic wrist? Journal of Wrist Surgery. 2013;2(1):46-52. DOI: https://doi.org/10.1055/s-0033-1357759</w:t>
      </w:r>
    </w:p>
    <w:p w14:paraId="01DE9934" w14:textId="77777777" w:rsidR="00C521CB" w:rsidRDefault="00923650">
      <w:pPr>
        <w:spacing w:after="40"/>
      </w:pPr>
      <w:r>
        <w:rPr>
          <w:sz w:val="18"/>
        </w:rPr>
        <w:t xml:space="preserve">58. </w:t>
      </w:r>
      <w:proofErr w:type="spellStart"/>
      <w:r>
        <w:rPr>
          <w:sz w:val="18"/>
        </w:rPr>
        <w:t>Gvozdenovic</w:t>
      </w:r>
      <w:proofErr w:type="spellEnd"/>
      <w:r>
        <w:rPr>
          <w:sz w:val="18"/>
        </w:rPr>
        <w:t xml:space="preserve"> R, et al. Ulnar head or total distal radioulnar joint replacement, isolated and combined with total wrist arthroplasty: midterm results. Journal of Wrist Surgery. 2020;9(5):384-391. DOI: https://doi.org/10.1055/s-0040-1712981</w:t>
      </w:r>
    </w:p>
    <w:p w14:paraId="53A80248" w14:textId="77777777" w:rsidR="00C521CB" w:rsidRDefault="00923650">
      <w:pPr>
        <w:spacing w:after="40"/>
      </w:pPr>
      <w:r>
        <w:rPr>
          <w:sz w:val="18"/>
        </w:rPr>
        <w:t>59. Berger RA. The anatomy and basic biomechanics of the wrist joint. Journal of Hand Therapy. 1996;9(2):84-93. DOI: https://doi.org/10.1016/S0894-1130(96)80066-4</w:t>
      </w:r>
    </w:p>
    <w:p w14:paraId="6F6C6C4E" w14:textId="77777777" w:rsidR="00C521CB" w:rsidRDefault="00923650">
      <w:pPr>
        <w:spacing w:after="40"/>
      </w:pPr>
      <w:r>
        <w:rPr>
          <w:sz w:val="18"/>
        </w:rPr>
        <w:t>60. Cai X, Wu Y, Huang J, Wang L, Xu Y, Lu S. Application of statistical Shape Models in orthopedics: a narrative review. Intelligent Medicine. 2024;4(4):249-255. DOI: https://doi.org/10.1016/j.imed.2024.05.001</w:t>
      </w:r>
    </w:p>
    <w:p w14:paraId="2D83EF9D" w14:textId="77777777" w:rsidR="00C521CB" w:rsidRDefault="00923650">
      <w:pPr>
        <w:spacing w:after="40"/>
      </w:pPr>
      <w:r>
        <w:rPr>
          <w:sz w:val="18"/>
        </w:rPr>
        <w:t xml:space="preserve">61. </w:t>
      </w:r>
      <w:proofErr w:type="spellStart"/>
      <w:r>
        <w:rPr>
          <w:sz w:val="18"/>
        </w:rPr>
        <w:t>Akhbari</w:t>
      </w:r>
      <w:proofErr w:type="spellEnd"/>
      <w:r>
        <w:rPr>
          <w:sz w:val="18"/>
        </w:rPr>
        <w:t xml:space="preserve"> B, Moore DC, Laidlaw DH, Weiss APC, </w:t>
      </w:r>
      <w:proofErr w:type="spellStart"/>
      <w:r>
        <w:rPr>
          <w:sz w:val="18"/>
        </w:rPr>
        <w:t>Akelman</w:t>
      </w:r>
      <w:proofErr w:type="spellEnd"/>
      <w:r>
        <w:rPr>
          <w:sz w:val="18"/>
        </w:rPr>
        <w:t xml:space="preserve"> E, Wolfe SW, Crisco JJ. Predicting carpal bone kinematics using an expanded digital database of wrist carpal bone anatomy and kinematics. Journal of </w:t>
      </w:r>
      <w:proofErr w:type="spellStart"/>
      <w:r>
        <w:rPr>
          <w:sz w:val="18"/>
        </w:rPr>
        <w:t>Orthopaedic</w:t>
      </w:r>
      <w:proofErr w:type="spellEnd"/>
      <w:r>
        <w:rPr>
          <w:sz w:val="18"/>
        </w:rPr>
        <w:t xml:space="preserve"> Research. 2019;37(12):2661-2670. DOI: https://doi.org/10.1002/jor.24435</w:t>
      </w:r>
    </w:p>
    <w:p w14:paraId="398C1681" w14:textId="77777777" w:rsidR="00C521CB" w:rsidRDefault="00923650">
      <w:pPr>
        <w:spacing w:after="40"/>
      </w:pPr>
      <w:r>
        <w:rPr>
          <w:sz w:val="18"/>
        </w:rPr>
        <w:t xml:space="preserve">62. </w:t>
      </w:r>
      <w:proofErr w:type="spellStart"/>
      <w:r>
        <w:rPr>
          <w:sz w:val="18"/>
        </w:rPr>
        <w:t>Moritomo</w:t>
      </w:r>
      <w:proofErr w:type="spellEnd"/>
      <w:r>
        <w:rPr>
          <w:sz w:val="18"/>
        </w:rPr>
        <w:t xml:space="preserve"> H, </w:t>
      </w:r>
      <w:proofErr w:type="spellStart"/>
      <w:r>
        <w:rPr>
          <w:sz w:val="18"/>
        </w:rPr>
        <w:t>Apergis</w:t>
      </w:r>
      <w:proofErr w:type="spellEnd"/>
      <w:r>
        <w:rPr>
          <w:sz w:val="18"/>
        </w:rPr>
        <w:t xml:space="preserve"> EP, Garcia-Elias M, Werner FW, Wolfe SW. International Federation of Societies for Surgery of the Hand 2013 committee's report on wrist dart-throwing motion. Journal of Hand Surgery American Volume. 2014;39(7):1433-1439. DOI: https://doi.org/10.1016/j.jhsa.2014.02.035</w:t>
      </w:r>
    </w:p>
    <w:p w14:paraId="4E481CBE" w14:textId="77777777" w:rsidR="00C521CB" w:rsidRDefault="00923650">
      <w:pPr>
        <w:spacing w:after="40"/>
      </w:pPr>
      <w:r>
        <w:rPr>
          <w:sz w:val="18"/>
        </w:rPr>
        <w:t>63. Amundsen A, et al. Twenty-year experience with primary distal radioulnar joint arthroplasty from a single institution. Journal of Hand Surgery American Volume. 2023;48(7):711-719. DOI: https://doi.org/10.1016/j.jhsa.2022.02.014</w:t>
      </w:r>
    </w:p>
    <w:p w14:paraId="3F83829C" w14:textId="77777777" w:rsidR="00C521CB" w:rsidRDefault="00923650">
      <w:pPr>
        <w:spacing w:after="40"/>
      </w:pPr>
      <w:r>
        <w:rPr>
          <w:sz w:val="18"/>
        </w:rPr>
        <w:t xml:space="preserve">64. Nichols JA, Bednar MS, Havey RM, Murray WM. Connecting the wrist to the hand: a simulation study exploring changes in thumb-tip endpoint force following wrist surgery. Journal of Biomechanics. </w:t>
      </w:r>
      <w:proofErr w:type="gramStart"/>
      <w:r>
        <w:rPr>
          <w:sz w:val="18"/>
        </w:rPr>
        <w:t>2017;58:97</w:t>
      </w:r>
      <w:proofErr w:type="gramEnd"/>
      <w:r>
        <w:rPr>
          <w:sz w:val="18"/>
        </w:rPr>
        <w:t>-104. DOI: https://doi.org/10.1016/j.jbiomech.2017.04.024</w:t>
      </w:r>
    </w:p>
    <w:p w14:paraId="33366F7E" w14:textId="77777777" w:rsidR="00C521CB" w:rsidRDefault="00923650">
      <w:pPr>
        <w:spacing w:after="40"/>
      </w:pPr>
      <w:r>
        <w:rPr>
          <w:sz w:val="18"/>
        </w:rPr>
        <w:t xml:space="preserve">65. Wang A, </w:t>
      </w:r>
      <w:proofErr w:type="spellStart"/>
      <w:r>
        <w:rPr>
          <w:sz w:val="18"/>
        </w:rPr>
        <w:t>Essner</w:t>
      </w:r>
      <w:proofErr w:type="spellEnd"/>
      <w:r>
        <w:rPr>
          <w:sz w:val="18"/>
        </w:rPr>
        <w:t xml:space="preserve"> A, </w:t>
      </w:r>
      <w:proofErr w:type="spellStart"/>
      <w:r>
        <w:rPr>
          <w:sz w:val="18"/>
        </w:rPr>
        <w:t>Polineni</w:t>
      </w:r>
      <w:proofErr w:type="spellEnd"/>
      <w:r>
        <w:rPr>
          <w:sz w:val="18"/>
        </w:rPr>
        <w:t xml:space="preserve"> VK, Stark C, Dumbleton JH. Lubrication and wear of ultra-high molecular weight polyethylene in total joint replacements. Tribology International. 1998;31(1-3):17-33. DOI: https://doi.org/10.1016/S0301-679X(98)00005-X</w:t>
      </w:r>
    </w:p>
    <w:p w14:paraId="4A5FFFED" w14:textId="77777777" w:rsidR="00C521CB" w:rsidRDefault="00923650">
      <w:pPr>
        <w:spacing w:after="40"/>
      </w:pPr>
      <w:r>
        <w:rPr>
          <w:sz w:val="18"/>
        </w:rPr>
        <w:t xml:space="preserve">66. Baykal D, Kurtz SM. Advances in tribological testing of artificial joint biomaterials using multidirectional pin-on-disk testers. Journal of the Mechanical Behavior of Biomedical Materials. </w:t>
      </w:r>
      <w:proofErr w:type="gramStart"/>
      <w:r>
        <w:rPr>
          <w:sz w:val="18"/>
        </w:rPr>
        <w:t>2014;31:117</w:t>
      </w:r>
      <w:proofErr w:type="gramEnd"/>
      <w:r>
        <w:rPr>
          <w:sz w:val="18"/>
        </w:rPr>
        <w:t>-134. DOI: https://doi.org/10.1016/j.jmbbm.2013.05.020</w:t>
      </w:r>
    </w:p>
    <w:p w14:paraId="5FEA080E" w14:textId="77777777" w:rsidR="00C521CB" w:rsidRDefault="00923650">
      <w:pPr>
        <w:spacing w:after="40"/>
      </w:pPr>
      <w:r>
        <w:rPr>
          <w:sz w:val="18"/>
        </w:rPr>
        <w:t>67. Karageorgiou V, Kaplan D. Porosity of 3D biomaterial scaffolds and osteogenesis. Biomaterials. 2005;26(27):5474-5491. DOI: https://doi.org/10.1016/j.biomaterials.2005.02.002</w:t>
      </w:r>
    </w:p>
    <w:p w14:paraId="3043DC93" w14:textId="77777777" w:rsidR="00C521CB" w:rsidRDefault="00923650">
      <w:pPr>
        <w:spacing w:after="40"/>
      </w:pPr>
      <w:r>
        <w:rPr>
          <w:sz w:val="18"/>
        </w:rPr>
        <w:t xml:space="preserve">68. </w:t>
      </w:r>
      <w:proofErr w:type="spellStart"/>
      <w:r>
        <w:rPr>
          <w:sz w:val="18"/>
        </w:rPr>
        <w:t>Zarenia</w:t>
      </w:r>
      <w:proofErr w:type="spellEnd"/>
      <w:r>
        <w:rPr>
          <w:sz w:val="18"/>
        </w:rPr>
        <w:t xml:space="preserve"> M, </w:t>
      </w:r>
      <w:proofErr w:type="spellStart"/>
      <w:r>
        <w:rPr>
          <w:sz w:val="18"/>
        </w:rPr>
        <w:t>Arpinar</w:t>
      </w:r>
      <w:proofErr w:type="spellEnd"/>
      <w:r>
        <w:rPr>
          <w:sz w:val="18"/>
        </w:rPr>
        <w:t xml:space="preserve"> VE, et al. Dynamic tracking of scaphoid, lunate, and capitate carpal bones using four-dimensional MRI. PLOS ONE. 2022;17(6</w:t>
      </w:r>
      <w:proofErr w:type="gramStart"/>
      <w:r>
        <w:rPr>
          <w:sz w:val="18"/>
        </w:rPr>
        <w:t>):e</w:t>
      </w:r>
      <w:proofErr w:type="gramEnd"/>
      <w:r>
        <w:rPr>
          <w:sz w:val="18"/>
        </w:rPr>
        <w:t>0269336. DOI: https://doi.org/10.1371/journal.pone.0269336</w:t>
      </w:r>
    </w:p>
    <w:p w14:paraId="3671C4ED" w14:textId="77777777" w:rsidR="00C521CB" w:rsidRDefault="00923650">
      <w:pPr>
        <w:spacing w:after="40"/>
      </w:pPr>
      <w:r>
        <w:rPr>
          <w:sz w:val="18"/>
        </w:rPr>
        <w:t xml:space="preserve">69. Zhang C, Chen H, Fan H, et al. Carpal bone replacement using personalized 3D printed tantalum prosthesis. Frontiers in Bioengineering and Biotechnology. </w:t>
      </w:r>
      <w:proofErr w:type="gramStart"/>
      <w:r>
        <w:rPr>
          <w:sz w:val="18"/>
        </w:rPr>
        <w:t>2023;11:1234052</w:t>
      </w:r>
      <w:proofErr w:type="gramEnd"/>
      <w:r>
        <w:rPr>
          <w:sz w:val="18"/>
        </w:rPr>
        <w:t>. DOI: https://doi.org/10.3389/fbioe.2023.1234052</w:t>
      </w:r>
    </w:p>
    <w:p w14:paraId="459C838D" w14:textId="77777777" w:rsidR="00C521CB" w:rsidRDefault="00923650">
      <w:pPr>
        <w:spacing w:after="40"/>
      </w:pPr>
      <w:r>
        <w:rPr>
          <w:sz w:val="18"/>
        </w:rPr>
        <w:t xml:space="preserve">70. Dobbe JGG, de Roo MGA, </w:t>
      </w:r>
      <w:proofErr w:type="spellStart"/>
      <w:r>
        <w:rPr>
          <w:sz w:val="18"/>
        </w:rPr>
        <w:t>Visschers</w:t>
      </w:r>
      <w:proofErr w:type="spellEnd"/>
      <w:r>
        <w:rPr>
          <w:sz w:val="18"/>
        </w:rPr>
        <w:t xml:space="preserve"> JC, </w:t>
      </w:r>
      <w:proofErr w:type="spellStart"/>
      <w:r>
        <w:rPr>
          <w:sz w:val="18"/>
        </w:rPr>
        <w:t>Strackee</w:t>
      </w:r>
      <w:proofErr w:type="spellEnd"/>
      <w:r>
        <w:rPr>
          <w:sz w:val="18"/>
        </w:rPr>
        <w:t xml:space="preserve"> SD, </w:t>
      </w:r>
      <w:proofErr w:type="spellStart"/>
      <w:r>
        <w:rPr>
          <w:sz w:val="18"/>
        </w:rPr>
        <w:t>Streekstra</w:t>
      </w:r>
      <w:proofErr w:type="spellEnd"/>
      <w:r>
        <w:rPr>
          <w:sz w:val="18"/>
        </w:rPr>
        <w:t xml:space="preserve"> GJ. Evaluation of a quantitative method for carpal motion analysis using clinical 3-D and 4-D CT protocols. IEEE Transactions on Medical Imaging. 2019;38(4):1048-1057. DOI: https://doi.org/10.1109/TMI.2018.2877503</w:t>
      </w:r>
    </w:p>
    <w:p w14:paraId="206F8EB1" w14:textId="77777777" w:rsidR="00C521CB" w:rsidRDefault="00923650">
      <w:pPr>
        <w:spacing w:after="40"/>
      </w:pPr>
      <w:r>
        <w:rPr>
          <w:sz w:val="18"/>
        </w:rPr>
        <w:t xml:space="preserve">71. Brui E, </w:t>
      </w:r>
      <w:proofErr w:type="spellStart"/>
      <w:r>
        <w:rPr>
          <w:sz w:val="18"/>
        </w:rPr>
        <w:t>Efimtcev</w:t>
      </w:r>
      <w:proofErr w:type="spellEnd"/>
      <w:r>
        <w:rPr>
          <w:sz w:val="18"/>
        </w:rPr>
        <w:t xml:space="preserve"> AY, </w:t>
      </w:r>
      <w:proofErr w:type="spellStart"/>
      <w:r>
        <w:rPr>
          <w:sz w:val="18"/>
        </w:rPr>
        <w:t>Fokin</w:t>
      </w:r>
      <w:proofErr w:type="spellEnd"/>
      <w:r>
        <w:rPr>
          <w:sz w:val="18"/>
        </w:rPr>
        <w:t xml:space="preserve"> VA, et al. Deep learning-based fully automatic segmentation of wrist cartilage in MR images. NMR in Biomedicine. 2020;33(8</w:t>
      </w:r>
      <w:proofErr w:type="gramStart"/>
      <w:r>
        <w:rPr>
          <w:sz w:val="18"/>
        </w:rPr>
        <w:t>):e</w:t>
      </w:r>
      <w:proofErr w:type="gramEnd"/>
      <w:r>
        <w:rPr>
          <w:sz w:val="18"/>
        </w:rPr>
        <w:t>4320. DOI: https://doi.org/10.1002/nbm.4320</w:t>
      </w:r>
    </w:p>
    <w:p w14:paraId="72C1E74D" w14:textId="77777777" w:rsidR="00C521CB" w:rsidRDefault="00923650">
      <w:pPr>
        <w:spacing w:after="40"/>
      </w:pPr>
      <w:r>
        <w:rPr>
          <w:sz w:val="18"/>
        </w:rPr>
        <w:t xml:space="preserve">72. van de Giessen M, </w:t>
      </w:r>
      <w:proofErr w:type="spellStart"/>
      <w:r>
        <w:rPr>
          <w:sz w:val="18"/>
        </w:rPr>
        <w:t>Foumani</w:t>
      </w:r>
      <w:proofErr w:type="spellEnd"/>
      <w:r>
        <w:rPr>
          <w:sz w:val="18"/>
        </w:rPr>
        <w:t xml:space="preserve"> M, </w:t>
      </w:r>
      <w:proofErr w:type="spellStart"/>
      <w:r>
        <w:rPr>
          <w:sz w:val="18"/>
        </w:rPr>
        <w:t>Streekstra</w:t>
      </w:r>
      <w:proofErr w:type="spellEnd"/>
      <w:r>
        <w:rPr>
          <w:sz w:val="18"/>
        </w:rPr>
        <w:t xml:space="preserve"> GJ, et al. Statistical descriptions of scaphoid and lunate bone shapes. Journal of Biomechanics. 2010;43(8):1463-1469. DOI: https://doi.org/10.1016/j.jbiomech.2010.02.006</w:t>
      </w:r>
    </w:p>
    <w:p w14:paraId="13D36E5C" w14:textId="77777777" w:rsidR="00C521CB" w:rsidRDefault="00923650">
      <w:pPr>
        <w:spacing w:after="40"/>
      </w:pPr>
      <w:r>
        <w:rPr>
          <w:sz w:val="18"/>
        </w:rPr>
        <w:t xml:space="preserve">73. Trentadue TP, Thoreson A, Lopez C, et al. Morphology of the </w:t>
      </w:r>
      <w:proofErr w:type="spellStart"/>
      <w:r>
        <w:rPr>
          <w:sz w:val="18"/>
        </w:rPr>
        <w:t>scaphotrapeziotrapezoid</w:t>
      </w:r>
      <w:proofErr w:type="spellEnd"/>
      <w:r>
        <w:rPr>
          <w:sz w:val="18"/>
        </w:rPr>
        <w:t xml:space="preserve"> joint: a multi-domain statistical shape modeling approach. Journal of </w:t>
      </w:r>
      <w:proofErr w:type="spellStart"/>
      <w:r>
        <w:rPr>
          <w:sz w:val="18"/>
        </w:rPr>
        <w:t>Orthopaedic</w:t>
      </w:r>
      <w:proofErr w:type="spellEnd"/>
      <w:r>
        <w:rPr>
          <w:sz w:val="18"/>
        </w:rPr>
        <w:t xml:space="preserve"> Research. 2024;42(11):2562-2574. DOI: https://doi.org/10.1002/jor.25918</w:t>
      </w:r>
    </w:p>
    <w:p w14:paraId="313D7CCA" w14:textId="77777777" w:rsidR="00C521CB" w:rsidRDefault="00923650">
      <w:pPr>
        <w:spacing w:after="40"/>
      </w:pPr>
      <w:r>
        <w:rPr>
          <w:sz w:val="18"/>
        </w:rPr>
        <w:t xml:space="preserve">74. Zheng G, Gollmer S, Schumann S, Dong X, </w:t>
      </w:r>
      <w:proofErr w:type="spellStart"/>
      <w:r>
        <w:rPr>
          <w:sz w:val="18"/>
        </w:rPr>
        <w:t>Feilkas</w:t>
      </w:r>
      <w:proofErr w:type="spellEnd"/>
      <w:r>
        <w:rPr>
          <w:sz w:val="18"/>
        </w:rPr>
        <w:t xml:space="preserve"> T, Gonzalez </w:t>
      </w:r>
      <w:proofErr w:type="spellStart"/>
      <w:r>
        <w:rPr>
          <w:sz w:val="18"/>
        </w:rPr>
        <w:t>Ballester</w:t>
      </w:r>
      <w:proofErr w:type="spellEnd"/>
      <w:r>
        <w:rPr>
          <w:sz w:val="18"/>
        </w:rPr>
        <w:t xml:space="preserve"> MA. Automatic inference and measurement of 3D carpal bone kinematics from single view fluoroscopic sequences. IEEE Transactions on Medical Imaging. 2013;32(2):317-328. DOI: https://doi.org/10.1109/TMI.2012.2226740</w:t>
      </w:r>
    </w:p>
    <w:p w14:paraId="1EE92228" w14:textId="77777777" w:rsidR="00C521CB" w:rsidRDefault="00923650">
      <w:pPr>
        <w:spacing w:after="40"/>
      </w:pPr>
      <w:r>
        <w:rPr>
          <w:sz w:val="18"/>
        </w:rPr>
        <w:t>75. Falcinelli C, Valente F, Vasta M, Traini T. Finite element analysis in implant dentistry: state of the art and future directions. Dental Materials. 2023;39(6):539-556. DOI: https://doi.org/10.1016/j.dental.2023.04.002</w:t>
      </w:r>
    </w:p>
    <w:p w14:paraId="70D02B06" w14:textId="77777777" w:rsidR="00C521CB" w:rsidRDefault="00923650">
      <w:pPr>
        <w:spacing w:after="40"/>
      </w:pPr>
      <w:r>
        <w:rPr>
          <w:sz w:val="18"/>
        </w:rPr>
        <w:lastRenderedPageBreak/>
        <w:t>76. Norman-</w:t>
      </w:r>
      <w:proofErr w:type="spellStart"/>
      <w:r>
        <w:rPr>
          <w:sz w:val="18"/>
        </w:rPr>
        <w:t>Puim</w:t>
      </w:r>
      <w:proofErr w:type="spellEnd"/>
      <w:r>
        <w:rPr>
          <w:sz w:val="18"/>
        </w:rPr>
        <w:t xml:space="preserve"> E, </w:t>
      </w:r>
      <w:proofErr w:type="spellStart"/>
      <w:r>
        <w:rPr>
          <w:sz w:val="18"/>
        </w:rPr>
        <w:t>Lalone</w:t>
      </w:r>
      <w:proofErr w:type="spellEnd"/>
      <w:r>
        <w:rPr>
          <w:sz w:val="18"/>
        </w:rPr>
        <w:t xml:space="preserve"> E, Kadar A, Langohr GDG, Suh N. Reverse total wrist arthroplasty: new design and biomechanical advantages. Journal of Hand Surgery American Volume. </w:t>
      </w:r>
      <w:proofErr w:type="gramStart"/>
      <w:r>
        <w:rPr>
          <w:sz w:val="18"/>
        </w:rPr>
        <w:t>2026;online</w:t>
      </w:r>
      <w:proofErr w:type="gramEnd"/>
      <w:r>
        <w:rPr>
          <w:sz w:val="18"/>
        </w:rPr>
        <w:t xml:space="preserve"> ahead of print. DOI: https://doi.org/10.1016/j.jhsa.2026.06.005</w:t>
      </w:r>
    </w:p>
    <w:p w14:paraId="7D0F84DB" w14:textId="31833B4F" w:rsidR="00C521CB" w:rsidRDefault="00923650">
      <w:pPr>
        <w:spacing w:after="40"/>
      </w:pPr>
      <w:r>
        <w:rPr>
          <w:sz w:val="18"/>
        </w:rPr>
        <w:t xml:space="preserve">77. Glanville J, Bates KT, Fichera S, Newton AW, Brown DJ. Determining the ideal position of the longitudinal </w:t>
      </w:r>
      <w:r w:rsidR="008F1480">
        <w:rPr>
          <w:sz w:val="18"/>
        </w:rPr>
        <w:t>center</w:t>
      </w:r>
      <w:r>
        <w:rPr>
          <w:sz w:val="18"/>
        </w:rPr>
        <w:t xml:space="preserve"> of rotation for a </w:t>
      </w:r>
      <w:proofErr w:type="spellStart"/>
      <w:r>
        <w:rPr>
          <w:sz w:val="18"/>
        </w:rPr>
        <w:t>Motec</w:t>
      </w:r>
      <w:proofErr w:type="spellEnd"/>
      <w:r>
        <w:rPr>
          <w:sz w:val="18"/>
        </w:rPr>
        <w:t xml:space="preserve"> total wrist arthroplasty. Journal of Hand Surgery European Volume. 2026;51(2):179-187. DOI: https://doi.org/10.1177/17531934251378987</w:t>
      </w:r>
    </w:p>
    <w:p w14:paraId="5768B32D" w14:textId="77777777" w:rsidR="00C521CB" w:rsidRDefault="00923650">
      <w:pPr>
        <w:spacing w:after="40"/>
      </w:pPr>
      <w:r>
        <w:rPr>
          <w:sz w:val="18"/>
        </w:rPr>
        <w:t xml:space="preserve">78. Bavil AY, et al. Evidence-informed methodological approaches for coupled neuromusculoskeletal-finite element analysis workflows in </w:t>
      </w:r>
      <w:proofErr w:type="spellStart"/>
      <w:r>
        <w:rPr>
          <w:sz w:val="18"/>
        </w:rPr>
        <w:t>orthopaedic</w:t>
      </w:r>
      <w:proofErr w:type="spellEnd"/>
      <w:r>
        <w:rPr>
          <w:sz w:val="18"/>
        </w:rPr>
        <w:t xml:space="preserve"> biomechanics. Frontiers in Bioengineering and Biotechnology. 2026. DOI: https://doi.org/10.3389/fbioe.2026.1875782</w:t>
      </w:r>
    </w:p>
    <w:p w14:paraId="66AEBBA8" w14:textId="77777777" w:rsidR="00C521CB" w:rsidRPr="00BE3B19" w:rsidRDefault="00923650">
      <w:pPr>
        <w:spacing w:after="40"/>
        <w:rPr>
          <w:lang w:val="de-DE"/>
        </w:rPr>
      </w:pPr>
      <w:r>
        <w:rPr>
          <w:sz w:val="18"/>
        </w:rPr>
        <w:t xml:space="preserve">79. Pappalardo F, et al. In silico clinical trials: concepts and early adoptions. </w:t>
      </w:r>
      <w:r w:rsidRPr="00BE3B19">
        <w:rPr>
          <w:sz w:val="18"/>
          <w:lang w:val="de-DE"/>
        </w:rPr>
        <w:t>Briefings in Bioinformatics. 2019;20(2):325-330. DOI: https://doi.org/10.1093/bib/bby043</w:t>
      </w:r>
    </w:p>
    <w:p w14:paraId="586214F7" w14:textId="77777777" w:rsidR="00C521CB" w:rsidRDefault="00923650">
      <w:pPr>
        <w:spacing w:after="40"/>
      </w:pPr>
      <w:r w:rsidRPr="00BE3B19">
        <w:rPr>
          <w:sz w:val="18"/>
          <w:lang w:val="de-DE"/>
        </w:rPr>
        <w:t xml:space="preserve">80. Wagner ER, et al. </w:t>
      </w:r>
      <w:r>
        <w:rPr>
          <w:sz w:val="18"/>
        </w:rPr>
        <w:t xml:space="preserve">What are the risk factors and complications associated with intraoperative and postoperative fractures in total wrist arthroplasty? Clinical </w:t>
      </w:r>
      <w:proofErr w:type="spellStart"/>
      <w:r>
        <w:rPr>
          <w:sz w:val="18"/>
        </w:rPr>
        <w:t>Orthopaedics</w:t>
      </w:r>
      <w:proofErr w:type="spellEnd"/>
      <w:r>
        <w:rPr>
          <w:sz w:val="18"/>
        </w:rPr>
        <w:t xml:space="preserve"> and Related Research. 2017;475(10):3128-3134. DOI: https://doi.org/10.1007/s11999-017-5442-2</w:t>
      </w:r>
    </w:p>
    <w:p w14:paraId="45CB2803" w14:textId="77777777" w:rsidR="00C521CB" w:rsidRDefault="00923650">
      <w:pPr>
        <w:spacing w:after="40"/>
      </w:pPr>
      <w:r>
        <w:rPr>
          <w:sz w:val="18"/>
        </w:rPr>
        <w:t xml:space="preserve">81. Reigstad O, Holm-Glad T, Korslund J, Myhre C, </w:t>
      </w:r>
      <w:proofErr w:type="spellStart"/>
      <w:r>
        <w:rPr>
          <w:sz w:val="18"/>
        </w:rPr>
        <w:t>Thorkildsen</w:t>
      </w:r>
      <w:proofErr w:type="spellEnd"/>
      <w:r>
        <w:rPr>
          <w:sz w:val="18"/>
        </w:rPr>
        <w:t xml:space="preserve"> R, </w:t>
      </w:r>
      <w:proofErr w:type="spellStart"/>
      <w:r>
        <w:rPr>
          <w:sz w:val="18"/>
        </w:rPr>
        <w:t>Rokkum</w:t>
      </w:r>
      <w:proofErr w:type="spellEnd"/>
      <w:r>
        <w:rPr>
          <w:sz w:val="18"/>
        </w:rPr>
        <w:t xml:space="preserve"> M. Long-term outcomes of wrist arthroplasty using the </w:t>
      </w:r>
      <w:proofErr w:type="spellStart"/>
      <w:r>
        <w:rPr>
          <w:sz w:val="18"/>
        </w:rPr>
        <w:t>ReMotion</w:t>
      </w:r>
      <w:proofErr w:type="spellEnd"/>
      <w:r>
        <w:rPr>
          <w:sz w:val="18"/>
        </w:rPr>
        <w:t xml:space="preserve"> implant in non-inflammatory wrist pathology. Journal of Hand Surgery Asian-Pacific Volume. 2024;29(3):200-210. DOI: https://doi.org/10.1142/S2424835524500218</w:t>
      </w:r>
    </w:p>
    <w:p w14:paraId="1DCAE497" w14:textId="77777777" w:rsidR="00C521CB" w:rsidRDefault="00923650">
      <w:pPr>
        <w:spacing w:after="40"/>
      </w:pPr>
      <w:r>
        <w:rPr>
          <w:sz w:val="18"/>
        </w:rPr>
        <w:t xml:space="preserve">82. </w:t>
      </w:r>
      <w:proofErr w:type="spellStart"/>
      <w:r>
        <w:rPr>
          <w:sz w:val="18"/>
        </w:rPr>
        <w:t>Sagerfors</w:t>
      </w:r>
      <w:proofErr w:type="spellEnd"/>
      <w:r>
        <w:rPr>
          <w:sz w:val="18"/>
        </w:rPr>
        <w:t xml:space="preserve"> M, Gupta A, Brus O, Rizzo M, Pettersson K. Total wrist arthroplasty: a single-center study of 219 cases with 5-year follow-up. Journal of Hand Surgery American Volume. 2015;40(12):2380-2387. DOI: https://doi.org/10.1016/j.jhsa.2015.09.016</w:t>
      </w:r>
    </w:p>
    <w:p w14:paraId="0BB0451B" w14:textId="77777777" w:rsidR="00C521CB" w:rsidRDefault="00923650">
      <w:pPr>
        <w:spacing w:after="40"/>
      </w:pPr>
      <w:r>
        <w:rPr>
          <w:sz w:val="18"/>
        </w:rPr>
        <w:t>83. Cioffi A, Rovere G, Bosco F, et al. Treatment of scaphoid non-unions with custom-made 3D-printed titanium partial and total scaphoid prostheses and scaphoid interosseous ligament reconstruction. Healthcare. 2023;11(24):3123. DOI: https://doi.org/10.3390/healthcare11243123</w:t>
      </w:r>
    </w:p>
    <w:p w14:paraId="0457E4E5" w14:textId="77777777" w:rsidR="00C521CB" w:rsidRDefault="00923650">
      <w:pPr>
        <w:spacing w:after="40"/>
      </w:pPr>
      <w:r>
        <w:rPr>
          <w:sz w:val="18"/>
        </w:rPr>
        <w:t>84. Hall DJ, et al. What surgeons need to know about adverse local tissue reaction in total hip arthroplasty. Journal of Arthroplasty. 2020;35(3):634-640. DOI: https://doi.org/10.1016/j.arth.2020.01.016</w:t>
      </w:r>
    </w:p>
    <w:p w14:paraId="3AF4CEA1" w14:textId="77777777" w:rsidR="00C521CB" w:rsidRDefault="00923650">
      <w:pPr>
        <w:spacing w:after="40"/>
      </w:pPr>
      <w:r>
        <w:rPr>
          <w:sz w:val="18"/>
        </w:rPr>
        <w:t xml:space="preserve">85. Kwon YM, et al. Risk stratification algorithm for management of head-neck taper </w:t>
      </w:r>
      <w:proofErr w:type="spellStart"/>
      <w:r>
        <w:rPr>
          <w:sz w:val="18"/>
        </w:rPr>
        <w:t>tribocorrosion</w:t>
      </w:r>
      <w:proofErr w:type="spellEnd"/>
      <w:r>
        <w:rPr>
          <w:sz w:val="18"/>
        </w:rPr>
        <w:t xml:space="preserve"> in patients with metal-on-polyethylene total hip arthroplasty. Journal of Bone and Joint Surgery American Volume. 2021;103(6</w:t>
      </w:r>
      <w:proofErr w:type="gramStart"/>
      <w:r>
        <w:rPr>
          <w:sz w:val="18"/>
        </w:rPr>
        <w:t>):e</w:t>
      </w:r>
      <w:proofErr w:type="gramEnd"/>
      <w:r>
        <w:rPr>
          <w:sz w:val="18"/>
        </w:rPr>
        <w:t>20. DOI: https://doi.org/10.2106/JBJS.20.01837</w:t>
      </w:r>
    </w:p>
    <w:p w14:paraId="5CA7BB1F" w14:textId="77777777" w:rsidR="00C521CB" w:rsidRDefault="00923650">
      <w:pPr>
        <w:spacing w:after="40"/>
      </w:pPr>
      <w:r>
        <w:rPr>
          <w:sz w:val="18"/>
        </w:rPr>
        <w:t xml:space="preserve">86. Bracco P, Oral E. Vitamin E-stabilized UHMWPE for total joint implants: a review. Clinical </w:t>
      </w:r>
      <w:proofErr w:type="spellStart"/>
      <w:r>
        <w:rPr>
          <w:sz w:val="18"/>
        </w:rPr>
        <w:t>Orthopaedics</w:t>
      </w:r>
      <w:proofErr w:type="spellEnd"/>
      <w:r>
        <w:rPr>
          <w:sz w:val="18"/>
        </w:rPr>
        <w:t xml:space="preserve"> and Related Research. 2011;469(8):2286-2293. DOI: https://doi.org/10.1007/s11999-010-1717-6</w:t>
      </w:r>
    </w:p>
    <w:p w14:paraId="29C27CCA" w14:textId="1C43923F" w:rsidR="00C521CB" w:rsidRDefault="00923650">
      <w:pPr>
        <w:spacing w:after="40"/>
      </w:pPr>
      <w:r>
        <w:rPr>
          <w:sz w:val="18"/>
        </w:rPr>
        <w:t xml:space="preserve">87. Spece H, Yarbrough RV, Kurtz SM. </w:t>
      </w:r>
      <w:r w:rsidR="00BC639E" w:rsidRPr="00BC639E">
        <w:rPr>
          <w:i/>
          <w:iCs/>
          <w:sz w:val="18"/>
        </w:rPr>
        <w:t>In-vivo</w:t>
      </w:r>
      <w:r>
        <w:rPr>
          <w:sz w:val="18"/>
        </w:rPr>
        <w:t xml:space="preserve"> performance of vitamin E stabilized polyethylene implants for total hip arthroplasty: a review. Journal of Arthroplasty. 2023;38(5):970-979. DOI: https://doi.org/10.1016/j.arth.2022.11.010</w:t>
      </w:r>
    </w:p>
    <w:p w14:paraId="253A13C5" w14:textId="77777777" w:rsidR="00C521CB" w:rsidRDefault="00923650">
      <w:pPr>
        <w:spacing w:after="40"/>
      </w:pPr>
      <w:r>
        <w:rPr>
          <w:sz w:val="18"/>
        </w:rPr>
        <w:t xml:space="preserve">88. Eschweiler J, Li J, Quack V, et al. Total wrist arthroplasty: a systematic review of the outcome, and an introduction of </w:t>
      </w:r>
      <w:proofErr w:type="spellStart"/>
      <w:r>
        <w:rPr>
          <w:sz w:val="18"/>
        </w:rPr>
        <w:t>FreeMove</w:t>
      </w:r>
      <w:proofErr w:type="spellEnd"/>
      <w:r>
        <w:rPr>
          <w:sz w:val="18"/>
        </w:rPr>
        <w:t>, an approach to improve TWA. Life. 2022;12(3):411. DOI: https://doi.org/10.3390/life12030411</w:t>
      </w:r>
    </w:p>
    <w:p w14:paraId="401543DC" w14:textId="77777777" w:rsidR="00C521CB" w:rsidRDefault="00923650">
      <w:pPr>
        <w:spacing w:after="40"/>
      </w:pPr>
      <w:r w:rsidRPr="00923650">
        <w:rPr>
          <w:sz w:val="18"/>
          <w:lang w:val="de-DE"/>
        </w:rPr>
        <w:t xml:space="preserve">89. Huang H, Liu X, Wang J, et al. </w:t>
      </w:r>
      <w:r>
        <w:rPr>
          <w:sz w:val="18"/>
        </w:rPr>
        <w:t xml:space="preserve">Strategies to improve the performance of </w:t>
      </w:r>
      <w:proofErr w:type="spellStart"/>
      <w:r>
        <w:rPr>
          <w:sz w:val="18"/>
        </w:rPr>
        <w:t>polyetheretherketone</w:t>
      </w:r>
      <w:proofErr w:type="spellEnd"/>
      <w:r>
        <w:rPr>
          <w:sz w:val="18"/>
        </w:rPr>
        <w:t xml:space="preserve"> as orthopedic implants: from surface modification to addition of bioactive materials. Journal of Materials Chemistry B. </w:t>
      </w:r>
      <w:proofErr w:type="gramStart"/>
      <w:r>
        <w:rPr>
          <w:sz w:val="18"/>
        </w:rPr>
        <w:t>2024;12:4533</w:t>
      </w:r>
      <w:proofErr w:type="gramEnd"/>
      <w:r>
        <w:rPr>
          <w:sz w:val="18"/>
        </w:rPr>
        <w:t>-4552. DOI: https://doi.org/10.1039/D3TB02740F</w:t>
      </w:r>
    </w:p>
    <w:p w14:paraId="0AD919DB" w14:textId="77777777" w:rsidR="00C521CB" w:rsidRDefault="00923650">
      <w:pPr>
        <w:spacing w:after="40"/>
      </w:pPr>
      <w:r>
        <w:rPr>
          <w:sz w:val="18"/>
        </w:rPr>
        <w:t xml:space="preserve">90. Özdemir E, et al. Embodied artificial intelligence in robotic </w:t>
      </w:r>
      <w:proofErr w:type="spellStart"/>
      <w:r>
        <w:rPr>
          <w:sz w:val="18"/>
        </w:rPr>
        <w:t>orthopaedic</w:t>
      </w:r>
      <w:proofErr w:type="spellEnd"/>
      <w:r>
        <w:rPr>
          <w:sz w:val="18"/>
        </w:rPr>
        <w:t xml:space="preserve"> surgery: from intelligent assistance to adaptive surgical autonomy. Journal of Robotic Surgery. 2026. DOI: https://doi.org/10.1007/s11701-026-03913-5</w:t>
      </w:r>
    </w:p>
    <w:p w14:paraId="45C18C3F" w14:textId="77777777" w:rsidR="00C521CB" w:rsidRDefault="00923650">
      <w:pPr>
        <w:spacing w:after="40"/>
      </w:pPr>
      <w:r>
        <w:rPr>
          <w:sz w:val="18"/>
        </w:rPr>
        <w:t>91. Li D, et al. Exploring artificial intelligence in orthopedic surgery: a review of perception, decision, and execution systems. Sensors. 2026;26(9):2591. DOI: https://doi.org/10.3390/s26092591</w:t>
      </w:r>
    </w:p>
    <w:sectPr w:rsidR="00C521CB" w:rsidSect="00034616">
      <w:headerReference w:type="default" r:id="rId10"/>
      <w:footerReference w:type="default" r:id="rId11"/>
      <w:pgSz w:w="11909" w:h="16834"/>
      <w:pgMar w:top="1037" w:right="1181" w:bottom="965"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0D3C8D" w14:textId="77777777" w:rsidR="00923650" w:rsidRDefault="00923650">
      <w:pPr>
        <w:spacing w:after="0" w:line="240" w:lineRule="auto"/>
      </w:pPr>
      <w:r>
        <w:separator/>
      </w:r>
    </w:p>
  </w:endnote>
  <w:endnote w:type="continuationSeparator" w:id="0">
    <w:p w14:paraId="7B30C1C3" w14:textId="77777777" w:rsidR="00923650" w:rsidRDefault="00923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1AA1D" w14:textId="77777777" w:rsidR="00923650" w:rsidRDefault="00923650">
    <w:pPr>
      <w:pStyle w:val="a7"/>
      <w:jc w:val="center"/>
    </w:pPr>
    <w:r>
      <w:rPr>
        <w:rFonts w:ascii="Arial" w:eastAsia="Arial" w:hAnsi="Arial"/>
        <w:color w:val="505050"/>
        <w:sz w:val="16"/>
      </w:rPr>
      <w:fldChar w:fldCharType="begin"/>
    </w:r>
    <w:r>
      <w:rPr>
        <w:rFonts w:ascii="Arial" w:eastAsia="Arial" w:hAnsi="Arial"/>
        <w:color w:val="505050"/>
        <w:sz w:val="16"/>
      </w:rPr>
      <w:instrText xml:space="preserve"> PAGE </w:instrText>
    </w:r>
    <w:r>
      <w:rPr>
        <w:rFonts w:ascii="Arial" w:eastAsia="Arial" w:hAnsi="Arial"/>
        <w:color w:val="505050"/>
        <w:sz w:val="16"/>
      </w:rPr>
      <w:fldChar w:fldCharType="separate"/>
    </w:r>
    <w:r>
      <w:rPr>
        <w:rFonts w:ascii="Arial" w:eastAsia="Arial" w:hAnsi="Arial"/>
        <w:noProof/>
        <w:color w:val="505050"/>
        <w:sz w:val="16"/>
      </w:rPr>
      <w:t>1</w:t>
    </w:r>
    <w:r>
      <w:rPr>
        <w:rFonts w:ascii="Arial" w:eastAsia="Arial" w:hAnsi="Arial"/>
        <w:color w:val="50505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13572E" w14:textId="77777777" w:rsidR="00923650" w:rsidRDefault="00923650">
      <w:pPr>
        <w:spacing w:after="0" w:line="240" w:lineRule="auto"/>
      </w:pPr>
      <w:r>
        <w:separator/>
      </w:r>
    </w:p>
  </w:footnote>
  <w:footnote w:type="continuationSeparator" w:id="0">
    <w:p w14:paraId="5AF9F935" w14:textId="77777777" w:rsidR="00923650" w:rsidRDefault="009236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9C4956" w14:textId="77777777" w:rsidR="00923650" w:rsidRDefault="00923650">
    <w:pPr>
      <w:pStyle w:val="a5"/>
    </w:pPr>
  </w:p>
  <w:tbl>
    <w:tblPr>
      <w:tblW w:w="0" w:type="auto"/>
      <w:tblLayout w:type="fixed"/>
      <w:tblLook w:val="04A0" w:firstRow="1" w:lastRow="0" w:firstColumn="1" w:lastColumn="0" w:noHBand="0" w:noVBand="1"/>
    </w:tblPr>
    <w:tblGrid>
      <w:gridCol w:w="4774"/>
      <w:gridCol w:w="4774"/>
    </w:tblGrid>
    <w:tr w:rsidR="00923650" w14:paraId="7494BFC9" w14:textId="77777777">
      <w:tc>
        <w:tcPr>
          <w:tcW w:w="4774" w:type="dxa"/>
          <w:tcMar>
            <w:top w:w="0" w:type="dxa"/>
            <w:left w:w="0" w:type="dxa"/>
            <w:bottom w:w="0" w:type="dxa"/>
            <w:right w:w="0" w:type="dxa"/>
          </w:tcMar>
        </w:tcPr>
        <w:p w14:paraId="12B670FD" w14:textId="77777777" w:rsidR="00923650" w:rsidRDefault="00923650">
          <w:r>
            <w:rPr>
              <w:rFonts w:ascii="Arial" w:eastAsia="Arial" w:hAnsi="Arial"/>
              <w:b/>
              <w:color w:val="465056"/>
              <w:sz w:val="15"/>
            </w:rPr>
            <w:t>TOTAL WRIST ARTHROPLASTY</w:t>
          </w:r>
        </w:p>
      </w:tc>
      <w:tc>
        <w:tcPr>
          <w:tcW w:w="4774" w:type="dxa"/>
          <w:tcMar>
            <w:top w:w="0" w:type="dxa"/>
            <w:left w:w="0" w:type="dxa"/>
            <w:bottom w:w="0" w:type="dxa"/>
            <w:right w:w="0" w:type="dxa"/>
          </w:tcMar>
        </w:tcPr>
        <w:p w14:paraId="7C19606A" w14:textId="77777777" w:rsidR="00923650" w:rsidRDefault="00923650">
          <w:pPr>
            <w:jc w:val="right"/>
          </w:pPr>
          <w:r>
            <w:rPr>
              <w:rFonts w:ascii="Arial" w:eastAsia="Arial" w:hAnsi="Arial"/>
              <w:b/>
              <w:color w:val="465056"/>
              <w:sz w:val="15"/>
            </w:rPr>
            <w:t>NARRATIVE REVIEW</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DFF"/>
    <w:rsid w:val="0015074B"/>
    <w:rsid w:val="00215912"/>
    <w:rsid w:val="0029639D"/>
    <w:rsid w:val="00326F90"/>
    <w:rsid w:val="003842A5"/>
    <w:rsid w:val="00583DA5"/>
    <w:rsid w:val="005A5647"/>
    <w:rsid w:val="0061414C"/>
    <w:rsid w:val="00643D26"/>
    <w:rsid w:val="00663459"/>
    <w:rsid w:val="006C73F1"/>
    <w:rsid w:val="00703FA9"/>
    <w:rsid w:val="007359AC"/>
    <w:rsid w:val="00811697"/>
    <w:rsid w:val="0083137A"/>
    <w:rsid w:val="00896462"/>
    <w:rsid w:val="008F1480"/>
    <w:rsid w:val="00907D9E"/>
    <w:rsid w:val="00923650"/>
    <w:rsid w:val="0093642B"/>
    <w:rsid w:val="009C34F7"/>
    <w:rsid w:val="00A71CFF"/>
    <w:rsid w:val="00AA1D8D"/>
    <w:rsid w:val="00B47730"/>
    <w:rsid w:val="00BC639E"/>
    <w:rsid w:val="00BE3B19"/>
    <w:rsid w:val="00C10EE1"/>
    <w:rsid w:val="00C521C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37D5D"/>
  <w14:defaultImageDpi w14:val="300"/>
  <w15:docId w15:val="{D5EDB0F3-078D-426F-863F-AF77212DC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90" w:line="269" w:lineRule="auto"/>
      <w:jc w:val="both"/>
    </w:pPr>
    <w:rPr>
      <w:rFonts w:ascii="Times New Roman" w:eastAsia="Times New Roman" w:hAnsi="Times New Roman"/>
      <w:color w:val="141414"/>
      <w:sz w:val="21"/>
    </w:rPr>
  </w:style>
  <w:style w:type="paragraph" w:styleId="1">
    <w:name w:val="heading 1"/>
    <w:basedOn w:val="a1"/>
    <w:next w:val="a1"/>
    <w:link w:val="10"/>
    <w:uiPriority w:val="9"/>
    <w:qFormat/>
    <w:rsid w:val="00FC693F"/>
    <w:pPr>
      <w:keepNext/>
      <w:keepLines/>
      <w:spacing w:before="220" w:after="80"/>
      <w:outlineLvl w:val="0"/>
    </w:pPr>
    <w:rPr>
      <w:rFonts w:asciiTheme="majorHAnsi" w:eastAsiaTheme="majorEastAsia" w:hAnsiTheme="majorHAnsi" w:cstheme="majorBidi"/>
      <w:b/>
      <w:bCs/>
      <w:color w:val="0F2332"/>
      <w:sz w:val="27"/>
      <w:szCs w:val="28"/>
    </w:rPr>
  </w:style>
  <w:style w:type="paragraph" w:styleId="21">
    <w:name w:val="heading 2"/>
    <w:basedOn w:val="a1"/>
    <w:next w:val="a1"/>
    <w:link w:val="22"/>
    <w:uiPriority w:val="9"/>
    <w:unhideWhenUsed/>
    <w:qFormat/>
    <w:rsid w:val="00FC693F"/>
    <w:pPr>
      <w:keepNext/>
      <w:keepLines/>
      <w:spacing w:before="160" w:after="60"/>
      <w:outlineLvl w:val="1"/>
    </w:pPr>
    <w:rPr>
      <w:rFonts w:asciiTheme="majorHAnsi" w:eastAsiaTheme="majorEastAsia" w:hAnsiTheme="majorHAnsi" w:cstheme="majorBidi"/>
      <w:b/>
      <w:bCs/>
      <w:color w:val="223A49"/>
      <w:sz w:val="23"/>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Theme="majorHAnsi" w:eastAsiaTheme="majorEastAsia" w:hAnsiTheme="majorHAnsi" w:cstheme="majorBidi"/>
      <w:b/>
      <w:bCs/>
      <w:color w:val="223A4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20" w:line="240" w:lineRule="auto"/>
      <w:contextualSpacing/>
      <w:jc w:val="left"/>
    </w:pPr>
    <w:rPr>
      <w:rFonts w:asciiTheme="majorHAnsi" w:eastAsiaTheme="majorEastAsia" w:hAnsiTheme="majorHAnsi" w:cstheme="majorBidi"/>
      <w:b/>
      <w:color w:val="0F2332"/>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basedOn w:val="a1"/>
    <w:pPr>
      <w:spacing w:after="120" w:line="252" w:lineRule="auto"/>
    </w:pPr>
    <w:rPr>
      <w:sz w:val="19"/>
    </w:rPr>
  </w:style>
  <w:style w:type="paragraph" w:customStyle="1" w:styleId="Reference">
    <w:name w:val="Reference"/>
    <w:basedOn w:val="a1"/>
    <w:pPr>
      <w:spacing w:after="48" w:line="240" w:lineRule="auto"/>
      <w:ind w:left="317" w:hanging="317"/>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14968">
      <w:bodyDiv w:val="1"/>
      <w:marLeft w:val="0"/>
      <w:marRight w:val="0"/>
      <w:marTop w:val="0"/>
      <w:marBottom w:val="0"/>
      <w:divBdr>
        <w:top w:val="none" w:sz="0" w:space="0" w:color="auto"/>
        <w:left w:val="none" w:sz="0" w:space="0" w:color="auto"/>
        <w:bottom w:val="none" w:sz="0" w:space="0" w:color="auto"/>
        <w:right w:val="none" w:sz="0" w:space="0" w:color="auto"/>
      </w:divBdr>
    </w:div>
    <w:div w:id="129129017">
      <w:bodyDiv w:val="1"/>
      <w:marLeft w:val="0"/>
      <w:marRight w:val="0"/>
      <w:marTop w:val="0"/>
      <w:marBottom w:val="0"/>
      <w:divBdr>
        <w:top w:val="none" w:sz="0" w:space="0" w:color="auto"/>
        <w:left w:val="none" w:sz="0" w:space="0" w:color="auto"/>
        <w:bottom w:val="none" w:sz="0" w:space="0" w:color="auto"/>
        <w:right w:val="none" w:sz="0" w:space="0" w:color="auto"/>
      </w:divBdr>
    </w:div>
    <w:div w:id="803932254">
      <w:bodyDiv w:val="1"/>
      <w:marLeft w:val="0"/>
      <w:marRight w:val="0"/>
      <w:marTop w:val="0"/>
      <w:marBottom w:val="0"/>
      <w:divBdr>
        <w:top w:val="none" w:sz="0" w:space="0" w:color="auto"/>
        <w:left w:val="none" w:sz="0" w:space="0" w:color="auto"/>
        <w:bottom w:val="none" w:sz="0" w:space="0" w:color="auto"/>
        <w:right w:val="none" w:sz="0" w:space="0" w:color="auto"/>
      </w:divBdr>
    </w:div>
    <w:div w:id="855389270">
      <w:bodyDiv w:val="1"/>
      <w:marLeft w:val="0"/>
      <w:marRight w:val="0"/>
      <w:marTop w:val="0"/>
      <w:marBottom w:val="0"/>
      <w:divBdr>
        <w:top w:val="none" w:sz="0" w:space="0" w:color="auto"/>
        <w:left w:val="none" w:sz="0" w:space="0" w:color="auto"/>
        <w:bottom w:val="none" w:sz="0" w:space="0" w:color="auto"/>
        <w:right w:val="none" w:sz="0" w:space="0" w:color="auto"/>
      </w:divBdr>
    </w:div>
    <w:div w:id="1089695551">
      <w:bodyDiv w:val="1"/>
      <w:marLeft w:val="0"/>
      <w:marRight w:val="0"/>
      <w:marTop w:val="0"/>
      <w:marBottom w:val="0"/>
      <w:divBdr>
        <w:top w:val="none" w:sz="0" w:space="0" w:color="auto"/>
        <w:left w:val="none" w:sz="0" w:space="0" w:color="auto"/>
        <w:bottom w:val="none" w:sz="0" w:space="0" w:color="auto"/>
        <w:right w:val="none" w:sz="0" w:space="0" w:color="auto"/>
      </w:divBdr>
    </w:div>
    <w:div w:id="1201475122">
      <w:bodyDiv w:val="1"/>
      <w:marLeft w:val="0"/>
      <w:marRight w:val="0"/>
      <w:marTop w:val="0"/>
      <w:marBottom w:val="0"/>
      <w:divBdr>
        <w:top w:val="none" w:sz="0" w:space="0" w:color="auto"/>
        <w:left w:val="none" w:sz="0" w:space="0" w:color="auto"/>
        <w:bottom w:val="none" w:sz="0" w:space="0" w:color="auto"/>
        <w:right w:val="none" w:sz="0" w:space="0" w:color="auto"/>
      </w:divBdr>
    </w:div>
    <w:div w:id="1258294443">
      <w:bodyDiv w:val="1"/>
      <w:marLeft w:val="0"/>
      <w:marRight w:val="0"/>
      <w:marTop w:val="0"/>
      <w:marBottom w:val="0"/>
      <w:divBdr>
        <w:top w:val="none" w:sz="0" w:space="0" w:color="auto"/>
        <w:left w:val="none" w:sz="0" w:space="0" w:color="auto"/>
        <w:bottom w:val="none" w:sz="0" w:space="0" w:color="auto"/>
        <w:right w:val="none" w:sz="0" w:space="0" w:color="auto"/>
      </w:divBdr>
    </w:div>
    <w:div w:id="1380204621">
      <w:bodyDiv w:val="1"/>
      <w:marLeft w:val="0"/>
      <w:marRight w:val="0"/>
      <w:marTop w:val="0"/>
      <w:marBottom w:val="0"/>
      <w:divBdr>
        <w:top w:val="none" w:sz="0" w:space="0" w:color="auto"/>
        <w:left w:val="none" w:sz="0" w:space="0" w:color="auto"/>
        <w:bottom w:val="none" w:sz="0" w:space="0" w:color="auto"/>
        <w:right w:val="none" w:sz="0" w:space="0" w:color="auto"/>
      </w:divBdr>
    </w:div>
    <w:div w:id="1637175912">
      <w:bodyDiv w:val="1"/>
      <w:marLeft w:val="0"/>
      <w:marRight w:val="0"/>
      <w:marTop w:val="0"/>
      <w:marBottom w:val="0"/>
      <w:divBdr>
        <w:top w:val="none" w:sz="0" w:space="0" w:color="auto"/>
        <w:left w:val="none" w:sz="0" w:space="0" w:color="auto"/>
        <w:bottom w:val="none" w:sz="0" w:space="0" w:color="auto"/>
        <w:right w:val="none" w:sz="0" w:space="0" w:color="auto"/>
      </w:divBdr>
    </w:div>
    <w:div w:id="21416526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A7146E-A606-4EDB-AC9E-8A0002947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32</Pages>
  <Words>16988</Words>
  <Characters>96836</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Wrist Arthroplasty: State of the Art in Biomechanical Modelling and Patient-Specific Design</dc:title>
  <dc:subject>Total wrist arthroplasty biomechanics and implant design</dc:subject>
  <dc:creator>Irgendwo Anderes</dc:creator>
  <cp:keywords>total wrist arthroplasty, biomechanics, kinematics, implant design</cp:keywords>
  <dc:description>generated by python-docx</dc:description>
  <cp:lastModifiedBy>J. L.</cp:lastModifiedBy>
  <cp:revision>7</cp:revision>
  <dcterms:created xsi:type="dcterms:W3CDTF">2013-12-23T23:15:00Z</dcterms:created>
  <dcterms:modified xsi:type="dcterms:W3CDTF">2026-10-12T03:07:00Z</dcterms:modified>
  <cp:category/>
</cp:coreProperties>
</file>