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4317" w14:textId="1029FBA1" w:rsidR="00D06182" w:rsidRDefault="00D06182" w:rsidP="00D06182">
      <w:pPr>
        <w:rPr>
          <w:b/>
          <w:bCs/>
        </w:rPr>
      </w:pPr>
      <w:r>
        <w:rPr>
          <w:noProof/>
        </w:rPr>
        <w:drawing>
          <wp:inline distT="0" distB="0" distL="0" distR="0" wp14:anchorId="30A2DE39" wp14:editId="7C0DE99A">
            <wp:extent cx="5391150" cy="5391150"/>
            <wp:effectExtent l="0" t="0" r="0" b="0"/>
            <wp:docPr id="78992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a:ln>
                      <a:noFill/>
                    </a:ln>
                  </pic:spPr>
                </pic:pic>
              </a:graphicData>
            </a:graphic>
          </wp:inline>
        </w:drawing>
      </w:r>
      <w:r>
        <w:rPr>
          <w:b/>
          <w:bCs/>
          <w:lang w:val="en-US"/>
        </w:rPr>
        <w:br/>
      </w:r>
      <w:r>
        <w:rPr>
          <w:b/>
          <w:bCs/>
          <w:lang w:val="en-US"/>
        </w:rPr>
        <w:br/>
      </w:r>
      <w:r w:rsidRPr="00D06182">
        <w:rPr>
          <w:b/>
          <w:bCs/>
        </w:rPr>
        <w:t xml:space="preserve">Figure 1. Baseline respiration rates of </w:t>
      </w:r>
      <w:r w:rsidRPr="00D06182">
        <w:rPr>
          <w:b/>
          <w:bCs/>
          <w:i/>
          <w:iCs/>
        </w:rPr>
        <w:t>Stylophora pistillata</w:t>
      </w:r>
      <w:r w:rsidRPr="00D06182">
        <w:rPr>
          <w:b/>
          <w:bCs/>
        </w:rPr>
        <w:t xml:space="preserve"> recruits under ambient conditions. </w:t>
      </w:r>
      <w:r w:rsidRPr="00D06182">
        <w:rPr>
          <w:lang w:val="en-US"/>
        </w:rPr>
        <w:t>S</w:t>
      </w:r>
      <w:r w:rsidRPr="00D06182">
        <w:t xml:space="preserve">tandardized oxygen consumption rates for High-Fluorescence (HF), Partial-Fluorescence (PF) </w:t>
      </w:r>
      <w:r>
        <w:rPr>
          <w:lang w:val="en-US"/>
        </w:rPr>
        <w:t xml:space="preserve">and </w:t>
      </w:r>
      <w:r w:rsidRPr="00D06182">
        <w:t>Non-Fluorescence (NF</w:t>
      </w:r>
      <w:r>
        <w:rPr>
          <w:lang w:val="en-US"/>
        </w:rPr>
        <w:t xml:space="preserve">) </w:t>
      </w:r>
      <w:r w:rsidRPr="00D06182">
        <w:t xml:space="preserve">morphs </w:t>
      </w:r>
      <w:r>
        <w:rPr>
          <w:lang w:val="en-US"/>
        </w:rPr>
        <w:t>settled in control tank</w:t>
      </w:r>
      <w:r w:rsidRPr="00D06182">
        <w:t xml:space="preserve"> at 25</w:t>
      </w:r>
      <w:r w:rsidRPr="00D06182">
        <w:rPr>
          <w:rFonts w:ascii="Aptos" w:hAnsi="Aptos" w:cs="Aptos"/>
        </w:rPr>
        <w:t>°</w:t>
      </w:r>
      <w:r w:rsidRPr="00D06182">
        <w:t>C and pH 8.2</w:t>
      </w:r>
      <w:r>
        <w:rPr>
          <w:lang w:val="en-US"/>
        </w:rPr>
        <w:t xml:space="preserve"> and 200photons</w:t>
      </w:r>
      <w:r w:rsidRPr="00D06182">
        <w:t xml:space="preserve">. Whiskers indicate the 1.5 </w:t>
      </w:r>
      <w:r w:rsidRPr="00D06182">
        <w:rPr>
          <w:rFonts w:ascii="Aptos" w:hAnsi="Aptos" w:cs="Aptos"/>
        </w:rPr>
        <w:t>×</w:t>
      </w:r>
      <w:r w:rsidRPr="00D06182">
        <w:t xml:space="preserve"> interquartile range (IQR). Data were filtered to exclude technical outliers (&gt; 2.12 nmol O</w:t>
      </w:r>
      <w:r w:rsidRPr="00D06182">
        <w:rPr>
          <w:rFonts w:ascii="Aptos" w:hAnsi="Aptos" w:cs="Aptos"/>
        </w:rPr>
        <w:t>₂</w:t>
      </w:r>
      <w:r w:rsidRPr="00D06182">
        <w:t xml:space="preserve"> mm</w:t>
      </w:r>
      <w:r w:rsidRPr="00D06182">
        <w:rPr>
          <w:rFonts w:ascii="Cambria Math" w:hAnsi="Cambria Math" w:cs="Cambria Math"/>
        </w:rPr>
        <w:t>⁻</w:t>
      </w:r>
      <w:r w:rsidRPr="00D06182">
        <w:rPr>
          <w:rFonts w:ascii="Aptos" w:hAnsi="Aptos" w:cs="Aptos"/>
        </w:rPr>
        <w:t>²</w:t>
      </w:r>
      <w:r w:rsidRPr="00D06182">
        <w:t xml:space="preserve"> min</w:t>
      </w:r>
      <w:r w:rsidRPr="00D06182">
        <w:rPr>
          <w:rFonts w:ascii="Cambria Math" w:hAnsi="Cambria Math" w:cs="Cambria Math"/>
        </w:rPr>
        <w:t>⁻</w:t>
      </w:r>
      <w:r w:rsidRPr="00D06182">
        <w:rPr>
          <w:rFonts w:ascii="Aptos" w:hAnsi="Aptos" w:cs="Aptos"/>
        </w:rPr>
        <w:t>¹</w:t>
      </w:r>
      <w:r w:rsidRPr="00D06182">
        <w:t>) and background noise (&lt; 0.1 nmol O</w:t>
      </w:r>
      <w:r w:rsidRPr="00D06182">
        <w:rPr>
          <w:rFonts w:ascii="Aptos" w:hAnsi="Aptos" w:cs="Aptos"/>
        </w:rPr>
        <w:t>₂</w:t>
      </w:r>
      <w:r w:rsidRPr="00D06182">
        <w:t xml:space="preserve"> mm</w:t>
      </w:r>
      <w:r w:rsidRPr="00D06182">
        <w:rPr>
          <w:rFonts w:ascii="Cambria Math" w:hAnsi="Cambria Math" w:cs="Cambria Math"/>
        </w:rPr>
        <w:t>⁻</w:t>
      </w:r>
      <w:r w:rsidRPr="00D06182">
        <w:rPr>
          <w:rFonts w:ascii="Aptos" w:hAnsi="Aptos" w:cs="Aptos"/>
        </w:rPr>
        <w:t>²</w:t>
      </w:r>
      <w:r w:rsidRPr="00D06182">
        <w:t xml:space="preserve"> min</w:t>
      </w:r>
      <w:r w:rsidRPr="00D06182">
        <w:rPr>
          <w:rFonts w:ascii="Cambria Math" w:hAnsi="Cambria Math" w:cs="Cambria Math"/>
        </w:rPr>
        <w:t>⁻</w:t>
      </w:r>
      <w:r w:rsidRPr="00D06182">
        <w:rPr>
          <w:rFonts w:ascii="Aptos" w:hAnsi="Aptos" w:cs="Aptos"/>
        </w:rPr>
        <w:t>¹</w:t>
      </w:r>
      <w:r w:rsidRPr="00D06182">
        <w:t>). No significant differences in metabolic rates were detected between the three morphotypes (Kruskal-Wallis test; H = 3.77, p = 0.15, n = 150), indicating that fluorescence phenotype does not confer an inherent metabolic cost under non-stressful conditions.</w:t>
      </w:r>
      <w:r w:rsidRPr="00D06182">
        <w:rPr>
          <w:lang w:val="en-US"/>
        </w:rPr>
        <w:br/>
      </w:r>
    </w:p>
    <w:p w14:paraId="744F4DD1" w14:textId="77777777" w:rsidR="00D06182" w:rsidRDefault="00D06182">
      <w:pPr>
        <w:rPr>
          <w:b/>
          <w:bCs/>
        </w:rPr>
      </w:pPr>
      <w:r>
        <w:rPr>
          <w:b/>
          <w:bCs/>
        </w:rPr>
        <w:br w:type="page"/>
      </w:r>
    </w:p>
    <w:p w14:paraId="5E3D90B3" w14:textId="47950419" w:rsidR="00D06182" w:rsidRDefault="00D06182" w:rsidP="00D06182">
      <w:pPr>
        <w:rPr>
          <w:b/>
          <w:bCs/>
          <w:lang w:val="en-US"/>
        </w:rPr>
      </w:pPr>
      <w:r>
        <w:rPr>
          <w:noProof/>
        </w:rPr>
        <w:lastRenderedPageBreak/>
        <w:drawing>
          <wp:inline distT="0" distB="0" distL="0" distR="0" wp14:anchorId="2F578126" wp14:editId="708F064F">
            <wp:extent cx="5731510" cy="4900295"/>
            <wp:effectExtent l="0" t="0" r="2540" b="0"/>
            <wp:docPr id="1543957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00295"/>
                    </a:xfrm>
                    <a:prstGeom prst="rect">
                      <a:avLst/>
                    </a:prstGeom>
                    <a:noFill/>
                    <a:ln>
                      <a:noFill/>
                    </a:ln>
                  </pic:spPr>
                </pic:pic>
              </a:graphicData>
            </a:graphic>
          </wp:inline>
        </w:drawing>
      </w:r>
    </w:p>
    <w:p w14:paraId="1CBE9732" w14:textId="587EB73F" w:rsidR="00D06182" w:rsidRPr="00D06182" w:rsidRDefault="00D06182" w:rsidP="00D06182">
      <w:pPr>
        <w:rPr>
          <w:b/>
          <w:bCs/>
        </w:rPr>
      </w:pPr>
      <w:r w:rsidRPr="00D06182">
        <w:rPr>
          <w:b/>
          <w:bCs/>
        </w:rPr>
        <w:t xml:space="preserve">Figure </w:t>
      </w:r>
      <w:r>
        <w:rPr>
          <w:b/>
          <w:bCs/>
          <w:lang w:val="en-US"/>
        </w:rPr>
        <w:t>X</w:t>
      </w:r>
      <w:r w:rsidRPr="00D06182">
        <w:rPr>
          <w:b/>
          <w:bCs/>
        </w:rPr>
        <w:t xml:space="preserve">. </w:t>
      </w:r>
      <w:r w:rsidRPr="00D06182">
        <w:t xml:space="preserve">Divergent respiratory responses of </w:t>
      </w:r>
      <w:r w:rsidRPr="00D06182">
        <w:rPr>
          <w:i/>
          <w:iCs/>
        </w:rPr>
        <w:t>Stylophora pistillata</w:t>
      </w:r>
      <w:r>
        <w:rPr>
          <w:i/>
          <w:iCs/>
          <w:lang w:val="en-US"/>
        </w:rPr>
        <w:t xml:space="preserve"> </w:t>
      </w:r>
      <w:r>
        <w:rPr>
          <w:lang w:val="en-US"/>
        </w:rPr>
        <w:t>spats</w:t>
      </w:r>
      <w:r w:rsidRPr="00D06182">
        <w:t xml:space="preserve"> morphs to pH stress. Oxygen consumption rates of HF (green) and NF (red) spats across three pH treatments (8.2, 7.8, 7.6). Diamonds connected by lines represent group means, visualizing the significant Morph </w:t>
      </w:r>
      <w:r w:rsidRPr="00D06182">
        <w:rPr>
          <w:lang w:val="en-US"/>
        </w:rPr>
        <w:t>X</w:t>
      </w:r>
      <w:r w:rsidRPr="00D06182">
        <w:t xml:space="preserve"> pH interaction (Two-way ANOVA, </w:t>
      </w:r>
      <w:r w:rsidRPr="00D06182">
        <w:rPr>
          <w:i/>
          <w:iCs/>
        </w:rPr>
        <w:t>p = 0.008</w:t>
      </w:r>
      <w:r w:rsidRPr="00D06182">
        <w:t xml:space="preserve">). While no specific pairwise difference was significant at a single pH level (Tukey’s HSD, </w:t>
      </w:r>
      <w:r w:rsidRPr="00D06182">
        <w:rPr>
          <w:i/>
          <w:iCs/>
        </w:rPr>
        <w:t>p &gt; 0.05</w:t>
      </w:r>
      <w:r w:rsidRPr="00D06182">
        <w:t>), the intersecting reaction norms indicate distinct metabolic strategies for coping with acidification.</w:t>
      </w:r>
    </w:p>
    <w:p w14:paraId="44B66F1A" w14:textId="32E3BD59" w:rsidR="00375EDF" w:rsidRDefault="00375EDF">
      <w:r>
        <w:br w:type="page"/>
      </w:r>
    </w:p>
    <w:p w14:paraId="36140374" w14:textId="77777777" w:rsidR="00375EDF" w:rsidRDefault="00375EDF">
      <w:pPr>
        <w:rPr>
          <w:lang w:val="en-US"/>
        </w:rPr>
      </w:pPr>
      <w:r>
        <w:rPr>
          <w:noProof/>
        </w:rPr>
        <w:lastRenderedPageBreak/>
        <w:drawing>
          <wp:inline distT="0" distB="0" distL="0" distR="0" wp14:anchorId="028427E9" wp14:editId="5B732809">
            <wp:extent cx="5731510" cy="4900295"/>
            <wp:effectExtent l="0" t="0" r="2540" b="0"/>
            <wp:docPr id="1167623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00295"/>
                    </a:xfrm>
                    <a:prstGeom prst="rect">
                      <a:avLst/>
                    </a:prstGeom>
                    <a:noFill/>
                    <a:ln>
                      <a:noFill/>
                    </a:ln>
                  </pic:spPr>
                </pic:pic>
              </a:graphicData>
            </a:graphic>
          </wp:inline>
        </w:drawing>
      </w:r>
    </w:p>
    <w:p w14:paraId="6B29C52F" w14:textId="3B9F4A1A" w:rsidR="00375EDF" w:rsidRPr="00375EDF" w:rsidRDefault="00375EDF" w:rsidP="00375EDF">
      <w:r w:rsidRPr="00375EDF">
        <w:rPr>
          <w:b/>
          <w:bCs/>
        </w:rPr>
        <w:t xml:space="preserve">Figure X. Respiratory responses of </w:t>
      </w:r>
      <w:r w:rsidRPr="00375EDF">
        <w:rPr>
          <w:b/>
          <w:bCs/>
          <w:i/>
          <w:iCs/>
        </w:rPr>
        <w:t>Stylophora pistillata</w:t>
      </w:r>
      <w:r w:rsidRPr="00375EDF">
        <w:rPr>
          <w:b/>
          <w:bCs/>
        </w:rPr>
        <w:t xml:space="preserve"> spat morphs to differing light and depth conditions.</w:t>
      </w:r>
      <w:r w:rsidRPr="00375EDF">
        <w:t xml:space="preserve"> Oxygen consumption rates of HF (green) and NF (red) spats across three light treatments (10m, 50m, Dark). Diamonds connected by dashed lines represent group medians. A two-way ANOVA revealed a significant main effect of morphotype (</w:t>
      </w:r>
      <w:r w:rsidRPr="00375EDF">
        <w:rPr>
          <w:i/>
          <w:iCs/>
        </w:rPr>
        <w:t>p = 0.018</w:t>
      </w:r>
      <w:r w:rsidRPr="00375EDF">
        <w:t>), with HF spats exhibiting consistently higher metabolic rates than NF spats. Unlike the response to pH, light availability did not significantly affect respiration (p = 0.295) and no interaction was observed (p = 0.795). Pairwise comparisons confirmed no specific differences between groups at any single light level (Tukey’s HSD, p &gt; 0.05), indicating a constitutive metabolic difference between morphs that is stable across these light regimes.</w:t>
      </w:r>
    </w:p>
    <w:p w14:paraId="6C0DEB25" w14:textId="77777777" w:rsidR="00375EDF" w:rsidRPr="00375EDF" w:rsidRDefault="00375EDF"/>
    <w:p w14:paraId="65E3BC9F" w14:textId="38D55AEC" w:rsidR="00375EDF" w:rsidRDefault="00375EDF">
      <w:r>
        <w:br w:type="page"/>
      </w:r>
    </w:p>
    <w:p w14:paraId="3F7441B1" w14:textId="1019B6BD" w:rsidR="00072C2B" w:rsidRDefault="00072C2B">
      <w:pPr>
        <w:rPr>
          <w:lang w:val="en-US"/>
        </w:rPr>
      </w:pPr>
      <w:r>
        <w:rPr>
          <w:noProof/>
        </w:rPr>
        <w:lastRenderedPageBreak/>
        <w:drawing>
          <wp:inline distT="0" distB="0" distL="0" distR="0" wp14:anchorId="057DE077" wp14:editId="21D72D00">
            <wp:extent cx="5724525" cy="4914900"/>
            <wp:effectExtent l="0" t="0" r="9525" b="0"/>
            <wp:docPr id="888178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4914900"/>
                    </a:xfrm>
                    <a:prstGeom prst="rect">
                      <a:avLst/>
                    </a:prstGeom>
                    <a:noFill/>
                    <a:ln>
                      <a:noFill/>
                    </a:ln>
                  </pic:spPr>
                </pic:pic>
              </a:graphicData>
            </a:graphic>
          </wp:inline>
        </w:drawing>
      </w:r>
    </w:p>
    <w:p w14:paraId="77C14A47" w14:textId="77777777" w:rsidR="00072C2B" w:rsidRDefault="00072C2B">
      <w:pPr>
        <w:rPr>
          <w:lang w:val="en-US"/>
        </w:rPr>
      </w:pPr>
    </w:p>
    <w:p w14:paraId="48AAF2A7" w14:textId="77777777" w:rsidR="00072C2B" w:rsidRPr="00072C2B" w:rsidRDefault="00072C2B" w:rsidP="00072C2B">
      <w:r w:rsidRPr="00072C2B">
        <w:rPr>
          <w:b/>
          <w:bCs/>
        </w:rPr>
        <w:t xml:space="preserve">Figure 4. Thermal performance curves of </w:t>
      </w:r>
      <w:r w:rsidRPr="00072C2B">
        <w:rPr>
          <w:b/>
          <w:bCs/>
          <w:i/>
          <w:iCs/>
        </w:rPr>
        <w:t>Stylophora pistillata</w:t>
      </w:r>
      <w:r w:rsidRPr="00072C2B">
        <w:rPr>
          <w:b/>
          <w:bCs/>
        </w:rPr>
        <w:t xml:space="preserve"> recruit morphotypes.</w:t>
      </w:r>
      <w:r w:rsidRPr="00072C2B">
        <w:t xml:space="preserve"> Standardized oxygen consumption rates (nmol O₂ mm</w:t>
      </w:r>
      <w:r w:rsidRPr="00072C2B">
        <w:rPr>
          <w:rFonts w:ascii="Cambria Math" w:hAnsi="Cambria Math" w:cs="Cambria Math"/>
        </w:rPr>
        <w:t>⁻</w:t>
      </w:r>
      <w:r w:rsidRPr="00072C2B">
        <w:rPr>
          <w:rFonts w:ascii="Aptos" w:hAnsi="Aptos" w:cs="Aptos"/>
        </w:rPr>
        <w:t>²</w:t>
      </w:r>
      <w:r w:rsidRPr="00072C2B">
        <w:t xml:space="preserve"> min</w:t>
      </w:r>
      <w:r w:rsidRPr="00072C2B">
        <w:rPr>
          <w:rFonts w:ascii="Cambria Math" w:hAnsi="Cambria Math" w:cs="Cambria Math"/>
        </w:rPr>
        <w:t>⁻</w:t>
      </w:r>
      <w:r w:rsidRPr="00072C2B">
        <w:rPr>
          <w:rFonts w:ascii="Aptos" w:hAnsi="Aptos" w:cs="Aptos"/>
        </w:rPr>
        <w:t>¹</w:t>
      </w:r>
      <w:r w:rsidRPr="00072C2B">
        <w:t>) of High-Fluorescence (HF) and Non-Fluorescence (NF) recruits incubated at ambient (23</w:t>
      </w:r>
      <w:r w:rsidRPr="00072C2B">
        <w:rPr>
          <w:rFonts w:ascii="Aptos" w:hAnsi="Aptos" w:cs="Aptos"/>
        </w:rPr>
        <w:t>°</w:t>
      </w:r>
      <w:r w:rsidRPr="00072C2B">
        <w:t>C), elevated (27</w:t>
      </w:r>
      <w:r w:rsidRPr="00072C2B">
        <w:rPr>
          <w:rFonts w:ascii="Aptos" w:hAnsi="Aptos" w:cs="Aptos"/>
        </w:rPr>
        <w:t>°</w:t>
      </w:r>
      <w:r w:rsidRPr="00072C2B">
        <w:t>C), and acute heat-stress (32</w:t>
      </w:r>
      <w:r w:rsidRPr="00072C2B">
        <w:rPr>
          <w:rFonts w:ascii="Aptos" w:hAnsi="Aptos" w:cs="Aptos"/>
        </w:rPr>
        <w:t>°</w:t>
      </w:r>
      <w:r w:rsidRPr="00072C2B">
        <w:t>C) temperatures. Boxplots represent the median and interquartile range (IQR), with individual data points overlaid. Data were filtered to exclude technical artifacts (&gt; 2.07 nmol O</w:t>
      </w:r>
      <w:r w:rsidRPr="00072C2B">
        <w:rPr>
          <w:rFonts w:ascii="Aptos" w:hAnsi="Aptos" w:cs="Aptos"/>
        </w:rPr>
        <w:t>₂</w:t>
      </w:r>
      <w:r w:rsidRPr="00072C2B">
        <w:t xml:space="preserve"> mm</w:t>
      </w:r>
      <w:r w:rsidRPr="00072C2B">
        <w:rPr>
          <w:rFonts w:ascii="Cambria Math" w:hAnsi="Cambria Math" w:cs="Cambria Math"/>
        </w:rPr>
        <w:t>⁻</w:t>
      </w:r>
      <w:r w:rsidRPr="00072C2B">
        <w:rPr>
          <w:rFonts w:ascii="Aptos" w:hAnsi="Aptos" w:cs="Aptos"/>
        </w:rPr>
        <w:t>²</w:t>
      </w:r>
      <w:r w:rsidRPr="00072C2B">
        <w:t xml:space="preserve"> min</w:t>
      </w:r>
      <w:r w:rsidRPr="00072C2B">
        <w:rPr>
          <w:rFonts w:ascii="Cambria Math" w:hAnsi="Cambria Math" w:cs="Cambria Math"/>
        </w:rPr>
        <w:t>⁻</w:t>
      </w:r>
      <w:r w:rsidRPr="00072C2B">
        <w:rPr>
          <w:rFonts w:ascii="Aptos" w:hAnsi="Aptos" w:cs="Aptos"/>
        </w:rPr>
        <w:t>¹</w:t>
      </w:r>
      <w:r w:rsidRPr="00072C2B">
        <w:t>) and background noise (&lt; 0.1 nmol O</w:t>
      </w:r>
      <w:r w:rsidRPr="00072C2B">
        <w:rPr>
          <w:rFonts w:ascii="Aptos" w:hAnsi="Aptos" w:cs="Aptos"/>
        </w:rPr>
        <w:t>₂</w:t>
      </w:r>
      <w:r w:rsidRPr="00072C2B">
        <w:t xml:space="preserve"> mm</w:t>
      </w:r>
      <w:r w:rsidRPr="00072C2B">
        <w:rPr>
          <w:rFonts w:ascii="Cambria Math" w:hAnsi="Cambria Math" w:cs="Cambria Math"/>
        </w:rPr>
        <w:t>⁻</w:t>
      </w:r>
      <w:r w:rsidRPr="00072C2B">
        <w:rPr>
          <w:rFonts w:ascii="Aptos" w:hAnsi="Aptos" w:cs="Aptos"/>
        </w:rPr>
        <w:t>²</w:t>
      </w:r>
      <w:r w:rsidRPr="00072C2B">
        <w:t xml:space="preserve"> min</w:t>
      </w:r>
      <w:r w:rsidRPr="00072C2B">
        <w:rPr>
          <w:rFonts w:ascii="Cambria Math" w:hAnsi="Cambria Math" w:cs="Cambria Math"/>
        </w:rPr>
        <w:t>⁻</w:t>
      </w:r>
      <w:r w:rsidRPr="00072C2B">
        <w:rPr>
          <w:rFonts w:ascii="Aptos" w:hAnsi="Aptos" w:cs="Aptos"/>
        </w:rPr>
        <w:t>¹</w:t>
      </w:r>
      <w:r w:rsidRPr="00072C2B">
        <w:t>). A significant decline in respiration was observed with increasing temperature (Two-way ANOVA; $F_{2,155} = 18.44$, $p &lt; 0.001$), specifically between 23°C and 27°C (Tukey’s HSD, $p &lt; 0.05$). No significant differences were detected between morphotypes ($p = 0.30$) or their interaction with temperature ($p = 0.47$).</w:t>
      </w:r>
    </w:p>
    <w:p w14:paraId="66464F09" w14:textId="77777777" w:rsidR="00072C2B" w:rsidRPr="00072C2B" w:rsidRDefault="00072C2B"/>
    <w:sectPr w:rsidR="00072C2B" w:rsidRPr="00072C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C3"/>
    <w:rsid w:val="00072C2B"/>
    <w:rsid w:val="00375EDF"/>
    <w:rsid w:val="006C6222"/>
    <w:rsid w:val="00D06182"/>
    <w:rsid w:val="00EF76C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539A"/>
  <w15:chartTrackingRefBased/>
  <w15:docId w15:val="{44A7D274-7795-4017-9BAC-A4617DBBA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6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6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6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6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6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6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6C3"/>
    <w:rPr>
      <w:rFonts w:eastAsiaTheme="majorEastAsia" w:cstheme="majorBidi"/>
      <w:color w:val="272727" w:themeColor="text1" w:themeTint="D8"/>
    </w:rPr>
  </w:style>
  <w:style w:type="paragraph" w:styleId="Title">
    <w:name w:val="Title"/>
    <w:basedOn w:val="Normal"/>
    <w:next w:val="Normal"/>
    <w:link w:val="TitleChar"/>
    <w:uiPriority w:val="10"/>
    <w:qFormat/>
    <w:rsid w:val="00EF7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6C3"/>
    <w:pPr>
      <w:spacing w:before="160"/>
      <w:jc w:val="center"/>
    </w:pPr>
    <w:rPr>
      <w:i/>
      <w:iCs/>
      <w:color w:val="404040" w:themeColor="text1" w:themeTint="BF"/>
    </w:rPr>
  </w:style>
  <w:style w:type="character" w:customStyle="1" w:styleId="QuoteChar">
    <w:name w:val="Quote Char"/>
    <w:basedOn w:val="DefaultParagraphFont"/>
    <w:link w:val="Quote"/>
    <w:uiPriority w:val="29"/>
    <w:rsid w:val="00EF76C3"/>
    <w:rPr>
      <w:i/>
      <w:iCs/>
      <w:color w:val="404040" w:themeColor="text1" w:themeTint="BF"/>
    </w:rPr>
  </w:style>
  <w:style w:type="paragraph" w:styleId="ListParagraph">
    <w:name w:val="List Paragraph"/>
    <w:basedOn w:val="Normal"/>
    <w:uiPriority w:val="34"/>
    <w:qFormat/>
    <w:rsid w:val="00EF76C3"/>
    <w:pPr>
      <w:ind w:left="720"/>
      <w:contextualSpacing/>
    </w:pPr>
  </w:style>
  <w:style w:type="character" w:styleId="IntenseEmphasis">
    <w:name w:val="Intense Emphasis"/>
    <w:basedOn w:val="DefaultParagraphFont"/>
    <w:uiPriority w:val="21"/>
    <w:qFormat/>
    <w:rsid w:val="00EF76C3"/>
    <w:rPr>
      <w:i/>
      <w:iCs/>
      <w:color w:val="0F4761" w:themeColor="accent1" w:themeShade="BF"/>
    </w:rPr>
  </w:style>
  <w:style w:type="paragraph" w:styleId="IntenseQuote">
    <w:name w:val="Intense Quote"/>
    <w:basedOn w:val="Normal"/>
    <w:next w:val="Normal"/>
    <w:link w:val="IntenseQuoteChar"/>
    <w:uiPriority w:val="30"/>
    <w:qFormat/>
    <w:rsid w:val="00EF7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6C3"/>
    <w:rPr>
      <w:i/>
      <w:iCs/>
      <w:color w:val="0F4761" w:themeColor="accent1" w:themeShade="BF"/>
    </w:rPr>
  </w:style>
  <w:style w:type="character" w:styleId="IntenseReference">
    <w:name w:val="Intense Reference"/>
    <w:basedOn w:val="DefaultParagraphFont"/>
    <w:uiPriority w:val="32"/>
    <w:qFormat/>
    <w:rsid w:val="00EF76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Liel Uziahu</dc:creator>
  <cp:keywords/>
  <dc:description/>
  <cp:lastModifiedBy>Liel Uziahu</cp:lastModifiedBy>
  <cp:revision>4</cp:revision>
  <dcterms:created xsi:type="dcterms:W3CDTF">2026-01-23T13:59:00Z</dcterms:created>
  <dcterms:modified xsi:type="dcterms:W3CDTF">2026-01-23T16:13:00Z</dcterms:modified>
</cp:coreProperties>
</file>