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D53D" w14:textId="77777777" w:rsidR="00E31DE1" w:rsidRPr="00E31DE1" w:rsidRDefault="00E31DE1" w:rsidP="00E31DE1">
      <w:pPr>
        <w:rPr>
          <w:b/>
          <w:bCs/>
        </w:rPr>
      </w:pPr>
      <w:r w:rsidRPr="00E31DE1">
        <w:rPr>
          <w:b/>
          <w:bCs/>
        </w:rPr>
        <w:t>Data Pre-processing and Outlier Management</w:t>
      </w:r>
    </w:p>
    <w:p w14:paraId="1FF077BA" w14:textId="77777777" w:rsidR="00E31DE1" w:rsidRPr="00E31DE1" w:rsidRDefault="00E31DE1" w:rsidP="00E31DE1">
      <w:r w:rsidRPr="00E31DE1">
        <w:t>Prior to statistical analysis, the respiration dataset was subjected to rigorous quality control procedures to ensure biological validity. A two-step filtering process was applied to remove signals indistinguishable from background noise (lower threshold) and values indicative of technical artifacts (upper threshold).</w:t>
      </w:r>
    </w:p>
    <w:p w14:paraId="672DEA11" w14:textId="77777777" w:rsidR="00E31DE1" w:rsidRPr="00E31DE1" w:rsidRDefault="00E31DE1" w:rsidP="00E31DE1">
      <w:r w:rsidRPr="00E31DE1">
        <w:rPr>
          <w:b/>
          <w:bCs/>
        </w:rPr>
        <w:t>1. Lower Threshold: Definition of Limit of Detection</w:t>
      </w:r>
      <w:r w:rsidRPr="00E31DE1">
        <w:t xml:space="preserve"> To differentiate metabolically active coral spats from background bacterial respiration (noise), we analyzed the distribution of the lowest 10% of oxygen consumption rates. While a strict statistical Limit of Detection (LOD), calculated as the mean of the noise tail plus two standard deviations, suggested a cutoff of 0.214 nmol O₂ mm</w:t>
      </w:r>
      <w:r w:rsidRPr="00E31DE1">
        <w:rPr>
          <w:rFonts w:ascii="Cambria Math" w:hAnsi="Cambria Math" w:cs="Cambria Math"/>
        </w:rPr>
        <w:t>⁻</w:t>
      </w:r>
      <w:r w:rsidRPr="00E31DE1">
        <w:rPr>
          <w:rFonts w:ascii="Aptos" w:hAnsi="Aptos" w:cs="Aptos"/>
        </w:rPr>
        <w:t>²</w:t>
      </w:r>
      <w:r w:rsidRPr="00E31DE1">
        <w:t xml:space="preserve"> min</w:t>
      </w:r>
      <w:r w:rsidRPr="00E31DE1">
        <w:rPr>
          <w:rFonts w:ascii="Cambria Math" w:hAnsi="Cambria Math" w:cs="Cambria Math"/>
        </w:rPr>
        <w:t>⁻</w:t>
      </w:r>
      <w:r w:rsidRPr="00E31DE1">
        <w:rPr>
          <w:rFonts w:ascii="Aptos" w:hAnsi="Aptos" w:cs="Aptos"/>
        </w:rPr>
        <w:t>¹</w:t>
      </w:r>
      <w:r w:rsidRPr="00E31DE1">
        <w:t xml:space="preserve">, we adopted a more conservative threshold of </w:t>
      </w:r>
      <w:r w:rsidRPr="00E31DE1">
        <w:rPr>
          <w:b/>
          <w:bCs/>
        </w:rPr>
        <w:t>0.1 nmol O₂ mm</w:t>
      </w:r>
      <w:r w:rsidRPr="00E31DE1">
        <w:rPr>
          <w:rFonts w:ascii="Cambria Math" w:hAnsi="Cambria Math" w:cs="Cambria Math"/>
          <w:b/>
          <w:bCs/>
        </w:rPr>
        <w:t>⁻</w:t>
      </w:r>
      <w:r w:rsidRPr="00E31DE1">
        <w:rPr>
          <w:rFonts w:ascii="Aptos" w:hAnsi="Aptos" w:cs="Aptos"/>
          <w:b/>
          <w:bCs/>
        </w:rPr>
        <w:t>²</w:t>
      </w:r>
      <w:r w:rsidRPr="00E31DE1">
        <w:rPr>
          <w:b/>
          <w:bCs/>
        </w:rPr>
        <w:t xml:space="preserve"> min</w:t>
      </w:r>
      <w:r w:rsidRPr="00E31DE1">
        <w:rPr>
          <w:rFonts w:ascii="Cambria Math" w:hAnsi="Cambria Math" w:cs="Cambria Math"/>
          <w:b/>
          <w:bCs/>
        </w:rPr>
        <w:t>⁻</w:t>
      </w:r>
      <w:r w:rsidRPr="00E31DE1">
        <w:rPr>
          <w:rFonts w:ascii="Aptos" w:hAnsi="Aptos" w:cs="Aptos"/>
          <w:b/>
          <w:bCs/>
        </w:rPr>
        <w:t>¹</w:t>
      </w:r>
      <w:r w:rsidRPr="00E31DE1">
        <w:t>. This conservative approach was chosen to prevent the exclusion of biologically viable but metabolically depressed individuals (e.g., quiescent or smaller recruits). A sensitivity analysis confirmed that this threshold was robust; the statistical outcomes remained unchanged whether the strict (0.214) or conservative (0.1) cutoff was applied. Data points below 0.1 nmol O₂ mm</w:t>
      </w:r>
      <w:r w:rsidRPr="00E31DE1">
        <w:rPr>
          <w:rFonts w:ascii="Cambria Math" w:hAnsi="Cambria Math" w:cs="Cambria Math"/>
        </w:rPr>
        <w:t>⁻</w:t>
      </w:r>
      <w:r w:rsidRPr="00E31DE1">
        <w:rPr>
          <w:rFonts w:ascii="Aptos" w:hAnsi="Aptos" w:cs="Aptos"/>
        </w:rPr>
        <w:t>²</w:t>
      </w:r>
      <w:r w:rsidRPr="00E31DE1">
        <w:t xml:space="preserve"> min</w:t>
      </w:r>
      <w:r w:rsidRPr="00E31DE1">
        <w:rPr>
          <w:rFonts w:ascii="Cambria Math" w:hAnsi="Cambria Math" w:cs="Cambria Math"/>
        </w:rPr>
        <w:t>⁻</w:t>
      </w:r>
      <w:r w:rsidRPr="00E31DE1">
        <w:rPr>
          <w:rFonts w:ascii="Aptos" w:hAnsi="Aptos" w:cs="Aptos"/>
        </w:rPr>
        <w:t>²</w:t>
      </w:r>
      <w:r w:rsidRPr="00E31DE1">
        <w:t xml:space="preserve"> (n = 16) were classified as non-viable or below detection limits and excluded.</w:t>
      </w:r>
    </w:p>
    <w:p w14:paraId="677983A9" w14:textId="77777777" w:rsidR="00E31DE1" w:rsidRPr="00E31DE1" w:rsidRDefault="00E31DE1" w:rsidP="00E31DE1">
      <w:r w:rsidRPr="00E31DE1">
        <w:rPr>
          <w:b/>
          <w:bCs/>
        </w:rPr>
        <w:t>2. Upper Threshold: Identification of Technical Artifacts</w:t>
      </w:r>
      <w:r w:rsidRPr="00E31DE1">
        <w:t xml:space="preserve"> Upper-end outliers were identified using the Interquartile Range (IQR) method. The upper outer fence was defined as </w:t>
      </w:r>
      <w:r w:rsidRPr="00E31DE1">
        <w:rPr>
          <w:i/>
          <w:iCs/>
        </w:rPr>
        <w:t>Q3 + 1.5 × IQR</w:t>
      </w:r>
      <w:r w:rsidRPr="00E31DE1">
        <w:t xml:space="preserve">, resulting in a statistical cutoff of </w:t>
      </w:r>
      <w:r w:rsidRPr="00E31DE1">
        <w:rPr>
          <w:b/>
          <w:bCs/>
        </w:rPr>
        <w:t>2.12 nmol O₂ mm</w:t>
      </w:r>
      <w:r w:rsidRPr="00E31DE1">
        <w:rPr>
          <w:rFonts w:ascii="Cambria Math" w:hAnsi="Cambria Math" w:cs="Cambria Math"/>
          <w:b/>
          <w:bCs/>
        </w:rPr>
        <w:t>⁻</w:t>
      </w:r>
      <w:r w:rsidRPr="00E31DE1">
        <w:rPr>
          <w:rFonts w:ascii="Aptos" w:hAnsi="Aptos" w:cs="Aptos"/>
          <w:b/>
          <w:bCs/>
        </w:rPr>
        <w:t>²</w:t>
      </w:r>
      <w:r w:rsidRPr="00E31DE1">
        <w:rPr>
          <w:b/>
          <w:bCs/>
        </w:rPr>
        <w:t xml:space="preserve"> min</w:t>
      </w:r>
      <w:r w:rsidRPr="00E31DE1">
        <w:rPr>
          <w:rFonts w:ascii="Cambria Math" w:hAnsi="Cambria Math" w:cs="Cambria Math"/>
          <w:b/>
          <w:bCs/>
        </w:rPr>
        <w:t>⁻</w:t>
      </w:r>
      <w:r w:rsidRPr="00E31DE1">
        <w:rPr>
          <w:rFonts w:ascii="Aptos" w:hAnsi="Aptos" w:cs="Aptos"/>
          <w:b/>
          <w:bCs/>
        </w:rPr>
        <w:t>¹</w:t>
      </w:r>
      <w:r w:rsidRPr="00E31DE1">
        <w:t>. Six data points exceeded this threshold. Upon inspection, five of these extreme values originated from a single experimental plate ("Plate D"). This clustering strongly suggested a technical artifact (e.g., sensor drift or micro-bubbles) rather than a biological hyper-metabolic state. Consequently, all values exceeding 2.12 nmol O₂ mm</w:t>
      </w:r>
      <w:r w:rsidRPr="00E31DE1">
        <w:rPr>
          <w:rFonts w:ascii="Cambria Math" w:hAnsi="Cambria Math" w:cs="Cambria Math"/>
        </w:rPr>
        <w:t>⁻</w:t>
      </w:r>
      <w:r w:rsidRPr="00E31DE1">
        <w:rPr>
          <w:rFonts w:ascii="Aptos" w:hAnsi="Aptos" w:cs="Aptos"/>
        </w:rPr>
        <w:t>²</w:t>
      </w:r>
      <w:r w:rsidRPr="00E31DE1">
        <w:t xml:space="preserve"> min</w:t>
      </w:r>
      <w:r w:rsidRPr="00E31DE1">
        <w:rPr>
          <w:rFonts w:ascii="Cambria Math" w:hAnsi="Cambria Math" w:cs="Cambria Math"/>
        </w:rPr>
        <w:t>⁻</w:t>
      </w:r>
      <w:r w:rsidRPr="00E31DE1">
        <w:rPr>
          <w:rFonts w:ascii="Aptos" w:hAnsi="Aptos" w:cs="Aptos"/>
        </w:rPr>
        <w:t>¹</w:t>
      </w:r>
      <w:r w:rsidRPr="00E31DE1">
        <w:t xml:space="preserve"> were removed to prevent artificial inflation of group means and variances.</w:t>
      </w:r>
    </w:p>
    <w:p w14:paraId="3BBCE368" w14:textId="77777777" w:rsidR="00E31DE1" w:rsidRPr="00E31DE1" w:rsidRDefault="00E31DE1" w:rsidP="00E31DE1">
      <w:r w:rsidRPr="00E31DE1">
        <w:rPr>
          <w:b/>
          <w:bCs/>
        </w:rPr>
        <w:t>3. Impact on Statistical Assumptions</w:t>
      </w:r>
      <w:r w:rsidRPr="00E31DE1">
        <w:t xml:space="preserve"> The final validated dataset consisted of </w:t>
      </w:r>
      <w:r w:rsidRPr="00E31DE1">
        <w:rPr>
          <w:b/>
          <w:bCs/>
        </w:rPr>
        <w:t>n = 150</w:t>
      </w:r>
      <w:r w:rsidRPr="00E31DE1">
        <w:t xml:space="preserve"> individual measurements (from an initial n = 172). The removal of these artifacts significantly improved data quality; prior to filtering, the dataset violated the assumption of homogeneity of variance (Levene’s test: p = 0.006). Following the exclusion of the specific "Plate D" artifacts and noise, the variances became homogenous (Levene’s test: p = 0.86), satisfying the assumptions required for robust comparative analysis.</w:t>
      </w:r>
    </w:p>
    <w:p w14:paraId="3D7E9762" w14:textId="77777777" w:rsidR="003E5989" w:rsidRDefault="003E5989"/>
    <w:sectPr w:rsidR="003E5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82E66"/>
    <w:multiLevelType w:val="multilevel"/>
    <w:tmpl w:val="9AF6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87030"/>
    <w:multiLevelType w:val="multilevel"/>
    <w:tmpl w:val="873A6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E1765"/>
    <w:multiLevelType w:val="multilevel"/>
    <w:tmpl w:val="66C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13382"/>
    <w:multiLevelType w:val="multilevel"/>
    <w:tmpl w:val="6FBC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626924">
    <w:abstractNumId w:val="1"/>
  </w:num>
  <w:num w:numId="2" w16cid:durableId="355428629">
    <w:abstractNumId w:val="3"/>
  </w:num>
  <w:num w:numId="3" w16cid:durableId="1611744600">
    <w:abstractNumId w:val="2"/>
  </w:num>
  <w:num w:numId="4" w16cid:durableId="1603145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89"/>
    <w:rsid w:val="003E5989"/>
    <w:rsid w:val="005021AB"/>
    <w:rsid w:val="006B0DFA"/>
    <w:rsid w:val="00816EB2"/>
    <w:rsid w:val="00E3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A176D"/>
  <w15:chartTrackingRefBased/>
  <w15:docId w15:val="{C5D8EF90-956D-4691-AFBB-7CCE5C67E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Liel Uziahu</dc:creator>
  <cp:keywords/>
  <dc:description/>
  <cp:lastModifiedBy>Liel Uziahu</cp:lastModifiedBy>
  <cp:revision>3</cp:revision>
  <dcterms:created xsi:type="dcterms:W3CDTF">2026-01-23T11:19:00Z</dcterms:created>
  <dcterms:modified xsi:type="dcterms:W3CDTF">2026-01-23T11:29:00Z</dcterms:modified>
</cp:coreProperties>
</file>