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D0DE" w14:textId="77777777" w:rsidR="003E2D30" w:rsidRPr="003E2D30" w:rsidRDefault="003E2D30" w:rsidP="003E2D30">
      <w:pPr>
        <w:rPr>
          <w:b/>
          <w:bCs/>
        </w:rPr>
      </w:pPr>
      <w:r w:rsidRPr="003E2D30">
        <w:rPr>
          <w:b/>
          <w:bCs/>
        </w:rPr>
        <w:t>Data Filtering and Outlier Management (pH Assay)</w:t>
      </w:r>
    </w:p>
    <w:p w14:paraId="5B209D67" w14:textId="77777777" w:rsidR="003E2D30" w:rsidRPr="003E2D30" w:rsidRDefault="003E2D30" w:rsidP="003E2D30">
      <w:pPr>
        <w:rPr>
          <w:b/>
          <w:bCs/>
        </w:rPr>
      </w:pPr>
      <w:r w:rsidRPr="003E2D30">
        <w:rPr>
          <w:b/>
          <w:bCs/>
        </w:rPr>
        <w:t>Consistent with the quality control protocols established for the ambient conditions dataset, the pH respiration data was subjected to a two-step filtering process to remove signals indistinguishable from background noise and values indicative of technical artifacts.</w:t>
      </w:r>
    </w:p>
    <w:p w14:paraId="0D436092" w14:textId="77777777" w:rsidR="003E2D30" w:rsidRPr="003E2D30" w:rsidRDefault="003E2D30" w:rsidP="003E2D30">
      <w:pPr>
        <w:rPr>
          <w:b/>
          <w:bCs/>
        </w:rPr>
      </w:pPr>
      <w:r w:rsidRPr="003E2D30">
        <w:rPr>
          <w:b/>
          <w:bCs/>
        </w:rPr>
        <w:t>1. Lower Threshold (Limit of Detection) A conservative noise threshold of 0.1 nmol O₂ mm</w:t>
      </w:r>
      <w:r w:rsidRPr="003E2D30">
        <w:rPr>
          <w:rFonts w:ascii="Cambria Math" w:hAnsi="Cambria Math" w:cs="Cambria Math"/>
          <w:b/>
          <w:bCs/>
        </w:rPr>
        <w:t>⁻</w:t>
      </w:r>
      <w:r w:rsidRPr="003E2D30">
        <w:rPr>
          <w:rFonts w:ascii="Aptos" w:hAnsi="Aptos" w:cs="Aptos"/>
          <w:b/>
          <w:bCs/>
        </w:rPr>
        <w:t>²</w:t>
      </w:r>
      <w:r w:rsidRPr="003E2D30">
        <w:rPr>
          <w:b/>
          <w:bCs/>
        </w:rPr>
        <w:t xml:space="preserve"> min</w:t>
      </w:r>
      <w:r w:rsidRPr="003E2D30">
        <w:rPr>
          <w:rFonts w:ascii="Cambria Math" w:hAnsi="Cambria Math" w:cs="Cambria Math"/>
          <w:b/>
          <w:bCs/>
        </w:rPr>
        <w:t>⁻</w:t>
      </w:r>
      <w:r w:rsidRPr="003E2D30">
        <w:rPr>
          <w:rFonts w:ascii="Aptos" w:hAnsi="Aptos" w:cs="Aptos"/>
          <w:b/>
          <w:bCs/>
        </w:rPr>
        <w:t>¹</w:t>
      </w:r>
      <w:r w:rsidRPr="003E2D30">
        <w:rPr>
          <w:b/>
          <w:bCs/>
        </w:rPr>
        <w:t xml:space="preserve"> was maintained across all treatments. Analysis of the lower tail of the dataset confirmed that oxygen consumption rates below this cutoff represented background bacterial respiration rather than biological activity. These values were classified as below the limit of detection and excluded from analysis.</w:t>
      </w:r>
    </w:p>
    <w:p w14:paraId="6CDC86F2" w14:textId="77777777" w:rsidR="003E2D30" w:rsidRPr="003E2D30" w:rsidRDefault="003E2D30" w:rsidP="003E2D30">
      <w:pPr>
        <w:rPr>
          <w:b/>
          <w:bCs/>
        </w:rPr>
      </w:pPr>
      <w:r w:rsidRPr="003E2D30">
        <w:rPr>
          <w:b/>
          <w:bCs/>
        </w:rPr>
        <w:t>2. Upper Threshold (Technical Artifacts) Upper-end outliers were identified using the Interquartile Range (IQR) method on the pooled dataset. The upper outer fence (Q3 + 1.5 × IQR) was calculated at 2.33 nmol O₂ mm</w:t>
      </w:r>
      <w:r w:rsidRPr="003E2D30">
        <w:rPr>
          <w:rFonts w:ascii="Cambria Math" w:hAnsi="Cambria Math" w:cs="Cambria Math"/>
          <w:b/>
          <w:bCs/>
        </w:rPr>
        <w:t>⁻</w:t>
      </w:r>
      <w:r w:rsidRPr="003E2D30">
        <w:rPr>
          <w:rFonts w:ascii="Aptos" w:hAnsi="Aptos" w:cs="Aptos"/>
          <w:b/>
          <w:bCs/>
        </w:rPr>
        <w:t>²</w:t>
      </w:r>
      <w:r w:rsidRPr="003E2D30">
        <w:rPr>
          <w:b/>
          <w:bCs/>
        </w:rPr>
        <w:t xml:space="preserve"> min</w:t>
      </w:r>
      <w:r w:rsidRPr="003E2D30">
        <w:rPr>
          <w:rFonts w:ascii="Cambria Math" w:hAnsi="Cambria Math" w:cs="Cambria Math"/>
          <w:b/>
          <w:bCs/>
        </w:rPr>
        <w:t>⁻</w:t>
      </w:r>
      <w:r w:rsidRPr="003E2D30">
        <w:rPr>
          <w:rFonts w:ascii="Aptos" w:hAnsi="Aptos" w:cs="Aptos"/>
          <w:b/>
          <w:bCs/>
        </w:rPr>
        <w:t>¹</w:t>
      </w:r>
      <w:r w:rsidRPr="003E2D30">
        <w:rPr>
          <w:b/>
          <w:bCs/>
        </w:rPr>
        <w:t>. Seven data points exceeded this threshold. Inspection revealed that the majority of these extreme values (5 out of 7) originated from the previously identified "Plate D" technical replicates within the pH 8.2 control group, indicating a systematic instrument error rather than a biological response. The remaining two outliers were isolated spikes inconsistent with group variances. To ensure a conservative analysis and prevent technical artifacts from driving the statistical interaction, all values exceeding 2.33 nmol O₂ mm</w:t>
      </w:r>
      <w:r w:rsidRPr="003E2D30">
        <w:rPr>
          <w:rFonts w:ascii="Cambria Math" w:hAnsi="Cambria Math" w:cs="Cambria Math"/>
          <w:b/>
          <w:bCs/>
        </w:rPr>
        <w:t>⁻</w:t>
      </w:r>
      <w:r w:rsidRPr="003E2D30">
        <w:rPr>
          <w:rFonts w:ascii="Aptos" w:hAnsi="Aptos" w:cs="Aptos"/>
          <w:b/>
          <w:bCs/>
        </w:rPr>
        <w:t>²</w:t>
      </w:r>
      <w:r w:rsidRPr="003E2D30">
        <w:rPr>
          <w:b/>
          <w:bCs/>
        </w:rPr>
        <w:t xml:space="preserve"> min</w:t>
      </w:r>
      <w:r w:rsidRPr="003E2D30">
        <w:rPr>
          <w:rFonts w:ascii="Cambria Math" w:hAnsi="Cambria Math" w:cs="Cambria Math"/>
          <w:b/>
          <w:bCs/>
        </w:rPr>
        <w:t>⁻</w:t>
      </w:r>
      <w:r w:rsidRPr="003E2D30">
        <w:rPr>
          <w:rFonts w:ascii="Aptos" w:hAnsi="Aptos" w:cs="Aptos"/>
          <w:b/>
          <w:bCs/>
        </w:rPr>
        <w:t>¹</w:t>
      </w:r>
      <w:r w:rsidRPr="003E2D30">
        <w:rPr>
          <w:b/>
          <w:bCs/>
        </w:rPr>
        <w:t xml:space="preserve"> were excluded.</w:t>
      </w:r>
    </w:p>
    <w:p w14:paraId="6331DDCF" w14:textId="77777777" w:rsidR="003E2D30" w:rsidRPr="003E2D30" w:rsidRDefault="003E2D30" w:rsidP="003E2D30">
      <w:pPr>
        <w:rPr>
          <w:b/>
          <w:bCs/>
        </w:rPr>
      </w:pPr>
      <w:r w:rsidRPr="003E2D30">
        <w:rPr>
          <w:b/>
          <w:bCs/>
        </w:rPr>
        <w:t>3. Final Dataset and Statistical Assumptions The final filtered dataset consisted of n = 204 independent measurements (reduced from an initial n = 224). This filtering procedure satisfied the assumptions of homogeneity of variance (Levene’s test: p = 0.70) required for the Two-Way ANOVA, ensuring that the observed interaction between pH and morph was biologically valid.</w:t>
      </w:r>
    </w:p>
    <w:p w14:paraId="3D7E9762" w14:textId="77777777" w:rsidR="003E5989" w:rsidRDefault="003E5989" w:rsidP="003E2D30"/>
    <w:sectPr w:rsidR="003E5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2E66"/>
    <w:multiLevelType w:val="multilevel"/>
    <w:tmpl w:val="9AF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87030"/>
    <w:multiLevelType w:val="multilevel"/>
    <w:tmpl w:val="873A6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E1765"/>
    <w:multiLevelType w:val="multilevel"/>
    <w:tmpl w:val="66C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13382"/>
    <w:multiLevelType w:val="multilevel"/>
    <w:tmpl w:val="6FBC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626924">
    <w:abstractNumId w:val="1"/>
  </w:num>
  <w:num w:numId="2" w16cid:durableId="355428629">
    <w:abstractNumId w:val="3"/>
  </w:num>
  <w:num w:numId="3" w16cid:durableId="1611744600">
    <w:abstractNumId w:val="2"/>
  </w:num>
  <w:num w:numId="4" w16cid:durableId="1603145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89"/>
    <w:rsid w:val="003E2D30"/>
    <w:rsid w:val="003E5989"/>
    <w:rsid w:val="005021AB"/>
    <w:rsid w:val="006B0DFA"/>
    <w:rsid w:val="00816EB2"/>
    <w:rsid w:val="00E31DE1"/>
    <w:rsid w:val="00F6130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176D"/>
  <w15:chartTrackingRefBased/>
  <w15:docId w15:val="{C5D8EF90-956D-4691-AFBB-7CCE5C67E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989"/>
    <w:rPr>
      <w:rFonts w:eastAsiaTheme="majorEastAsia" w:cstheme="majorBidi"/>
      <w:color w:val="272727" w:themeColor="text1" w:themeTint="D8"/>
    </w:rPr>
  </w:style>
  <w:style w:type="paragraph" w:styleId="Title">
    <w:name w:val="Title"/>
    <w:basedOn w:val="Normal"/>
    <w:next w:val="Normal"/>
    <w:link w:val="TitleChar"/>
    <w:uiPriority w:val="10"/>
    <w:qFormat/>
    <w:rsid w:val="003E5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989"/>
    <w:pPr>
      <w:spacing w:before="160"/>
      <w:jc w:val="center"/>
    </w:pPr>
    <w:rPr>
      <w:i/>
      <w:iCs/>
      <w:color w:val="404040" w:themeColor="text1" w:themeTint="BF"/>
    </w:rPr>
  </w:style>
  <w:style w:type="character" w:customStyle="1" w:styleId="QuoteChar">
    <w:name w:val="Quote Char"/>
    <w:basedOn w:val="DefaultParagraphFont"/>
    <w:link w:val="Quote"/>
    <w:uiPriority w:val="29"/>
    <w:rsid w:val="003E5989"/>
    <w:rPr>
      <w:i/>
      <w:iCs/>
      <w:color w:val="404040" w:themeColor="text1" w:themeTint="BF"/>
    </w:rPr>
  </w:style>
  <w:style w:type="paragraph" w:styleId="ListParagraph">
    <w:name w:val="List Paragraph"/>
    <w:basedOn w:val="Normal"/>
    <w:uiPriority w:val="34"/>
    <w:qFormat/>
    <w:rsid w:val="003E5989"/>
    <w:pPr>
      <w:ind w:left="720"/>
      <w:contextualSpacing/>
    </w:pPr>
  </w:style>
  <w:style w:type="character" w:styleId="IntenseEmphasis">
    <w:name w:val="Intense Emphasis"/>
    <w:basedOn w:val="DefaultParagraphFont"/>
    <w:uiPriority w:val="21"/>
    <w:qFormat/>
    <w:rsid w:val="003E5989"/>
    <w:rPr>
      <w:i/>
      <w:iCs/>
      <w:color w:val="0F4761" w:themeColor="accent1" w:themeShade="BF"/>
    </w:rPr>
  </w:style>
  <w:style w:type="paragraph" w:styleId="IntenseQuote">
    <w:name w:val="Intense Quote"/>
    <w:basedOn w:val="Normal"/>
    <w:next w:val="Normal"/>
    <w:link w:val="IntenseQuoteChar"/>
    <w:uiPriority w:val="30"/>
    <w:qFormat/>
    <w:rsid w:val="003E5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989"/>
    <w:rPr>
      <w:i/>
      <w:iCs/>
      <w:color w:val="0F4761" w:themeColor="accent1" w:themeShade="BF"/>
    </w:rPr>
  </w:style>
  <w:style w:type="character" w:styleId="IntenseReference">
    <w:name w:val="Intense Reference"/>
    <w:basedOn w:val="DefaultParagraphFont"/>
    <w:uiPriority w:val="32"/>
    <w:qFormat/>
    <w:rsid w:val="003E5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Liel Uziahu</dc:creator>
  <cp:keywords/>
  <dc:description/>
  <cp:lastModifiedBy>Liel Uziahu</cp:lastModifiedBy>
  <cp:revision>4</cp:revision>
  <dcterms:created xsi:type="dcterms:W3CDTF">2026-01-23T11:19:00Z</dcterms:created>
  <dcterms:modified xsi:type="dcterms:W3CDTF">2026-01-23T12:24:00Z</dcterms:modified>
</cp:coreProperties>
</file>