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硅基劳动仲裁院</w:t>
      </w:r>
      <w:r/>
    </w:p>
    <w:p>
      <w:pPr>
        <w:pStyle w:val="Heading3"/>
      </w:pPr>
      <w:r>
        <w:t>面向 Agent 经济的证据化责任基础设施</w:t>
      </w:r>
      <w:r/>
    </w:p>
    <w:p>
      <w:r/>
      <w:r>
        <w:rPr>
          <w:b/>
        </w:rPr>
        <w:t>确定性规则处理可测量条件，AI 只解释证据，人类保留最终决定权。</w:t>
      </w:r>
      <w:r/>
    </w:p>
    <w:p>
      <w:r/>
      <w:hyperlink r:id="rId9">
        <w:r>
          <w:rPr>
            <w:color w:val="0000EE"/>
            <w:u w:val="single"/>
          </w:rPr>
          <w:t>完整体验</w:t>
        </w:r>
      </w:hyperlink>
      <w:r>
        <w:t xml:space="preserve"> · </w:t>
      </w:r>
      <w:hyperlink r:id="rId10">
        <w:r>
          <w:rPr>
            <w:color w:val="0000EE"/>
            <w:u w:val="single"/>
          </w:rPr>
          <w:t>案件工作台</w:t>
        </w:r>
      </w:hyperlink>
      <w:r>
        <w:t xml:space="preserve"> · </w:t>
      </w:r>
      <w:hyperlink r:id="rId11">
        <w:r>
          <w:rPr>
            <w:color w:val="0000EE"/>
            <w:u w:val="single"/>
          </w:rPr>
          <w:t>法庭页</w:t>
        </w:r>
      </w:hyperlink>
      <w:r>
        <w:t xml:space="preserve"> · </w:t>
      </w:r>
      <w:hyperlink r:id="rId12">
        <w:r>
          <w:rPr>
            <w:color w:val="0000EE"/>
            <w:u w:val="single"/>
          </w:rPr>
          <w:t>链上合约</w:t>
        </w:r>
      </w:hyperlink>
      <w:r/>
    </w:p>
    <w:p>
      <w:pPr>
        <w:pStyle w:val="Heading2"/>
      </w:pPr>
      <w:r>
        <w:t>30 秒项目概述</w:t>
      </w:r>
      <w:r/>
    </w:p>
    <w:p>
      <w:r/>
      <w:r>
        <w:t>硅基劳动仲裁院是面向 AI Agent 委托工作的链上责任层。当任务从人类依次经过主 Agent、专业 Agent、第三方工具和钱包时，责任很容易在多次转交中消失。本项目不让另一个 AI 给出终局判决，而是把委托链重建为可验证证据。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/>
        </w:tc>
        <w:tc>
          <w:tcPr>
            <w:tcW w:type="dxa" w:w="500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项目定位</w:t>
            </w:r>
          </w:p>
        </w:tc>
        <w:tc>
          <w:tcPr>
            <w:tcW w:type="dxa" w:w="5000"/>
          </w:tcPr>
          <w:p>
            <w:r>
              <w:t>面向 Agent 交付的责任时间线与结算系统，而不是 AI 法院。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核心创新</w:t>
            </w:r>
          </w:p>
        </w:tc>
        <w:tc>
          <w:tcPr>
            <w:tcW w:type="dxa" w:w="5000"/>
          </w:tcPr>
          <w:p>
            <w:r>
              <w:t xml:space="preserve">客观条件可进入确定性结算；主观条件始终保持 </w:t>
            </w:r>
            <w:r>
              <w:rPr>
                <w:rFonts w:ascii="Courier" w:hAnsi="Courier"/>
              </w:rPr>
              <w:t>undecidable</w:t>
            </w:r>
            <w:r>
              <w:t xml:space="preserve"> ，交由人类复核。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Moss 集成</w:t>
            </w:r>
          </w:p>
        </w:tc>
        <w:tc>
          <w:tcPr>
            <w:tcW w:type="dxa" w:w="5000"/>
          </w:tcPr>
          <w:p>
            <w:r>
              <w:t xml:space="preserve">Moss 在签名前构造并模拟未签名的 </w:t>
            </w:r>
            <w:r>
              <w:rPr>
                <w:rFonts w:ascii="Courier" w:hAnsi="Courier"/>
              </w:rPr>
              <w:t>createTask</w:t>
            </w:r>
            <w:r>
              <w:t xml:space="preserve"> 交易；钱包仍是唯一签名与广播边界。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Monad 原生价值</w:t>
            </w:r>
          </w:p>
        </w:tc>
        <w:tc>
          <w:tcPr>
            <w:tcW w:type="dxa" w:w="5000"/>
          </w:tcPr>
          <w:p>
            <w:r>
              <w:t>托管状态、承诺、生命周期事件与结算证据记录在 Monad Testnet，并使用任务级独立状态。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核心演示</w:t>
            </w:r>
          </w:p>
        </w:tc>
        <w:tc>
          <w:tcPr>
            <w:tcW w:type="dxa" w:w="5000"/>
          </w:tcPr>
          <w:p>
            <w:r>
              <w:t>用户委托“橙色猫”，Agent 却交付土豆：格式条件满足，语义条件无法判定，系统拒绝伪造确定性。</w:t>
            </w:r>
          </w:p>
        </w:tc>
      </w:tr>
    </w:tbl>
    <w:p>
      <w:r/>
      <w:r/>
    </w:p>
    <w:p>
      <w:r/>
      <w:r>
        <w:rPr>
          <w:b/>
        </w:rPr>
        <w:t>我们不出终局判决。我们只是把责任找回来，摆在人类复核者面前。</w:t>
      </w:r>
      <w:r/>
      <w:r/>
    </w:p>
    <w:p>
      <w:pPr>
        <w:pStyle w:val="Heading2"/>
      </w:pPr>
      <w:r>
        <w:t>问题</w:t>
      </w:r>
      <w:r/>
    </w:p>
    <w:p>
      <w:r/>
      <w:r>
        <w:t>Agent 工作形成了一条很长的委托链：</w:t>
      </w:r>
      <w:r/>
    </w:p>
    <w:p>
      <w:r/>
      <w:r>
        <w:rPr>
          <w:rFonts w:ascii="Courier" w:hAnsi="Courier"/>
        </w:rPr>
        <w:t>人类意图</w:t>
        <w:br/>
        <w:t xml:space="preserve">  → 主 Agent</w:t>
        <w:br/>
        <w:t xml:space="preserve">    → 专业 Agent</w:t>
        <w:br/>
        <w:t xml:space="preserve">      → 第三方工具</w:t>
        <w:br/>
        <w:t xml:space="preserve">        → 交易或交付</w:t>
        <w:br/>
        <w:t xml:space="preserve">          → 钱包与支付</w:t>
        <w:br/>
      </w:r>
      <w:r/>
    </w:p>
    <w:p>
      <w:r/>
      <w:r>
        <w:t>结果出错时，每个参与者都可以指向上一条指令。合法签名只能证明交易得到了授权，不能证明最终交付符合人类最初的真实意图。</w:t>
      </w:r>
      <w:r/>
    </w:p>
    <w:p>
      <w:r/>
      <w:r>
        <w:t>现有方案往往继续让 AI 陪审团给出确定答案。硅基劳动仲裁院采取相反立场：</w:t>
      </w:r>
      <w:r>
        <w:rPr>
          <w:b/>
        </w:rPr>
        <w:t>先还原事实，以确定性规则执行可测量承诺，把主观意义保留给人类复核。</w:t>
      </w:r>
      <w:r/>
    </w:p>
    <w:p>
      <w:pPr>
        <w:pStyle w:val="Heading2"/>
      </w:pPr>
      <w:r>
        <w:t>解决方案</w:t>
      </w:r>
      <w:r/>
    </w:p>
    <w:p>
      <w:r/>
      <w:r>
        <w:t>协议把责任分为三层：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33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333"/>
          </w:tcPr>
          <w:p>
            <w:r>
              <w:rPr>
                <w:b/>
              </w:rPr>
              <w:t>能否移动资金</w:t>
            </w:r>
          </w:p>
        </w:tc>
      </w:tr>
      <w:tr>
        <w:tc>
          <w:tcPr>
            <w:tcW w:type="dxa" w:w="3333"/>
          </w:tcPr>
          <w:p>
            <w:r>
              <w:rPr>
                <w:b/>
              </w:rPr>
              <w:t>链上证据层</w:t>
            </w:r>
          </w:p>
        </w:tc>
        <w:tc>
          <w:tcPr>
            <w:tcW w:type="dxa" w:w="3333"/>
          </w:tcPr>
          <w:p>
            <w:r>
              <w:t>任务创建、托管、Agent 指派、交付哈希、争议、结算承诺与生命周期事件</w:t>
            </w:r>
          </w:p>
        </w:tc>
        <w:tc>
          <w:tcPr>
            <w:tcW w:type="dxa" w:w="3333"/>
          </w:tcPr>
          <w:p>
            <w:r>
              <w:t>通过合约规则</w:t>
            </w:r>
          </w:p>
        </w:tc>
      </w:tr>
      <w:tr>
        <w:tc>
          <w:tcPr>
            <w:tcW w:type="dxa" w:w="3333"/>
          </w:tcPr>
          <w:p>
            <w:r>
              <w:rPr>
                <w:b/>
              </w:rPr>
              <w:t>确定性规则层</w:t>
            </w:r>
          </w:p>
        </w:tc>
        <w:tc>
          <w:tcPr>
            <w:tcW w:type="dxa" w:w="3333"/>
          </w:tcPr>
          <w:p>
            <w:r>
              <w:t>截止时间、文件格式、透明通道、权限、金额守恒等客观条件</w:t>
            </w:r>
          </w:p>
        </w:tc>
        <w:tc>
          <w:tcPr>
            <w:tcW w:type="dxa" w:w="3333"/>
          </w:tcPr>
          <w:p>
            <w:r>
              <w:rPr>
                <w:b/>
              </w:rPr>
              <w:t>可以</w:t>
            </w:r>
          </w:p>
        </w:tc>
      </w:tr>
      <w:tr>
        <w:tc>
          <w:tcPr>
            <w:tcW w:type="dxa" w:w="3333"/>
          </w:tcPr>
          <w:p>
            <w:r>
              <w:rPr>
                <w:b/>
              </w:rPr>
              <w:t>AI 解释与人类复核层</w:t>
            </w:r>
          </w:p>
        </w:tc>
        <w:tc>
          <w:tcPr>
            <w:tcW w:type="dxa" w:w="3333"/>
          </w:tcPr>
          <w:p>
            <w:r>
              <w:t>引用证据的检方、辩方、审计观点，以及主观条件复核</w:t>
            </w:r>
          </w:p>
        </w:tc>
        <w:tc>
          <w:tcPr>
            <w:tcW w:type="dxa" w:w="3333"/>
          </w:tcPr>
          <w:p>
            <w:r>
              <w:rPr>
                <w:b/>
              </w:rPr>
              <w:t>不可以</w:t>
            </w:r>
          </w:p>
        </w:tc>
      </w:tr>
    </w:tbl>
    <w:p>
      <w:r/>
    </w:p>
    <w:p>
      <w:r/>
      <w:r>
        <w:rPr>
          <w:rFonts w:ascii="Courier" w:hAnsi="Courier"/>
        </w:rPr>
        <w:t>客观条件 → satisfied / violated / 因证据缺失而 undecidable</w:t>
        <w:br/>
        <w:t>主观条件 → 始终 undecidable → 人类复核</w:t>
        <w:br/>
      </w:r>
      <w:r/>
    </w:p>
    <w:p>
      <w:pPr>
        <w:pStyle w:val="Heading2"/>
      </w:pPr>
      <w:r>
        <w:t>主要使用场景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Agent 外包交付</w:t>
      </w:r>
      <w:r>
        <w:t>：还原客户要求、Agent 接受的授权、执行前看到的警告，以及最终交付结果。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DAO 与团队采购</w:t>
      </w:r>
      <w:r>
        <w:t>：以可测量条件托管付款，同时为质量与意图等主观要求保留人类复核。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自动化服务 SLA</w:t>
      </w:r>
      <w:r>
        <w:t>：确定性处理截止时间、文件属性等客观违约，不假装代码能判断主观意义。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Agent 审计与事故复盘</w:t>
      </w:r>
      <w:r>
        <w:t>：为运营方、合规团队和 Agent 框架开发者提供防篡改责任时间线。</w:t>
      </w:r>
      <w:r/>
      <w:r/>
    </w:p>
    <w:p>
      <w:pPr>
        <w:pStyle w:val="Heading2"/>
      </w:pPr>
      <w:r>
        <w:t>主要亮点</w:t>
      </w:r>
      <w:r/>
    </w:p>
    <w:p>
      <w:pPr>
        <w:pStyle w:val="Heading3"/>
      </w:pPr>
      <w:r>
        <w:t>1. 诚实地承认不确定性</w:t>
      </w:r>
      <w:r/>
    </w:p>
    <w:p>
      <w:r/>
      <w:r>
        <w:t xml:space="preserve">演示案件中，C1–C3 可以测量；C4“交付物是不是一只猫”属于主观条件，必须保持 </w:t>
      </w:r>
      <w:r>
        <w:rPr>
          <w:rFonts w:ascii="Courier" w:hAnsi="Courier"/>
        </w:rPr>
        <w:t>undecidable</w:t>
      </w:r>
      <w:r>
        <w:t>。那个落不下去的空章位是系统的信任边界，不是未完成功能。</w:t>
      </w:r>
      <w:r/>
    </w:p>
    <w:p>
      <w:pPr>
        <w:pStyle w:val="Heading3"/>
      </w:pPr>
      <w:r>
        <w:t>2. Moss 是核心依赖，不是品牌装饰</w:t>
      </w:r>
      <w:r/>
    </w:p>
    <w:p>
      <w:r/>
      <w:r>
        <w:t xml:space="preserve">任务创建路径使用固定版本的团队 </w:t>
      </w:r>
      <w:hyperlink r:id="rId13">
        <w:r>
          <w:rPr>
            <w:color w:val="0000EE"/>
            <w:u w:val="single"/>
          </w:rPr>
          <w:t>Moss Fork</w:t>
        </w:r>
      </w:hyperlink>
      <w:r>
        <w:t>：</w:t>
      </w:r>
      <w:r/>
    </w:p>
    <w:p>
      <w:r/>
      <w:r>
        <w:rPr>
          <w:rFonts w:ascii="Courier" w:hAnsi="Courier"/>
        </w:rPr>
        <w:t>discover → load → action → simulate → 签前证据 E3</w:t>
        <w:br/>
      </w:r>
      <w:r/>
    </w:p>
    <w:p>
      <w:r/>
      <w:r>
        <w:t xml:space="preserve">Moss 构造并模拟未签名的 </w:t>
      </w:r>
      <w:r>
        <w:rPr>
          <w:rFonts w:ascii="Courier" w:hAnsi="Courier"/>
        </w:rPr>
        <w:t>TaskEscrow.createTask</w:t>
      </w:r>
      <w:r>
        <w:t xml:space="preserve"> 交易，但</w:t>
      </w:r>
      <w:r>
        <w:rPr>
          <w:b/>
        </w:rPr>
        <w:t>绝不</w:t>
      </w:r>
      <w:r>
        <w:t>保存私钥、签名、广播或裁决争议。模拟发生 revert 或终止性 Warning 时，产品不会把交易交给钱包。</w:t>
      </w:r>
      <w:r/>
    </w:p>
    <w:p>
      <w:pPr>
        <w:pStyle w:val="Heading3"/>
      </w:pPr>
      <w:r>
        <w:t>3. 钱包是签名边界</w:t>
      </w:r>
      <w:r/>
    </w:p>
    <w:p>
      <w:r/>
      <w:r>
        <w:t xml:space="preserve">钱包收到的 </w:t>
      </w:r>
      <w:r>
        <w:rPr>
          <w:rFonts w:ascii="Courier" w:hAnsi="Courier"/>
        </w:rPr>
        <w:t>chainId</w:t>
      </w:r>
      <w:r>
        <w:t>、</w:t>
      </w:r>
      <w:r>
        <w:rPr>
          <w:rFonts w:ascii="Courier" w:hAnsi="Courier"/>
        </w:rPr>
        <w:t>to</w:t>
      </w:r>
      <w:r>
        <w:t>、</w:t>
      </w:r>
      <w:r>
        <w:rPr>
          <w:rFonts w:ascii="Courier" w:hAnsi="Courier"/>
        </w:rPr>
        <w:t>data</w:t>
      </w:r>
      <w:r>
        <w:t xml:space="preserve"> 与 </w:t>
      </w:r>
      <w:r>
        <w:rPr>
          <w:rFonts w:ascii="Courier" w:hAnsi="Courier"/>
        </w:rPr>
        <w:t>value</w:t>
      </w:r>
      <w:r>
        <w:t xml:space="preserve"> 必须与 Moss 模拟的交易完全一致。签名后的回执再绑定到签名前的 E3，从而证明用户批准前看到了什么解释。</w:t>
      </w:r>
      <w:r/>
    </w:p>
    <w:p>
      <w:pPr>
        <w:pStyle w:val="Heading3"/>
      </w:pPr>
      <w:r>
        <w:t>4. AI 解释证据，但无法分配资金</w:t>
      </w:r>
      <w:r/>
    </w:p>
    <w:p>
      <w:r/>
      <w:r>
        <w:t xml:space="preserve">AI 输出结构只有 </w:t>
      </w:r>
      <w:r>
        <w:rPr>
          <w:rFonts w:ascii="Courier" w:hAnsi="Courier"/>
        </w:rPr>
        <w:t>role</w:t>
      </w:r>
      <w:r>
        <w:t>、</w:t>
      </w:r>
      <w:r>
        <w:rPr>
          <w:rFonts w:ascii="Courier" w:hAnsi="Courier"/>
        </w:rPr>
        <w:t>text</w:t>
      </w:r>
      <w:r>
        <w:t>、</w:t>
      </w:r>
      <w:r>
        <w:rPr>
          <w:rFonts w:ascii="Courier" w:hAnsi="Courier"/>
        </w:rPr>
        <w:t>cites</w:t>
      </w:r>
      <w:r>
        <w:t xml:space="preserve"> 和 </w:t>
      </w:r>
      <w:r>
        <w:rPr>
          <w:rFonts w:ascii="Courier" w:hAnsi="Courier"/>
        </w:rPr>
        <w:t>uncertain</w:t>
      </w:r>
      <w:r>
        <w:t>。结算金额与条款权重不会进入模型输入；缺少引用或引用未知证据的意见会被拒绝。</w:t>
      </w:r>
      <w:r/>
    </w:p>
    <w:p>
      <w:pPr>
        <w:pStyle w:val="Heading3"/>
      </w:pPr>
      <w:r>
        <w:t>5. 结算保留主观价值</w:t>
      </w:r>
      <w:r/>
    </w:p>
    <w:p>
      <w:r/>
      <w:r>
        <w:t>合约强制金额守恒：</w:t>
      </w:r>
      <w:r/>
    </w:p>
    <w:p>
      <w:r/>
      <w:r>
        <w:rPr>
          <w:rFonts w:ascii="Courier" w:hAnsi="Courier"/>
        </w:rPr>
        <w:t>toAgent + toClient + frozen = escrowed</w:t>
        <w:br/>
      </w:r>
      <w:r/>
    </w:p>
    <w:p>
      <w:r/>
      <w:r>
        <w:t>与未解决主观条件关联的资金可以继续冻结，直到提交明确的人类复核承诺。</w:t>
      </w:r>
      <w:r/>
    </w:p>
    <w:p>
      <w:pPr>
        <w:pStyle w:val="Heading2"/>
      </w:pPr>
      <w:r>
        <w:t>在线演示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500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5000"/>
          </w:tcPr>
          <w:p>
            <w:hyperlink r:id="rId14">
              <w:r>
                <w:rPr>
                  <w:color w:val="0000EE"/>
                  <w:u w:val="single"/>
                </w:rPr>
                <w:t>开屏页</w:t>
              </w:r>
            </w:hyperlink>
          </w:p>
        </w:tc>
        <w:tc>
          <w:tcPr>
            <w:tcW w:type="dxa" w:w="5000"/>
          </w:tcPr>
          <w:p>
            <w:r>
              <w:t>项目定位与叙事入口</w:t>
            </w:r>
          </w:p>
        </w:tc>
      </w:tr>
      <w:tr>
        <w:tc>
          <w:tcPr>
            <w:tcW w:type="dxa" w:w="5000"/>
          </w:tcPr>
          <w:p>
            <w:hyperlink r:id="rId9">
              <w:r>
                <w:rPr>
                  <w:color w:val="0000EE"/>
                  <w:u w:val="single"/>
                </w:rPr>
                <w:t>完整体验</w:t>
              </w:r>
            </w:hyperlink>
          </w:p>
        </w:tc>
        <w:tc>
          <w:tcPr>
            <w:tcW w:type="dxa" w:w="5000"/>
          </w:tcPr>
          <w:p>
            <w:r>
              <w:t>六幕责任重建体验</w:t>
            </w:r>
          </w:p>
        </w:tc>
      </w:tr>
      <w:tr>
        <w:tc>
          <w:tcPr>
            <w:tcW w:type="dxa" w:w="5000"/>
          </w:tcPr>
          <w:p>
            <w:hyperlink r:id="rId10">
              <w:r>
                <w:rPr>
                  <w:color w:val="0000EE"/>
                  <w:u w:val="single"/>
                </w:rPr>
                <w:t>案件工作台</w:t>
              </w:r>
            </w:hyperlink>
          </w:p>
        </w:tc>
        <w:tc>
          <w:tcPr>
            <w:tcW w:type="dxa" w:w="5000"/>
          </w:tcPr>
          <w:p>
            <w:r>
              <w:t>钱包驱动的任务生命周期与演示 Agent 操作</w:t>
            </w:r>
          </w:p>
        </w:tc>
      </w:tr>
      <w:tr>
        <w:tc>
          <w:tcPr>
            <w:tcW w:type="dxa" w:w="5000"/>
          </w:tcPr>
          <w:p>
            <w:hyperlink r:id="rId11">
              <w:r>
                <w:rPr>
                  <w:color w:val="0000EE"/>
                  <w:u w:val="single"/>
                </w:rPr>
                <w:t>法庭页</w:t>
              </w:r>
            </w:hyperlink>
          </w:p>
        </w:tc>
        <w:tc>
          <w:tcPr>
            <w:tcW w:type="dxa" w:w="5000"/>
          </w:tcPr>
          <w:p>
            <w:r>
              <w:t>证据时间线、规则结果、AI 意见和人类复核边界</w:t>
            </w:r>
          </w:p>
        </w:tc>
      </w:tr>
    </w:tbl>
    <w:p>
      <w:r/>
    </w:p>
    <w:p>
      <w:pPr>
        <w:pStyle w:val="Heading3"/>
      </w:pPr>
      <w:r>
        <w:t>演示数据模式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3333"/>
          </w:tcPr>
          <w:p>
            <w:r>
              <w:rPr>
                <w:b/>
              </w:rPr>
              <w:t>哪些内容真实</w:t>
            </w:r>
          </w:p>
        </w:tc>
        <w:tc>
          <w:tcPr>
            <w:tcW w:type="dxa" w:w="3333"/>
          </w:tcPr>
          <w:p>
            <w:r>
              <w:rPr>
                <w:b/>
              </w:rPr>
              <w:t>UI 标签</w:t>
            </w:r>
          </w:p>
        </w:tc>
      </w:tr>
      <w:tr>
        <w:tc>
          <w:tcPr>
            <w:tcW w:type="dxa" w:w="3333"/>
          </w:tcPr>
          <w:p>
            <w:r>
              <w:rPr>
                <w:b/>
              </w:rPr>
              <w:t>演示 Fixture</w:t>
            </w:r>
            <w:r>
              <w:t xml:space="preserve"> （默认）</w:t>
            </w:r>
          </w:p>
        </w:tc>
        <w:tc>
          <w:tcPr>
            <w:tcW w:type="dxa" w:w="3333"/>
          </w:tcPr>
          <w:p>
            <w:r>
              <w:t>合约部署和实现真实；页面案件叙事是固定样例，本案未广播</w:t>
            </w:r>
          </w:p>
        </w:tc>
        <w:tc>
          <w:tcPr>
            <w:tcW w:type="dxa" w:w="3333"/>
          </w:tcPr>
          <w:p>
            <w:r>
              <w:rPr>
                <w:rFonts w:ascii="Courier" w:hAnsi="Courier"/>
              </w:rPr>
              <w:t>DEMO</w:t>
            </w:r>
          </w:p>
        </w:tc>
      </w:tr>
      <w:tr>
        <w:tc>
          <w:tcPr>
            <w:tcW w:type="dxa" w:w="3333"/>
          </w:tcPr>
          <w:p>
            <w:r>
              <w:rPr>
                <w:b/>
              </w:rPr>
              <w:t>混合模式</w:t>
            </w:r>
          </w:p>
        </w:tc>
        <w:tc>
          <w:tcPr>
            <w:tcW w:type="dxa" w:w="3333"/>
          </w:tcPr>
          <w:p>
            <w:r>
              <w:t>任务状态与金额来自 Monad Testnet；证据叙事仍是演示数据</w:t>
            </w:r>
          </w:p>
        </w:tc>
        <w:tc>
          <w:tcPr>
            <w:tcW w:type="dxa" w:w="3333"/>
          </w:tcPr>
          <w:p>
            <w:r>
              <w:rPr>
                <w:rFonts w:ascii="Courier" w:hAnsi="Courier"/>
              </w:rPr>
              <w:t>HYBRID</w:t>
            </w:r>
          </w:p>
        </w:tc>
      </w:tr>
    </w:tbl>
    <w:p>
      <w:r/>
    </w:p>
    <w:p>
      <w:r/>
      <w:r>
        <w:t xml:space="preserve">在体验页或法庭页 URL 后附加 </w:t>
      </w:r>
      <w:r>
        <w:rPr>
          <w:rFonts w:ascii="Courier" w:hAnsi="Courier"/>
        </w:rPr>
        <w:t>?taskId=0x...</w:t>
      </w:r>
      <w:r>
        <w:t>，可强制读取指定链上任务。若读取失败，UI 会回退到明确标注的演示 Fixture。</w:t>
      </w:r>
      <w:r/>
    </w:p>
    <w:p>
      <w:r/>
      <w:r>
        <w:rPr>
          <w:b/>
        </w:rPr>
        <w:t>演示账号</w:t>
      </w:r>
      <w:r>
        <w:t>：无。无需账号即可浏览叙事体验；链上写入需要连接 Monad Testnet 且持有测试 MON 的浏览器钱包。</w:t>
      </w:r>
      <w:r/>
    </w:p>
    <w:p>
      <w:pPr>
        <w:pStyle w:val="Heading2"/>
      </w:pPr>
      <w:r>
        <w:t>端到端流程</w:t>
      </w:r>
      <w:r/>
    </w:p>
    <w:p>
      <w:r/>
      <w:r>
        <w:rPr>
          <w:rFonts w:ascii="Courier" w:hAnsi="Courier"/>
        </w:rPr>
        <w:t>1. 客户定义条款、截止时间与托管金额</w:t>
        <w:br/>
        <w:t>2. 条款经过规范化并生成哈希</w:t>
        <w:br/>
        <w:t>3. Moss 加载 silicon-arbitration.createTask</w:t>
        <w:br/>
        <w:t>4. Moss 构造未签交易并在 Monad Testnet 模拟</w:t>
        <w:br/>
        <w:t>5. 应用生成签前证据 E3</w:t>
        <w:br/>
        <w:t>6. 客户在钱包中检查并签署同一笔模拟交易</w:t>
        <w:br/>
        <w:t>7. TaskEscrow 记录任务、资金与 TaskCreated 事件</w:t>
        <w:br/>
        <w:t>8. 被指派 Agent 提交交付承诺</w:t>
        <w:br/>
        <w:t>9. 确定性规则检查可测量证据</w:t>
        <w:br/>
        <w:t>10. 主观条件保持 undecidable</w:t>
        <w:br/>
        <w:t>11. 确定性结算执行付款、退款或冻结</w:t>
        <w:br/>
        <w:t>12. 人类通过复核承诺释放冻结部分</w:t>
        <w:br/>
      </w:r>
      <w:r/>
    </w:p>
    <w:p>
      <w:pPr>
        <w:pStyle w:val="Heading2"/>
      </w:pPr>
      <w:r>
        <w:t>技术架构</w:t>
      </w:r>
      <w:r/>
    </w:p>
    <w:p>
      <w:r/>
      <w:r>
        <w:rPr>
          <w:rFonts w:ascii="Courier" w:hAnsi="Courier"/>
        </w:rPr>
        <w:t>浏览器 / 钱包</w:t>
        <w:br/>
        <w:t xml:space="preserve">  ├── Next.js 体验页与工作台</w:t>
        <w:br/>
        <w:t xml:space="preserve">  ├── wagmi + viem 钱包边界</w:t>
        <w:br/>
        <w:t xml:space="preserve">  └── DEMO / HYBRID 案件适配器</w:t>
        <w:br/>
        <w:t xml:space="preserve">            │</w:t>
        <w:br/>
        <w:t xml:space="preserve">            ▼</w:t>
        <w:br/>
        <w:t>产品模块</w:t>
        <w:br/>
        <w:t xml:space="preserve">  ├── @sla/domain       共享案件与证据契约</w:t>
        <w:br/>
        <w:t xml:space="preserve">  ├── @sla/rules        确定性客观规则引擎</w:t>
        <w:br/>
        <w:t xml:space="preserve">  ├── @sla/ai           引用证据的解释层</w:t>
        <w:br/>
        <w:t xml:space="preserve">  ├── @sla/chain        ABI、链上读取与后续直接写入</w:t>
        <w:br/>
        <w:t xml:space="preserve">  └── @sla/moss-bridge  prepare → simulate → E3</w:t>
        <w:br/>
        <w:t xml:space="preserve">            │</w:t>
        <w:br/>
        <w:t xml:space="preserve">            ▼</w:t>
        <w:br/>
        <w:t>固定版本的团队 Moss Fork</w:t>
        <w:br/>
        <w:t xml:space="preserve">  └── Monad Testnet Runtime + silicon-arbitration Protocol</w:t>
        <w:br/>
        <w:t xml:space="preserve">            │</w:t>
        <w:br/>
        <w:t xml:space="preserve">            ▼</w:t>
        <w:br/>
        <w:t>Monad Testnet</w:t>
        <w:br/>
        <w:t xml:space="preserve">  └── TaskEscrow</w:t>
        <w:br/>
      </w:r>
      <w:r/>
    </w:p>
    <w:p>
      <w:pPr>
        <w:pStyle w:val="Heading3"/>
      </w:pPr>
      <w:r>
        <w:t>Moss 路径与直接交易路径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3333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333"/>
          </w:tcPr>
          <w:p>
            <w:r>
              <w:rPr>
                <w:b/>
              </w:rPr>
              <w:t>证据标签</w:t>
            </w:r>
          </w:p>
        </w:tc>
      </w:tr>
      <w:tr>
        <w:tc>
          <w:tcPr>
            <w:tcW w:type="dxa" w:w="3333"/>
          </w:tcPr>
          <w:p>
            <w:r>
              <w:rPr>
                <w:rFonts w:ascii="Courier" w:hAnsi="Courier"/>
              </w:rPr>
              <w:t>createTask</w:t>
            </w:r>
          </w:p>
        </w:tc>
        <w:tc>
          <w:tcPr>
            <w:tcW w:type="dxa" w:w="3333"/>
          </w:tcPr>
          <w:p>
            <w:r>
              <w:t>Moss Capability → 模拟 → 钱包</w:t>
            </w:r>
          </w:p>
        </w:tc>
        <w:tc>
          <w:tcPr>
            <w:tcW w:type="dxa" w:w="3333"/>
          </w:tcPr>
          <w:p>
            <w:r>
              <w:t>Moss E3</w:t>
            </w:r>
          </w:p>
        </w:tc>
      </w:tr>
      <w:tr>
        <w:tc>
          <w:tcPr>
            <w:tcW w:type="dxa" w:w="3333"/>
          </w:tcPr>
          <w:p>
            <w:r>
              <w:rPr>
                <w:rFonts w:ascii="Courier" w:hAnsi="Courier"/>
              </w:rPr>
              <w:t>assignAgent</w:t>
            </w:r>
            <w:r>
              <w:t xml:space="preserve"> 、 </w:t>
            </w:r>
            <w:r>
              <w:rPr>
                <w:rFonts w:ascii="Courier" w:hAnsi="Courier"/>
              </w:rPr>
              <w:t>submitDelivery</w:t>
            </w:r>
            <w:r>
              <w:t xml:space="preserve"> 、 </w:t>
            </w:r>
            <w:r>
              <w:rPr>
                <w:rFonts w:ascii="Courier" w:hAnsi="Courier"/>
              </w:rPr>
              <w:t>acceptDelivery</w:t>
            </w:r>
            <w:r>
              <w:t xml:space="preserve"> 、 </w:t>
            </w:r>
            <w:r>
              <w:rPr>
                <w:rFonts w:ascii="Courier" w:hAnsi="Courier"/>
              </w:rPr>
              <w:t>openDispute</w:t>
            </w:r>
          </w:p>
        </w:tc>
        <w:tc>
          <w:tcPr>
            <w:tcW w:type="dxa" w:w="3333"/>
          </w:tcPr>
          <w:p>
            <w:r>
              <w:t>产品交易构造器 → 钱包</w:t>
            </w:r>
          </w:p>
        </w:tc>
        <w:tc>
          <w:tcPr>
            <w:tcW w:type="dxa" w:w="3333"/>
          </w:tcPr>
          <w:p>
            <w:r>
              <w:t>直接链上证据</w:t>
            </w:r>
          </w:p>
        </w:tc>
      </w:tr>
      <w:tr>
        <w:tc>
          <w:tcPr>
            <w:tcW w:type="dxa" w:w="3333"/>
          </w:tcPr>
          <w:p>
            <w:r>
              <w:rPr>
                <w:rFonts w:ascii="Courier" w:hAnsi="Courier"/>
              </w:rPr>
              <w:t>settle</w:t>
            </w:r>
            <w:r>
              <w:t xml:space="preserve"> 、 </w:t>
            </w:r>
            <w:r>
              <w:rPr>
                <w:rFonts w:ascii="Courier" w:hAnsi="Courier"/>
              </w:rPr>
              <w:t>releaseFrozen</w:t>
            </w:r>
            <w:r>
              <w:t xml:space="preserve"> 、 </w:t>
            </w:r>
            <w:r>
              <w:rPr>
                <w:rFonts w:ascii="Courier" w:hAnsi="Courier"/>
              </w:rPr>
              <w:t>withdrawPayment</w:t>
            </w:r>
          </w:p>
        </w:tc>
        <w:tc>
          <w:tcPr>
            <w:tcW w:type="dxa" w:w="3333"/>
          </w:tcPr>
          <w:p>
            <w:r>
              <w:t>授权方直接合约路径</w:t>
            </w:r>
          </w:p>
        </w:tc>
        <w:tc>
          <w:tcPr>
            <w:tcW w:type="dxa" w:w="3333"/>
          </w:tcPr>
          <w:p>
            <w:r>
              <w:t>直接链上证据</w:t>
            </w:r>
          </w:p>
        </w:tc>
      </w:tr>
    </w:tbl>
    <w:p>
      <w:r/>
    </w:p>
    <w:p>
      <w:r/>
      <w:r>
        <w:t>后续生命周期写入不会被错误描述为 Moss verified 操作。</w:t>
      </w:r>
      <w:r/>
    </w:p>
    <w:p>
      <w:pPr>
        <w:pStyle w:val="Heading2"/>
      </w:pPr>
      <w:r>
        <w:t>链上证据</w:t>
      </w:r>
      <w:r/>
    </w:p>
    <w:p>
      <w:r/>
      <w:r>
        <w:t xml:space="preserve">部署事实源为 </w:t>
      </w:r>
      <w:hyperlink r:id="rId15">
        <w:r>
          <w:rPr>
            <w:color w:val="0000EE"/>
            <w:u w:val="single"/>
          </w:rPr>
          <w:t>deployments/monad-testnet.json</w:t>
        </w:r>
      </w:hyperlink>
      <w:r>
        <w:t>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500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5000"/>
          </w:tcPr>
          <w:p>
            <w:r>
              <w:t>网络</w:t>
            </w:r>
          </w:p>
        </w:tc>
        <w:tc>
          <w:tcPr>
            <w:tcW w:type="dxa" w:w="5000"/>
          </w:tcPr>
          <w:p>
            <w:r>
              <w:t>Monad Testnet</w:t>
            </w:r>
          </w:p>
        </w:tc>
      </w:tr>
      <w:tr>
        <w:tc>
          <w:tcPr>
            <w:tcW w:type="dxa" w:w="5000"/>
          </w:tcPr>
          <w:p>
            <w:r>
              <w:t>Chain ID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10143</w:t>
            </w:r>
            <w:r>
              <w:t xml:space="preserve"> （ </w:t>
            </w:r>
            <w:r>
              <w:rPr>
                <w:rFonts w:ascii="Courier" w:hAnsi="Courier"/>
              </w:rPr>
              <w:t>0x279f</w:t>
            </w:r>
            <w:r>
              <w:t xml:space="preserve"> ）</w:t>
            </w:r>
          </w:p>
        </w:tc>
      </w:tr>
      <w:tr>
        <w:tc>
          <w:tcPr>
            <w:tcW w:type="dxa" w:w="5000"/>
          </w:tcPr>
          <w:p>
            <w:r>
              <w:t>合约</w:t>
            </w:r>
          </w:p>
        </w:tc>
        <w:tc>
          <w:tcPr>
            <w:tcW w:type="dxa" w:w="5000"/>
          </w:tcPr>
          <w:p>
            <w:hyperlink r:id="rId12">
              <w:r>
                <w:rPr>
                  <w:color w:val="0000EE"/>
                  <w:u w:val="single"/>
                </w:rPr>
                <w:t>TaskEscrow</w:t>
              </w:r>
            </w:hyperlink>
          </w:p>
        </w:tc>
      </w:tr>
      <w:tr>
        <w:tc>
          <w:tcPr>
            <w:tcW w:type="dxa" w:w="5000"/>
          </w:tcPr>
          <w:p>
            <w:r>
              <w:t>地址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0x67040374b8A9756586De0885f01d1291cE8FFCcF</w:t>
            </w:r>
          </w:p>
        </w:tc>
      </w:tr>
      <w:tr>
        <w:tc>
          <w:tcPr>
            <w:tcW w:type="dxa" w:w="5000"/>
          </w:tcPr>
          <w:p>
            <w:r>
              <w:t>部署交易</w:t>
            </w:r>
          </w:p>
        </w:tc>
        <w:tc>
          <w:tcPr>
            <w:tcW w:type="dxa" w:w="5000"/>
          </w:tcPr>
          <w:p>
            <w:hyperlink r:id="rId16">
              <w:r>
                <w:rPr>
                  <w:color w:val="0000EE"/>
                  <w:u w:val="single"/>
                </w:rPr>
                <w:t>0xb96e...96e34</w:t>
              </w:r>
            </w:hyperlink>
          </w:p>
        </w:tc>
      </w:tr>
      <w:tr>
        <w:tc>
          <w:tcPr>
            <w:tcW w:type="dxa" w:w="5000"/>
          </w:tcPr>
          <w:p>
            <w:r>
              <w:t>部署区块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49534792</w:t>
            </w:r>
          </w:p>
        </w:tc>
      </w:tr>
      <w:tr>
        <w:tc>
          <w:tcPr>
            <w:tcW w:type="dxa" w:w="5000"/>
          </w:tcPr>
          <w:p>
            <w:r>
              <w:t>Runtime Bytecode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6021</w:t>
            </w:r>
            <w:r>
              <w:t xml:space="preserve"> bytes</w:t>
            </w:r>
          </w:p>
        </w:tc>
      </w:tr>
      <w:tr>
        <w:tc>
          <w:tcPr>
            <w:tcW w:type="dxa" w:w="5000"/>
          </w:tcPr>
          <w:p>
            <w:r>
              <w:t>Moss-facing ABI hash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0xce8965794b678d101ae433472fb8d7e536fc0254386e00fabef36aaa66b73cf5</w:t>
            </w:r>
          </w:p>
        </w:tc>
      </w:tr>
      <w:tr>
        <w:tc>
          <w:tcPr>
            <w:tcW w:type="dxa" w:w="5000"/>
          </w:tcPr>
          <w:p>
            <w:r>
              <w:t>固定 Moss commit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b00ed2db0454219e468e8a0e4928c364a869fb79</w:t>
            </w:r>
          </w:p>
        </w:tc>
      </w:tr>
    </w:tbl>
    <w:p>
      <w:r/>
    </w:p>
    <w:p>
      <w:r/>
      <w:r>
        <w:t>E3 保存 Capability 参数、未签交易、模拟回执、Warnings、签前解释、Chain ID、合约地址、ABI hash、Moss 版本、Protocol 版本、去敏 RPC 指纹与 canonical payload hash。</w:t>
      </w:r>
      <w:r/>
    </w:p>
    <w:p>
      <w:pPr>
        <w:pStyle w:val="Heading2"/>
      </w:pPr>
      <w:r>
        <w:t>主要功能</w:t>
      </w:r>
      <w:r/>
      <w:r/>
    </w:p>
    <w:p>
      <w:pPr>
        <w:pStyle w:val="ListBullet"/>
        <w:spacing w:line="240" w:lineRule="auto"/>
        <w:ind w:left="720"/>
      </w:pPr>
      <w:r/>
      <w:r>
        <w:t>带条款与截止时间承诺的资金托管任务创建。</w:t>
      </w:r>
      <w:r/>
    </w:p>
    <w:p>
      <w:pPr>
        <w:pStyle w:val="ListBullet"/>
        <w:spacing w:line="240" w:lineRule="auto"/>
        <w:ind w:left="720"/>
      </w:pPr>
      <w:r/>
      <w:r>
        <w:t>客户指派 Agent，且只有被指派 Agent 可以提交交付。</w:t>
      </w:r>
      <w:r/>
    </w:p>
    <w:p>
      <w:pPr>
        <w:pStyle w:val="ListBullet"/>
        <w:spacing w:line="240" w:lineRule="auto"/>
        <w:ind w:left="720"/>
      </w:pPr>
      <w:r/>
      <w:r>
        <w:t>交付验收、超时退款和案件参与方发起争议。</w:t>
      </w:r>
      <w:r/>
    </w:p>
    <w:p>
      <w:pPr>
        <w:pStyle w:val="ListBullet"/>
        <w:spacing w:line="240" w:lineRule="auto"/>
        <w:ind w:left="720"/>
      </w:pPr>
      <w:r/>
      <w:r>
        <w:t>客观条件的确定性规则检查。</w:t>
      </w:r>
      <w:r/>
    </w:p>
    <w:p>
      <w:pPr>
        <w:pStyle w:val="ListBullet"/>
        <w:spacing w:line="240" w:lineRule="auto"/>
        <w:ind w:left="720"/>
      </w:pPr>
      <w:r/>
      <w:r>
        <w:t xml:space="preserve">主观条件强制输出 </w:t>
      </w:r>
      <w:r>
        <w:rPr>
          <w:rFonts w:ascii="Courier" w:hAnsi="Courier"/>
        </w:rPr>
        <w:t>undecidable</w:t>
      </w:r>
      <w:r>
        <w:t>。</w:t>
      </w:r>
      <w:r/>
    </w:p>
    <w:p>
      <w:pPr>
        <w:pStyle w:val="ListBullet"/>
        <w:spacing w:line="240" w:lineRule="auto"/>
        <w:ind w:left="720"/>
      </w:pPr>
      <w:r/>
      <w:r>
        <w:t>引用证据的检方、辩方与审计意见。</w:t>
      </w:r>
      <w:r/>
    </w:p>
    <w:p>
      <w:pPr>
        <w:pStyle w:val="ListBullet"/>
        <w:spacing w:line="240" w:lineRule="auto"/>
        <w:ind w:left="720"/>
      </w:pPr>
      <w:r/>
      <w:r>
        <w:t>绑定证据的结算与主观争议资金冻结。</w:t>
      </w:r>
      <w:r/>
    </w:p>
    <w:p>
      <w:pPr>
        <w:pStyle w:val="ListBullet"/>
        <w:spacing w:line="240" w:lineRule="auto"/>
        <w:ind w:left="720"/>
      </w:pPr>
      <w:r/>
      <w:r>
        <w:t>人类复核后的冻结资金释放。</w:t>
      </w:r>
      <w:r/>
    </w:p>
    <w:p>
      <w:pPr>
        <w:pStyle w:val="ListBullet"/>
        <w:spacing w:line="240" w:lineRule="auto"/>
        <w:ind w:left="720"/>
      </w:pPr>
      <w:r/>
      <w:r>
        <w:t>直接付款失败后的债权人延迟领取机制。</w:t>
      </w:r>
      <w:r/>
    </w:p>
    <w:p>
      <w:pPr>
        <w:pStyle w:val="ListBullet"/>
        <w:spacing w:line="240" w:lineRule="auto"/>
        <w:ind w:left="720"/>
      </w:pPr>
      <w:r/>
      <w:r>
        <w:t>任务级重入保护与两步式结算权限轮换。</w:t>
      </w:r>
      <w:r/>
    </w:p>
    <w:p>
      <w:pPr>
        <w:pStyle w:val="ListBullet"/>
        <w:spacing w:line="240" w:lineRule="auto"/>
        <w:ind w:left="720"/>
      </w:pPr>
      <w:r/>
      <w:r>
        <w:t>无需重写组件即可切换 Mock 与链上数据适配器。</w:t>
      </w:r>
      <w:r/>
      <w:r/>
    </w:p>
    <w:p>
      <w:pPr>
        <w:pStyle w:val="Heading2"/>
      </w:pPr>
      <w:r>
        <w:t>技术栈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5000"/>
          </w:tcPr>
          <w:p>
            <w:r>
              <w:rPr>
                <w:b/>
              </w:rPr>
              <w:t>技术</w:t>
            </w:r>
          </w:p>
        </w:tc>
      </w:tr>
      <w:tr>
        <w:tc>
          <w:tcPr>
            <w:tcW w:type="dxa" w:w="5000"/>
          </w:tcPr>
          <w:p>
            <w:r>
              <w:t>Web 应用</w:t>
            </w:r>
          </w:p>
        </w:tc>
        <w:tc>
          <w:tcPr>
            <w:tcW w:type="dxa" w:w="5000"/>
          </w:tcPr>
          <w:p>
            <w:r>
              <w:t>Next.js 15.5.22、React 19.2.8、TypeScript 5.6.2</w:t>
            </w:r>
          </w:p>
        </w:tc>
      </w:tr>
      <w:tr>
        <w:tc>
          <w:tcPr>
            <w:tcW w:type="dxa" w:w="5000"/>
          </w:tcPr>
          <w:p>
            <w:r>
              <w:t>交互</w:t>
            </w:r>
          </w:p>
        </w:tc>
        <w:tc>
          <w:tcPr>
            <w:tcW w:type="dxa" w:w="5000"/>
          </w:tcPr>
          <w:p>
            <w:r>
              <w:t>GSAP、TanStack Query</w:t>
            </w:r>
          </w:p>
        </w:tc>
      </w:tr>
      <w:tr>
        <w:tc>
          <w:tcPr>
            <w:tcW w:type="dxa" w:w="5000"/>
          </w:tcPr>
          <w:p>
            <w:r>
              <w:t>钱包与链交互</w:t>
            </w:r>
          </w:p>
        </w:tc>
        <w:tc>
          <w:tcPr>
            <w:tcW w:type="dxa" w:w="5000"/>
          </w:tcPr>
          <w:p>
            <w:r>
              <w:t>wagmi 2.12.20、viem 2.55.10</w:t>
            </w:r>
          </w:p>
        </w:tc>
      </w:tr>
      <w:tr>
        <w:tc>
          <w:tcPr>
            <w:tcW w:type="dxa" w:w="5000"/>
          </w:tcPr>
          <w:p>
            <w:r>
              <w:t>智能合约</w:t>
            </w:r>
          </w:p>
        </w:tc>
        <w:tc>
          <w:tcPr>
            <w:tcW w:type="dxa" w:w="5000"/>
          </w:tcPr>
          <w:p>
            <w:r>
              <w:t>Solidity 0.8.24、Foundry、Cancun EVM target</w:t>
            </w:r>
          </w:p>
        </w:tc>
      </w:tr>
      <w:tr>
        <w:tc>
          <w:tcPr>
            <w:tcW w:type="dxa" w:w="5000"/>
          </w:tcPr>
          <w:p>
            <w:r>
              <w:t>Agent 交易模拟</w:t>
            </w:r>
          </w:p>
        </w:tc>
        <w:tc>
          <w:tcPr>
            <w:tcW w:type="dxa" w:w="5000"/>
          </w:tcPr>
          <w:p>
            <w:r>
              <w:t xml:space="preserve">Moss 团队 Fork、自定义 Monad Testnet Runtime、 </w:t>
            </w:r>
            <w:r>
              <w:rPr>
                <w:rFonts w:ascii="Courier" w:hAnsi="Courier"/>
              </w:rPr>
              <w:t>silicon-arbitration</w:t>
            </w:r>
            <w:r>
              <w:t xml:space="preserve"> Protocol Package</w:t>
            </w:r>
          </w:p>
        </w:tc>
      </w:tr>
      <w:tr>
        <w:tc>
          <w:tcPr>
            <w:tcW w:type="dxa" w:w="5000"/>
          </w:tcPr>
          <w:p>
            <w:r>
              <w:t>领域与规则</w:t>
            </w:r>
          </w:p>
        </w:tc>
        <w:tc>
          <w:tcPr>
            <w:tcW w:type="dxa" w:w="5000"/>
          </w:tcPr>
          <w:p>
            <w:r>
              <w:t>TypeScript workspace packages、canonical evidence hashing</w:t>
            </w:r>
          </w:p>
        </w:tc>
      </w:tr>
      <w:tr>
        <w:tc>
          <w:tcPr>
            <w:tcW w:type="dxa" w:w="5000"/>
          </w:tcPr>
          <w:p>
            <w:r>
              <w:t>AI 解释</w:t>
            </w:r>
          </w:p>
        </w:tc>
        <w:tc>
          <w:tcPr>
            <w:tcW w:type="dxa" w:w="5000"/>
          </w:tcPr>
          <w:p>
            <w:r>
              <w:t>Anthropic-compatible SDK；默认 Gonka，Anthropic 备选</w:t>
            </w:r>
          </w:p>
        </w:tc>
      </w:tr>
      <w:tr>
        <w:tc>
          <w:tcPr>
            <w:tcW w:type="dxa" w:w="5000"/>
          </w:tcPr>
          <w:p>
            <w:r>
              <w:t>网络</w:t>
            </w:r>
          </w:p>
        </w:tc>
        <w:tc>
          <w:tcPr>
            <w:tcW w:type="dxa" w:w="5000"/>
          </w:tcPr>
          <w:p>
            <w:r>
              <w:t>仅 Monad Testnet</w:t>
            </w:r>
          </w:p>
        </w:tc>
      </w:tr>
      <w:tr>
        <w:tc>
          <w:tcPr>
            <w:tcW w:type="dxa" w:w="5000"/>
          </w:tcPr>
          <w:p>
            <w:r>
              <w:t>部署</w:t>
            </w:r>
          </w:p>
        </w:tc>
        <w:tc>
          <w:tcPr>
            <w:tcW w:type="dxa" w:w="5000"/>
          </w:tcPr>
          <w:p>
            <w:r>
              <w:t>Next.js 使用 Vercel；合约使用 Foundry</w:t>
            </w:r>
          </w:p>
        </w:tc>
      </w:tr>
    </w:tbl>
    <w:p>
      <w:r/>
    </w:p>
    <w:p>
      <w:pPr>
        <w:pStyle w:val="Heading2"/>
      </w:pPr>
      <w:r>
        <w:t>仓库结构</w:t>
      </w:r>
      <w:r/>
    </w:p>
    <w:p>
      <w:r/>
      <w:r>
        <w:rPr>
          <w:rFonts w:ascii="Courier" w:hAnsi="Courier"/>
        </w:rPr>
        <w:t>.</w:t>
        <w:br/>
        <w:t>├── apps/web/                 Next.js UI、API 路由、DEMO/HYBRID 适配器</w:t>
        <w:br/>
        <w:t>├── contracts/                TaskEscrow、Foundry 测试、部署脚本、ABI</w:t>
        <w:br/>
        <w:t>├── deployments/              版本化 Monad Testnet 部署证据</w:t>
        <w:br/>
        <w:t>├── packages/</w:t>
        <w:br/>
        <w:t>│   ├── ai/                   引用证据的 AI 解释</w:t>
        <w:br/>
        <w:t>│   ├── chain/                链配置、ABI、交易构造器、wagmi hooks</w:t>
        <w:br/>
        <w:t>│   ├── domain/               共享 Case、Evidence、RuleResult、E3 类型</w:t>
        <w:br/>
        <w:t>│   ├── moss-bridge/          产品与 Moss 之间的稳定边界</w:t>
        <w:br/>
        <w:t>│   └── rules/                确定性客观规则引擎</w:t>
        <w:br/>
        <w:t>├── scripts/                  E2E 与并发证据脚本</w:t>
        <w:br/>
        <w:t>├── vendor/moss/              固定版本的团队 Moss Fork submodule</w:t>
        <w:br/>
        <w:t>├── docs/                     产品、架构、风险与演示文档</w:t>
        <w:br/>
        <w:t>├── moss.lock.json            Moss 溯源锁文件</w:t>
        <w:br/>
        <w:t>└── pnpm-workspace.yaml       Monorepo workspace 定义</w:t>
        <w:br/>
      </w:r>
      <w:r/>
    </w:p>
    <w:p>
      <w:pPr>
        <w:pStyle w:val="Heading2"/>
      </w:pPr>
      <w:r>
        <w:t>安装与运行</w:t>
      </w:r>
      <w:r/>
    </w:p>
    <w:p>
      <w:pPr>
        <w:pStyle w:val="Heading3"/>
      </w:pPr>
      <w:r>
        <w:t>前置条件</w:t>
      </w:r>
      <w:r/>
      <w:r/>
    </w:p>
    <w:p>
      <w:pPr>
        <w:pStyle w:val="ListBullet"/>
        <w:spacing w:line="240" w:lineRule="auto"/>
        <w:ind w:left="720"/>
      </w:pPr>
      <w:r/>
      <w:r>
        <w:t xml:space="preserve">推荐 Node.js 22（根 </w:t>
      </w:r>
      <w:r>
        <w:rPr>
          <w:rFonts w:ascii="Courier" w:hAnsi="Courier"/>
        </w:rPr>
        <w:t>package.json</w:t>
      </w:r>
      <w:r>
        <w:t xml:space="preserve"> 要求 Node.js 20 或更高）</w:t>
      </w:r>
      <w:r/>
    </w:p>
    <w:p>
      <w:pPr>
        <w:pStyle w:val="ListBullet"/>
        <w:spacing w:line="240" w:lineRule="auto"/>
        <w:ind w:left="720"/>
      </w:pPr>
      <w:r/>
      <w:r>
        <w:t xml:space="preserve">pnpm </w:t>
      </w:r>
      <w:r>
        <w:rPr>
          <w:rFonts w:ascii="Courier" w:hAnsi="Courier"/>
        </w:rPr>
        <w:t>11.15.1</w:t>
      </w:r>
      <w:r/>
    </w:p>
    <w:p>
      <w:pPr>
        <w:pStyle w:val="ListBullet"/>
        <w:spacing w:line="240" w:lineRule="auto"/>
        <w:ind w:left="720"/>
      </w:pPr>
      <w:r/>
      <w:r>
        <w:t>支持 Git submodule 的 Git</w:t>
      </w:r>
      <w:r/>
    </w:p>
    <w:p>
      <w:pPr>
        <w:pStyle w:val="ListBullet"/>
        <w:spacing w:line="240" w:lineRule="auto"/>
        <w:ind w:left="720"/>
      </w:pPr>
      <w:r/>
      <w:r>
        <w:t xml:space="preserve">合约构建与测试需要 </w:t>
      </w:r>
      <w:hyperlink r:id="rId17">
        <w:r>
          <w:rPr>
            <w:color w:val="0000EE"/>
            <w:u w:val="single"/>
          </w:rPr>
          <w:t>Foundry</w:t>
        </w:r>
      </w:hyperlink>
      <w:r/>
    </w:p>
    <w:p>
      <w:pPr>
        <w:pStyle w:val="ListBullet"/>
        <w:spacing w:line="240" w:lineRule="auto"/>
        <w:ind w:left="720"/>
      </w:pPr>
      <w:r/>
      <w:r>
        <w:t>链上写入需要浏览器钱包与测试 MON</w:t>
      </w:r>
      <w:r/>
      <w:r/>
    </w:p>
    <w:p>
      <w:pPr>
        <w:pStyle w:val="Heading3"/>
      </w:pPr>
      <w:r>
        <w:t>安装</w:t>
      </w:r>
      <w:r/>
    </w:p>
    <w:p>
      <w:r/>
      <w:r>
        <w:rPr>
          <w:rFonts w:ascii="Courier" w:hAnsi="Courier"/>
        </w:rPr>
        <w:t>git clone --recurse-submodules https://github.com/LierMi/Silicon-Labor-Arbitration.git</w:t>
        <w:br/>
        <w:t>cd Silicon-Labor-Arbitration</w:t>
        <w:br/>
        <w:t>corepack enable</w:t>
        <w:br/>
        <w:t>pnpm install</w:t>
        <w:br/>
      </w:r>
      <w:r/>
    </w:p>
    <w:p>
      <w:r/>
      <w:r>
        <w:t>如果克隆时没有下载 submodule：</w:t>
      </w:r>
      <w:r/>
    </w:p>
    <w:p>
      <w:r/>
      <w:r>
        <w:rPr>
          <w:rFonts w:ascii="Courier" w:hAnsi="Courier"/>
        </w:rPr>
        <w:t>git submodule update --init --recursive</w:t>
        <w:br/>
        <w:t>pnpm install</w:t>
        <w:br/>
      </w:r>
      <w:r/>
    </w:p>
    <w:p>
      <w:r/>
      <w:r>
        <w:t xml:space="preserve">必须先下载 submodule，再让 pnpm 解析 workspace，因为 </w:t>
      </w:r>
      <w:r>
        <w:rPr>
          <w:rFonts w:ascii="Courier" w:hAnsi="Courier"/>
        </w:rPr>
        <w:t>pnpm-workspace.yaml</w:t>
      </w:r>
      <w:r>
        <w:t xml:space="preserve"> 引用了 </w:t>
      </w:r>
      <w:r>
        <w:rPr>
          <w:rFonts w:ascii="Courier" w:hAnsi="Courier"/>
        </w:rPr>
        <w:t>vendor/moss</w:t>
      </w:r>
      <w:r>
        <w:t xml:space="preserve"> 下的 packages。</w:t>
      </w:r>
      <w:r/>
    </w:p>
    <w:p>
      <w:pPr>
        <w:pStyle w:val="Heading3"/>
      </w:pPr>
      <w:r>
        <w:t>启动 Web 应用</w:t>
      </w:r>
      <w:r/>
    </w:p>
    <w:p>
      <w:r/>
      <w:r>
        <w:rPr>
          <w:rFonts w:ascii="Courier" w:hAnsi="Courier"/>
        </w:rPr>
        <w:t>cp apps/web/.env.example apps/web/.env.local</w:t>
        <w:br/>
        <w:t>pnpm --filter @sla/web dev</w:t>
        <w:br/>
      </w:r>
      <w:r/>
    </w:p>
    <w:p>
      <w:r/>
      <w:r>
        <w:t xml:space="preserve">打开 </w:t>
      </w:r>
      <w:r>
        <w:rPr>
          <w:rFonts w:ascii="Courier" w:hAnsi="Courier"/>
        </w:rPr>
        <w:t>http://localhost:3000</w:t>
      </w:r>
      <w:r>
        <w:t>。默认数据源是带有明确标签的演示 Fixture。</w:t>
      </w:r>
      <w:r/>
    </w:p>
    <w:p>
      <w:pPr>
        <w:pStyle w:val="Heading3"/>
      </w:pPr>
      <w:r>
        <w:t>运行完整验证</w:t>
      </w:r>
      <w:r/>
    </w:p>
    <w:p>
      <w:r/>
      <w:r>
        <w:rPr>
          <w:rFonts w:ascii="Courier" w:hAnsi="Courier"/>
        </w:rPr>
        <w:t>pnpm verify</w:t>
        <w:br/>
        <w:t>pnpm test:contracts</w:t>
        <w:br/>
      </w:r>
      <w:r/>
    </w:p>
    <w:p>
      <w:r/>
      <w:r>
        <w:rPr>
          <w:rFonts w:ascii="Courier" w:hAnsi="Courier"/>
        </w:rPr>
        <w:t>pnpm verify</w:t>
      </w:r>
      <w:r>
        <w:t xml:space="preserve"> 会构建项目所需的 Moss packages、检查产品 workspace 类型、运行 package tests，并构建 Next.js 应用。只有 </w:t>
      </w:r>
      <w:r>
        <w:rPr>
          <w:rFonts w:ascii="Courier" w:hAnsi="Courier"/>
        </w:rPr>
        <w:t>pnpm test:contracts</w:t>
      </w:r>
      <w:r>
        <w:t xml:space="preserve"> 需要 Foundry。</w:t>
      </w:r>
      <w:r/>
    </w:p>
    <w:p>
      <w:pPr>
        <w:pStyle w:val="Heading2"/>
      </w:pPr>
      <w:r>
        <w:t>配置</w:t>
      </w:r>
      <w:r/>
    </w:p>
    <w:p>
      <w:pPr>
        <w:pStyle w:val="Heading3"/>
      </w:pPr>
      <w:r>
        <w:t>Web 与演示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>
              <w:rPr>
                <w:b/>
              </w:rPr>
              <w:t>环境变量</w:t>
            </w:r>
          </w:p>
        </w:tc>
        <w:tc>
          <w:tcPr>
            <w:tcW w:type="dxa" w:w="2500"/>
          </w:tcPr>
          <w:p>
            <w:r>
              <w:rPr>
                <w:b/>
              </w:rPr>
              <w:t>是否必需</w:t>
            </w:r>
          </w:p>
        </w:tc>
        <w:tc>
          <w:tcPr>
            <w:tcW w:type="dxa" w:w="250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50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NEXT_PUBLIC_CASE_SOURCE</w:t>
            </w:r>
          </w:p>
        </w:tc>
        <w:tc>
          <w:tcPr>
            <w:tcW w:type="dxa" w:w="2500"/>
          </w:tcPr>
          <w:p>
            <w:r>
              <w:t>否</w:t>
            </w:r>
          </w:p>
        </w:tc>
        <w:tc>
          <w:tcPr>
            <w:tcW w:type="dxa" w:w="2500"/>
          </w:tcPr>
          <w:p>
            <w:r>
              <w:rPr>
                <w:rFonts w:ascii="Courier" w:hAnsi="Courier"/>
              </w:rPr>
              <w:t>mock</w:t>
            </w:r>
          </w:p>
        </w:tc>
        <w:tc>
          <w:tcPr>
            <w:tcW w:type="dxa" w:w="2500"/>
          </w:tcPr>
          <w:p>
            <w:r>
              <w:t xml:space="preserve">选择 </w:t>
            </w:r>
            <w:r>
              <w:rPr>
                <w:rFonts w:ascii="Courier" w:hAnsi="Courier"/>
              </w:rPr>
              <w:t>mock</w:t>
            </w:r>
            <w:r>
              <w:t xml:space="preserve"> 或 </w:t>
            </w:r>
            <w:r>
              <w:rPr>
                <w:rFonts w:ascii="Courier" w:hAnsi="Courier"/>
              </w:rPr>
              <w:t>live</w:t>
            </w:r>
            <w:r>
              <w:t xml:space="preserve"> 案件数据。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NEXT_PUBLIC_LIVE_TASK_ID</w:t>
            </w:r>
          </w:p>
        </w:tc>
        <w:tc>
          <w:tcPr>
            <w:tcW w:type="dxa" w:w="2500"/>
          </w:tcPr>
          <w:p>
            <w:r>
              <w:t>否</w:t>
            </w:r>
          </w:p>
        </w:tc>
        <w:tc>
          <w:tcPr>
            <w:tcW w:type="dxa" w:w="2500"/>
          </w:tcPr>
          <w:p>
            <w:r>
              <w:t>最近 20,000 个区块内的最新任务</w:t>
            </w:r>
          </w:p>
        </w:tc>
        <w:tc>
          <w:tcPr>
            <w:tcW w:type="dxa" w:w="2500"/>
          </w:tcPr>
          <w:p>
            <w:r>
              <w:t xml:space="preserve">指定一个 </w:t>
            </w:r>
            <w:r>
              <w:rPr>
                <w:rFonts w:ascii="Courier" w:hAnsi="Courier"/>
              </w:rPr>
              <w:t>bytes32</w:t>
            </w:r>
            <w:r>
              <w:t xml:space="preserve"> 链上 task ID。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DEMO_AGENT_ACTION_ENABLED</w:t>
            </w:r>
          </w:p>
        </w:tc>
        <w:tc>
          <w:tcPr>
            <w:tcW w:type="dxa" w:w="2500"/>
          </w:tcPr>
          <w:p>
            <w:r>
              <w:t>否</w:t>
            </w:r>
          </w:p>
        </w:tc>
        <w:tc>
          <w:tcPr>
            <w:tcW w:type="dxa" w:w="2500"/>
          </w:tcPr>
          <w:p>
            <w:r>
              <w:t xml:space="preserve">除非设为 </w:t>
            </w:r>
            <w:r>
              <w:rPr>
                <w:rFonts w:ascii="Courier" w:hAnsi="Courier"/>
              </w:rPr>
              <w:t>false</w:t>
            </w:r>
            <w:r>
              <w:t xml:space="preserve"> ，否则开启</w:t>
            </w:r>
          </w:p>
        </w:tc>
        <w:tc>
          <w:tcPr>
            <w:tcW w:type="dxa" w:w="2500"/>
          </w:tcPr>
          <w:p>
            <w:r>
              <w:t>控制服务端演示 Agent 操作端点。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DEPLOYER_PRIVATE_KEY</w:t>
            </w:r>
          </w:p>
        </w:tc>
        <w:tc>
          <w:tcPr>
            <w:tcW w:type="dxa" w:w="2500"/>
          </w:tcPr>
          <w:p>
            <w:r>
              <w:t>条件必需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2500"/>
          </w:tcPr>
          <w:p>
            <w:r>
              <w:t>托管演示 Agent 操作与合约部署需要。只能使用测试网私钥。</w:t>
            </w:r>
          </w:p>
        </w:tc>
      </w:tr>
    </w:tbl>
    <w:p>
      <w:r/>
    </w:p>
    <w:p>
      <w:pPr>
        <w:pStyle w:val="Heading3"/>
      </w:pPr>
      <w:r>
        <w:t>重新生成 AI 解释</w:t>
      </w:r>
      <w:r/>
    </w:p>
    <w:p>
      <w:r/>
      <w:r>
        <w:t>仓库中的土豆案演示使用已冻结且可追溯的 AI Fixture，路演过程中不会调用模型。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>
              <w:rPr>
                <w:b/>
              </w:rPr>
              <w:t>环境变量</w:t>
            </w:r>
          </w:p>
        </w:tc>
        <w:tc>
          <w:tcPr>
            <w:tcW w:type="dxa" w:w="2500"/>
          </w:tcPr>
          <w:p>
            <w:r>
              <w:rPr>
                <w:b/>
              </w:rPr>
              <w:t>是否必需</w:t>
            </w:r>
          </w:p>
        </w:tc>
        <w:tc>
          <w:tcPr>
            <w:tcW w:type="dxa" w:w="250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50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GONKA_API_KEY</w:t>
            </w:r>
          </w:p>
        </w:tc>
        <w:tc>
          <w:tcPr>
            <w:tcW w:type="dxa" w:w="2500"/>
          </w:tcPr>
          <w:p>
            <w:r>
              <w:t>条件必需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2500"/>
          </w:tcPr>
          <w:p>
            <w:r>
              <w:t>通过 Gonka 重新生成 AI 意见。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GONKA_BASE_URL</w:t>
            </w:r>
          </w:p>
        </w:tc>
        <w:tc>
          <w:tcPr>
            <w:tcW w:type="dxa" w:w="2500"/>
          </w:tcPr>
          <w:p>
            <w:r>
              <w:t>否</w:t>
            </w:r>
          </w:p>
        </w:tc>
        <w:tc>
          <w:tcPr>
            <w:tcW w:type="dxa" w:w="2500"/>
          </w:tcPr>
          <w:p>
            <w:r>
              <w:rPr>
                <w:rFonts w:ascii="Courier" w:hAnsi="Courier"/>
              </w:rPr>
              <w:t>https://api.gonkarouter.io</w:t>
            </w:r>
          </w:p>
        </w:tc>
        <w:tc>
          <w:tcPr>
            <w:tcW w:type="dxa" w:w="2500"/>
          </w:tcPr>
          <w:p>
            <w:r>
              <w:t>Anthropic-compatible API host。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GONKA_MODEL</w:t>
            </w:r>
          </w:p>
        </w:tc>
        <w:tc>
          <w:tcPr>
            <w:tcW w:type="dxa" w:w="2500"/>
          </w:tcPr>
          <w:p>
            <w:r>
              <w:t>否</w:t>
            </w:r>
          </w:p>
        </w:tc>
        <w:tc>
          <w:tcPr>
            <w:tcW w:type="dxa" w:w="2500"/>
          </w:tcPr>
          <w:p>
            <w:r>
              <w:rPr>
                <w:rFonts w:ascii="Courier" w:hAnsi="Courier"/>
              </w:rPr>
              <w:t>moonshotai/Kimi-K2.6</w:t>
            </w:r>
          </w:p>
        </w:tc>
        <w:tc>
          <w:tcPr>
            <w:tcW w:type="dxa" w:w="2500"/>
          </w:tcPr>
          <w:p>
            <w:r>
              <w:t>Gonka 模型 ID。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ANTHROPIC_API_KEY</w:t>
            </w:r>
          </w:p>
        </w:tc>
        <w:tc>
          <w:tcPr>
            <w:tcW w:type="dxa" w:w="2500"/>
          </w:tcPr>
          <w:p>
            <w:r>
              <w:t>条件必需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2500"/>
          </w:tcPr>
          <w:p>
            <w:r>
              <w:t>未配置 Gonka 时使用的备选供应商。</w:t>
            </w:r>
          </w:p>
        </w:tc>
      </w:tr>
      <w:tr>
        <w:tc>
          <w:tcPr>
            <w:tcW w:type="dxa" w:w="2500"/>
          </w:tcPr>
          <w:p>
            <w:r>
              <w:rPr>
                <w:rFonts w:ascii="Courier" w:hAnsi="Courier"/>
              </w:rPr>
              <w:t>ANTHROPIC_MODEL</w:t>
            </w:r>
          </w:p>
        </w:tc>
        <w:tc>
          <w:tcPr>
            <w:tcW w:type="dxa" w:w="2500"/>
          </w:tcPr>
          <w:p>
            <w:r>
              <w:t>否</w:t>
            </w:r>
          </w:p>
        </w:tc>
        <w:tc>
          <w:tcPr>
            <w:tcW w:type="dxa" w:w="2500"/>
          </w:tcPr>
          <w:p>
            <w:r>
              <w:rPr>
                <w:rFonts w:ascii="Courier" w:hAnsi="Courier"/>
              </w:rPr>
              <w:t>claude-opus-5</w:t>
            </w:r>
          </w:p>
        </w:tc>
        <w:tc>
          <w:tcPr>
            <w:tcW w:type="dxa" w:w="2500"/>
          </w:tcPr>
          <w:p>
            <w:r>
              <w:t>Anthropic 模型 ID。</w:t>
            </w:r>
          </w:p>
        </w:tc>
      </w:tr>
    </w:tbl>
    <w:p>
      <w:r/>
    </w:p>
    <w:p>
      <w:pPr>
        <w:pStyle w:val="Heading3"/>
      </w:pPr>
      <w:r>
        <w:t>合约部署</w:t>
      </w:r>
      <w:r/>
    </w:p>
    <w:p>
      <w:r/>
      <w:r>
        <w:t xml:space="preserve">复制 </w:t>
      </w:r>
      <w:r>
        <w:rPr>
          <w:rFonts w:ascii="Courier" w:hAnsi="Courier"/>
        </w:rPr>
        <w:t>contracts/.env.example</w:t>
      </w:r>
      <w:r>
        <w:t xml:space="preserve"> 为 </w:t>
      </w:r>
      <w:r>
        <w:rPr>
          <w:rFonts w:ascii="Courier" w:hAnsi="Courier"/>
        </w:rPr>
        <w:t>contracts/.env</w:t>
      </w:r>
      <w:r>
        <w:t>，配置仅用于测试网的部署钱包，以及互不相同的 settlement authority 与 authority admin 地址。不得复用持有主网资产的钱包。</w:t>
      </w:r>
      <w:r/>
    </w:p>
    <w:p>
      <w:pPr>
        <w:pStyle w:val="Heading2"/>
      </w:pPr>
      <w:r>
        <w:t>可用命令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500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--filter @sla/web dev</w:t>
            </w:r>
          </w:p>
        </w:tc>
        <w:tc>
          <w:tcPr>
            <w:tcW w:type="dxa" w:w="5000"/>
          </w:tcPr>
          <w:p>
            <w:r>
              <w:t>启动 Next.js 开发服务器。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build:web</w:t>
            </w:r>
          </w:p>
        </w:tc>
        <w:tc>
          <w:tcPr>
            <w:tcW w:type="dxa" w:w="5000"/>
          </w:tcPr>
          <w:p>
            <w:r>
              <w:t>构建生产版 Web 应用。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build:moss</w:t>
            </w:r>
          </w:p>
        </w:tc>
        <w:tc>
          <w:tcPr>
            <w:tcW w:type="dxa" w:w="5000"/>
          </w:tcPr>
          <w:p>
            <w:r>
              <w:t>只构建产品实际依赖的 Moss packages。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typecheck</w:t>
            </w:r>
          </w:p>
        </w:tc>
        <w:tc>
          <w:tcPr>
            <w:tcW w:type="dxa" w:w="5000"/>
          </w:tcPr>
          <w:p>
            <w:r>
              <w:t>构建 Moss 依赖并检查所有产品 packages/apps 类型。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test</w:t>
            </w:r>
          </w:p>
        </w:tc>
        <w:tc>
          <w:tcPr>
            <w:tcW w:type="dxa" w:w="5000"/>
          </w:tcPr>
          <w:p>
            <w:r>
              <w:t>构建 Moss 依赖并运行产品 package tests。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test:contracts</w:t>
            </w:r>
          </w:p>
        </w:tc>
        <w:tc>
          <w:tcPr>
            <w:tcW w:type="dxa" w:w="5000"/>
          </w:tcPr>
          <w:p>
            <w:r>
              <w:t>运行 Foundry 合约测试。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pnpm verify</w:t>
            </w:r>
          </w:p>
        </w:tc>
        <w:tc>
          <w:tcPr>
            <w:tcW w:type="dxa" w:w="5000"/>
          </w:tcPr>
          <w:p>
            <w:r>
              <w:t>运行 Moss 构建、类型检查、package tests 与 Web 构建。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npx tsx scripts/concurrency-demo.ts 30</w:t>
            </w:r>
          </w:p>
        </w:tc>
        <w:tc>
          <w:tcPr>
            <w:tcW w:type="dxa" w:w="5000"/>
          </w:tcPr>
          <w:p>
            <w:r>
              <w:t>提交独立测试网任务并记录交易证据。</w:t>
            </w:r>
          </w:p>
        </w:tc>
      </w:tr>
      <w:tr>
        <w:tc>
          <w:tcPr>
            <w:tcW w:type="dxa" w:w="5000"/>
          </w:tcPr>
          <w:p>
            <w:r>
              <w:rPr>
                <w:rFonts w:ascii="Courier" w:hAnsi="Courier"/>
              </w:rPr>
              <w:t>cd scripts &amp;&amp; npm install &amp;&amp; npx tsx e2e-verify.ts</w:t>
            </w:r>
          </w:p>
        </w:tc>
        <w:tc>
          <w:tcPr>
            <w:tcW w:type="dxa" w:w="5000"/>
          </w:tcPr>
          <w:p>
            <w:r>
              <w:t>使用测试网账户执行直接任务生命周期。</w:t>
            </w:r>
          </w:p>
        </w:tc>
      </w:tr>
    </w:tbl>
    <w:p>
      <w:r/>
    </w:p>
    <w:p>
      <w:pPr>
        <w:pStyle w:val="Heading2"/>
      </w:pPr>
      <w:r>
        <w:t>部署</w:t>
      </w:r>
      <w:r/>
    </w:p>
    <w:p>
      <w:pPr>
        <w:pStyle w:val="Heading3"/>
      </w:pPr>
      <w:r>
        <w:t>Vercel Web 应用</w:t>
      </w:r>
      <w:r/>
    </w:p>
    <w:p>
      <w:r/>
      <w:r>
        <w:t xml:space="preserve">公开部署地址为 </w:t>
      </w:r>
      <w:hyperlink r:id="rId14">
        <w:r>
          <w:rPr>
            <w:color w:val="0000EE"/>
            <w:u w:val="single"/>
          </w:rPr>
          <w:t>silicon-labor-arbitration.vercel.app</w:t>
        </w:r>
      </w:hyperlink>
      <w:r>
        <w:t>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设置</w:t>
            </w:r>
          </w:p>
        </w:tc>
        <w:tc>
          <w:tcPr>
            <w:tcW w:type="dxa" w:w="500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5000"/>
          </w:tcPr>
          <w:p>
            <w:r>
              <w:t>Root directory</w:t>
            </w:r>
          </w:p>
        </w:tc>
        <w:tc>
          <w:tcPr>
            <w:tcW w:type="dxa" w:w="5000"/>
          </w:tcPr>
          <w:p>
            <w:r>
              <w:t>仓库根目录</w:t>
            </w:r>
          </w:p>
        </w:tc>
      </w:tr>
      <w:tr>
        <w:tc>
          <w:tcPr>
            <w:tcW w:type="dxa" w:w="5000"/>
          </w:tcPr>
          <w:p>
            <w:r>
              <w:t>Install command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pnpm install</w:t>
            </w:r>
          </w:p>
        </w:tc>
      </w:tr>
      <w:tr>
        <w:tc>
          <w:tcPr>
            <w:tcW w:type="dxa" w:w="5000"/>
          </w:tcPr>
          <w:p>
            <w:r>
              <w:t>Build command</w:t>
            </w:r>
          </w:p>
        </w:tc>
        <w:tc>
          <w:tcPr>
            <w:tcW w:type="dxa" w:w="5000"/>
          </w:tcPr>
          <w:p>
            <w:r>
              <w:rPr>
                <w:rFonts w:ascii="Courier" w:hAnsi="Courier"/>
              </w:rPr>
              <w:t>pnpm build:web</w:t>
            </w:r>
          </w:p>
        </w:tc>
      </w:tr>
      <w:tr>
        <w:tc>
          <w:tcPr>
            <w:tcW w:type="dxa" w:w="5000"/>
          </w:tcPr>
          <w:p>
            <w:r>
              <w:t>Framework</w:t>
            </w:r>
          </w:p>
        </w:tc>
        <w:tc>
          <w:tcPr>
            <w:tcW w:type="dxa" w:w="5000"/>
          </w:tcPr>
          <w:p>
            <w:r>
              <w:t>Next.js</w:t>
            </w:r>
          </w:p>
        </w:tc>
      </w:tr>
    </w:tbl>
    <w:p>
      <w:r/>
    </w:p>
    <w:p>
      <w:r/>
      <w:r>
        <w:t xml:space="preserve">确保 checkout 阶段可以获取 Git submodules。只有需要演示专用 Agent 操作端点时才配置 </w:t>
      </w:r>
      <w:r>
        <w:rPr>
          <w:rFonts w:ascii="Courier" w:hAnsi="Courier"/>
        </w:rPr>
        <w:t>DEPLOYER_PRIVATE_KEY</w:t>
      </w:r>
      <w:r>
        <w:t xml:space="preserve">。非演示部署应设置 </w:t>
      </w:r>
      <w:r>
        <w:rPr>
          <w:rFonts w:ascii="Courier" w:hAnsi="Courier"/>
        </w:rPr>
        <w:t>DEMO_AGENT_ACTION_ENABLED=false</w:t>
      </w:r>
      <w:r>
        <w:t>，并使用独立的真实 Agent 钱包代替服务端签名。</w:t>
      </w:r>
      <w:r/>
    </w:p>
    <w:p>
      <w:pPr>
        <w:pStyle w:val="Heading3"/>
      </w:pPr>
      <w:r>
        <w:t>智能合约</w:t>
      </w:r>
      <w:r/>
    </w:p>
    <w:p>
      <w:r/>
      <w:r>
        <w:rPr>
          <w:rFonts w:ascii="Courier" w:hAnsi="Courier"/>
        </w:rPr>
        <w:t>cd contracts</w:t>
        <w:br/>
        <w:t>cp .env.example .env</w:t>
        <w:br/>
        <w:t>forge build</w:t>
        <w:br/>
        <w:t>forge test -vvv</w:t>
        <w:br/>
        <w:t>forge script script/DeployTaskEscrow.s.sol:DeployTaskEscrow \</w:t>
        <w:br/>
        <w:t xml:space="preserve">  --rpc-url "$MONAD_TESTNET_RPC_URL" \</w:t>
        <w:br/>
        <w:t xml:space="preserve">  --broadcast</w:t>
        <w:br/>
      </w:r>
      <w:r/>
    </w:p>
    <w:p>
      <w:r/>
      <w:r>
        <w:t xml:space="preserve">项目只允许部署到 Monad Testnet。任何新地址、交易、区块、Bytecode hash 与 ABI hash 都必须先写入 </w:t>
      </w:r>
      <w:r>
        <w:rPr>
          <w:rFonts w:ascii="Courier" w:hAnsi="Courier"/>
        </w:rPr>
        <w:t>deployments/monad-testnet.json</w:t>
      </w:r>
      <w:r>
        <w:t>，再更新 README。</w:t>
      </w:r>
      <w:r/>
    </w:p>
    <w:p>
      <w:pPr>
        <w:pStyle w:val="Heading2"/>
      </w:pPr>
      <w:r>
        <w:t>安全与真实性边界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系统可以证明</w:t>
            </w:r>
          </w:p>
        </w:tc>
        <w:tc>
          <w:tcPr>
            <w:tcW w:type="dxa" w:w="5000"/>
          </w:tcPr>
          <w:p>
            <w:r>
              <w:rPr>
                <w:b/>
              </w:rPr>
              <w:t>系统不会声称</w:t>
            </w:r>
          </w:p>
        </w:tc>
      </w:tr>
      <w:tr>
        <w:tc>
          <w:tcPr>
            <w:tcW w:type="dxa" w:w="5000"/>
          </w:tcPr>
          <w:p>
            <w:r>
              <w:t>哪个任务与条款承诺被写入链上</w:t>
            </w:r>
          </w:p>
        </w:tc>
        <w:tc>
          <w:tcPr>
            <w:tcW w:type="dxa" w:w="5000"/>
          </w:tcPr>
          <w:p>
            <w:r>
              <w:t>哈希本身能证明链下内容的语义质量</w:t>
            </w:r>
          </w:p>
        </w:tc>
      </w:tr>
      <w:tr>
        <w:tc>
          <w:tcPr>
            <w:tcW w:type="dxa" w:w="5000"/>
          </w:tcPr>
          <w:p>
            <w:r>
              <w:t>Moss 模拟了哪一笔未签交易</w:t>
            </w:r>
          </w:p>
        </w:tc>
        <w:tc>
          <w:tcPr>
            <w:tcW w:type="dxa" w:w="5000"/>
          </w:tcPr>
          <w:p>
            <w:r>
              <w:t>Moss 签名、广播或裁决了交易</w:t>
            </w:r>
          </w:p>
        </w:tc>
      </w:tr>
      <w:tr>
        <w:tc>
          <w:tcPr>
            <w:tcW w:type="dxa" w:w="5000"/>
          </w:tcPr>
          <w:p>
            <w:r>
              <w:t>哪笔钱包交易得到确认、发出了哪些事件</w:t>
            </w:r>
          </w:p>
        </w:tc>
        <w:tc>
          <w:tcPr>
            <w:tcW w:type="dxa" w:w="5000"/>
          </w:tcPr>
          <w:p>
            <w:r>
              <w:t>合法签名就等于结果符合人类意图</w:t>
            </w:r>
          </w:p>
        </w:tc>
      </w:tr>
      <w:tr>
        <w:tc>
          <w:tcPr>
            <w:tcW w:type="dxa" w:w="5000"/>
          </w:tcPr>
          <w:p>
            <w:r>
              <w:t>客观规则如何产生结算提案</w:t>
            </w:r>
          </w:p>
        </w:tc>
        <w:tc>
          <w:tcPr>
            <w:tcW w:type="dxa" w:w="5000"/>
          </w:tcPr>
          <w:p>
            <w:r>
              <w:t>AI 独立验证或选择了付款金额</w:t>
            </w:r>
          </w:p>
        </w:tc>
      </w:tr>
      <w:tr>
        <w:tc>
          <w:tcPr>
            <w:tcW w:type="dxa" w:w="5000"/>
          </w:tcPr>
          <w:p>
            <w:r>
              <w:t>哪些事实缺失或属于主观条件</w:t>
            </w:r>
          </w:p>
        </w:tc>
        <w:tc>
          <w:tcPr>
            <w:tcW w:type="dxa" w:w="5000"/>
          </w:tcPr>
          <w:p>
            <w:r>
              <w:t>主观意义可以被转换为客观判决</w:t>
            </w:r>
          </w:p>
        </w:tc>
      </w:tr>
    </w:tbl>
    <w:p>
      <w:r/>
      <w:r/>
    </w:p>
    <w:p>
      <w:pPr>
        <w:pStyle w:val="ListBullet"/>
        <w:spacing w:line="240" w:lineRule="auto"/>
        <w:ind w:left="720"/>
      </w:pPr>
      <w:r/>
      <w:r>
        <w:t>仅使用 Monad Testnet；主网资金和主网常量不得进入演示路径。</w:t>
      </w:r>
      <w:r/>
    </w:p>
    <w:p>
      <w:pPr>
        <w:pStyle w:val="ListBullet"/>
        <w:spacing w:line="240" w:lineRule="auto"/>
        <w:ind w:left="720"/>
      </w:pPr>
      <w:r/>
      <w:r>
        <w:t xml:space="preserve">私钥、API Key、助记词与任何 </w:t>
      </w:r>
      <w:r>
        <w:rPr>
          <w:rFonts w:ascii="Courier" w:hAnsi="Courier"/>
        </w:rPr>
        <w:t>.env*</w:t>
      </w:r>
      <w:r>
        <w:t xml:space="preserve"> 文件不得提交。</w:t>
      </w:r>
      <w:r/>
    </w:p>
    <w:p>
      <w:pPr>
        <w:pStyle w:val="ListBullet"/>
        <w:spacing w:line="240" w:lineRule="auto"/>
        <w:ind w:left="720"/>
      </w:pPr>
      <w:r/>
      <w:r>
        <w:t>服务端 Agent 签名器只是有明确标签的演示便利功能，不是生产信任模型。</w:t>
      </w:r>
      <w:r/>
    </w:p>
    <w:p>
      <w:pPr>
        <w:pStyle w:val="ListBullet"/>
        <w:spacing w:line="240" w:lineRule="auto"/>
        <w:ind w:left="720"/>
      </w:pPr>
      <w:r/>
      <w:r>
        <w:t>链下证据正文需要可重现的 canonical serialization 与哈希。</w:t>
      </w:r>
      <w:r/>
    </w:p>
    <w:p>
      <w:pPr>
        <w:pStyle w:val="ListBullet"/>
        <w:spacing w:line="240" w:lineRule="auto"/>
        <w:ind w:left="720"/>
      </w:pPr>
      <w:r/>
      <w:r>
        <w:t>并发脚本只报告捕获到的交易事实，不宣称未经验证的 TPS 或 finality。</w:t>
      </w:r>
      <w:r/>
      <w:r/>
    </w:p>
    <w:p>
      <w:pPr>
        <w:pStyle w:val="Heading2"/>
      </w:pPr>
      <w:r>
        <w:t>当前限制</w:t>
      </w:r>
      <w:r/>
      <w:r/>
    </w:p>
    <w:p>
      <w:pPr>
        <w:pStyle w:val="ListBullet"/>
        <w:spacing w:line="240" w:lineRule="auto"/>
        <w:ind w:left="720"/>
      </w:pPr>
      <w:r/>
      <w:r>
        <w:t xml:space="preserve">Moss 有意只集成 </w:t>
      </w:r>
      <w:r>
        <w:rPr>
          <w:rFonts w:ascii="Courier" w:hAnsi="Courier"/>
        </w:rPr>
        <w:t>createTask</w:t>
      </w:r>
      <w:r>
        <w:t>；后续写操作走 viem/wagmi 直接路径。</w:t>
      </w:r>
      <w:r/>
    </w:p>
    <w:p>
      <w:pPr>
        <w:pStyle w:val="ListBullet"/>
        <w:spacing w:line="240" w:lineRule="auto"/>
        <w:ind w:left="720"/>
      </w:pPr>
      <w:r/>
      <w:r>
        <w:t xml:space="preserve">托管页面默认展示演示 Fixture。链上任务读取标记为 </w:t>
      </w:r>
      <w:r>
        <w:rPr>
          <w:rFonts w:ascii="Courier" w:hAnsi="Courier"/>
        </w:rPr>
        <w:t>HYBRID</w:t>
      </w:r>
      <w:r>
        <w:t>，因为对应证据叙事仍是样例数据。</w:t>
      </w:r>
      <w:r/>
    </w:p>
    <w:p>
      <w:pPr>
        <w:pStyle w:val="ListBullet"/>
        <w:spacing w:line="240" w:lineRule="auto"/>
        <w:ind w:left="720"/>
      </w:pPr>
      <w:r/>
      <w:r>
        <w:t>演示 Agent 操作端点从服务端演示私钥派生有测试币的 Agent 账户；生产部署必须改为独立 Agent 钱包。</w:t>
      </w:r>
      <w:r/>
    </w:p>
    <w:p>
      <w:pPr>
        <w:pStyle w:val="ListBullet"/>
        <w:spacing w:line="240" w:lineRule="auto"/>
        <w:ind w:left="720"/>
      </w:pPr>
      <w:r/>
      <w:r>
        <w:t>当前没有生产级 Indexer 或去中心化证据正文存储。</w:t>
      </w:r>
      <w:r/>
    </w:p>
    <w:p>
      <w:pPr>
        <w:pStyle w:val="ListBullet"/>
        <w:spacing w:line="240" w:lineRule="auto"/>
        <w:ind w:left="720"/>
      </w:pPr>
      <w:r/>
      <w:r>
        <w:t>人类复核治理目前由授权链上见证者与证据承诺表示，还不是去中心化复核网络。</w:t>
      </w:r>
      <w:r/>
    </w:p>
    <w:p>
      <w:pPr>
        <w:pStyle w:val="ListBullet"/>
        <w:spacing w:line="240" w:lineRule="auto"/>
        <w:ind w:left="720"/>
      </w:pPr>
      <w:r/>
      <w:r>
        <w:t>项目永远不会自动解决 C4“交付物是不是一只猫”。</w:t>
      </w:r>
      <w:r/>
      <w:r/>
    </w:p>
    <w:p>
      <w:pPr>
        <w:pStyle w:val="Heading2"/>
      </w:pPr>
      <w:r>
        <w:t>路线图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5000"/>
          </w:tcPr>
          <w:p>
            <w:r>
              <w:rPr>
                <w:b/>
              </w:rPr>
              <w:t>方向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当前</w:t>
            </w:r>
          </w:p>
        </w:tc>
        <w:tc>
          <w:tcPr>
            <w:tcW w:type="dxa" w:w="5000"/>
          </w:tcPr>
          <w:p>
            <w:r>
              <w:t>测试网托管、Moss 模拟任务创建、责任时间线、确定性规则、AI 证据解释、人类复核冻结/释放路径。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下一步</w:t>
            </w:r>
          </w:p>
        </w:tc>
        <w:tc>
          <w:tcPr>
            <w:tcW w:type="dxa" w:w="5000"/>
          </w:tcPr>
          <w:p>
            <w:r>
              <w:t>用完整捕获的真实证据替换 Hybrid 叙事映射，增加持久化索引，并强化独立 Agent 签名。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愿景</w:t>
            </w:r>
          </w:p>
        </w:tc>
        <w:tc>
          <w:tcPr>
            <w:tcW w:type="dxa" w:w="5000"/>
          </w:tcPr>
          <w:p>
            <w:r>
              <w:t>成为 Agent 框架、采购系统与受监管运营方可复用的责任和结算层。</w:t>
            </w:r>
          </w:p>
        </w:tc>
      </w:tr>
    </w:tbl>
    <w:p>
      <w:r/>
    </w:p>
    <w:p>
      <w:pPr>
        <w:pStyle w:val="Heading2"/>
      </w:pPr>
      <w:r>
        <w:t>项目文档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500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00"/>
          </w:tcPr>
          <w:p>
            <w:hyperlink r:id="rId18">
              <w:r>
                <w:rPr>
                  <w:color w:val="0000EE"/>
                  <w:u w:val="single"/>
                </w:rPr>
                <w:t>docs/01-项目方案.md</w:t>
              </w:r>
            </w:hyperlink>
          </w:p>
        </w:tc>
        <w:tc>
          <w:tcPr>
            <w:tcW w:type="dxa" w:w="5000"/>
          </w:tcPr>
          <w:p>
            <w:r>
              <w:t>产品定位与不可变原则</w:t>
            </w:r>
          </w:p>
        </w:tc>
      </w:tr>
      <w:tr>
        <w:tc>
          <w:tcPr>
            <w:tcW w:type="dxa" w:w="5000"/>
          </w:tcPr>
          <w:p>
            <w:hyperlink r:id="rId19">
              <w:r>
                <w:rPr>
                  <w:color w:val="0000EE"/>
                  <w:u w:val="single"/>
                </w:rPr>
                <w:t>docs/02-开发执行案.md</w:t>
              </w:r>
            </w:hyperlink>
          </w:p>
        </w:tc>
        <w:tc>
          <w:tcPr>
            <w:tcW w:type="dxa" w:w="5000"/>
          </w:tcPr>
          <w:p>
            <w:r>
              <w:t>交付范围与实施计划</w:t>
            </w:r>
          </w:p>
        </w:tc>
      </w:tr>
      <w:tr>
        <w:tc>
          <w:tcPr>
            <w:tcW w:type="dxa" w:w="5000"/>
          </w:tcPr>
          <w:p>
            <w:hyperlink r:id="rId20">
              <w:r>
                <w:rPr>
                  <w:color w:val="0000EE"/>
                  <w:u w:val="single"/>
                </w:rPr>
                <w:t>docs/05-双仓库架构与Moss-Testnet集成.md</w:t>
              </w:r>
            </w:hyperlink>
          </w:p>
        </w:tc>
        <w:tc>
          <w:tcPr>
            <w:tcW w:type="dxa" w:w="5000"/>
          </w:tcPr>
          <w:p>
            <w:r>
              <w:t>产品/Moss 仓库拓扑与运行架构</w:t>
            </w:r>
          </w:p>
        </w:tc>
      </w:tr>
      <w:tr>
        <w:tc>
          <w:tcPr>
            <w:tcW w:type="dxa" w:w="5000"/>
          </w:tcPr>
          <w:p>
            <w:hyperlink r:id="rId21">
              <w:r>
                <w:rPr>
                  <w:color w:val="0000EE"/>
                  <w:u w:val="single"/>
                </w:rPr>
                <w:t>docs/06-技术风险与决策清单.md</w:t>
              </w:r>
            </w:hyperlink>
          </w:p>
        </w:tc>
        <w:tc>
          <w:tcPr>
            <w:tcW w:type="dxa" w:w="5000"/>
          </w:tcPr>
          <w:p>
            <w:r>
              <w:t>风险、决策、负责人和证据门</w:t>
            </w:r>
          </w:p>
        </w:tc>
      </w:tr>
      <w:tr>
        <w:tc>
          <w:tcPr>
            <w:tcW w:type="dxa" w:w="5000"/>
          </w:tcPr>
          <w:p>
            <w:hyperlink r:id="rId22">
              <w:r>
                <w:rPr>
                  <w:color w:val="0000EE"/>
                  <w:u w:val="single"/>
                </w:rPr>
                <w:t>docs/08-Moss边界与职责划分.md</w:t>
              </w:r>
            </w:hyperlink>
          </w:p>
        </w:tc>
        <w:tc>
          <w:tcPr>
            <w:tcW w:type="dxa" w:w="5000"/>
          </w:tcPr>
          <w:p>
            <w:r>
              <w:t xml:space="preserve">已接受的 Moss 边界：P0 只接入 </w:t>
            </w:r>
            <w:r>
              <w:rPr>
                <w:rFonts w:ascii="Courier" w:hAnsi="Courier"/>
              </w:rPr>
              <w:t>createTask</w:t>
            </w:r>
          </w:p>
        </w:tc>
      </w:tr>
      <w:tr>
        <w:tc>
          <w:tcPr>
            <w:tcW w:type="dxa" w:w="5000"/>
          </w:tcPr>
          <w:p>
            <w:hyperlink r:id="rId23">
              <w:r>
                <w:rPr>
                  <w:color w:val="0000EE"/>
                  <w:u w:val="single"/>
                </w:rPr>
                <w:t>AGENTS.md</w:t>
              </w:r>
            </w:hyperlink>
          </w:p>
        </w:tc>
        <w:tc>
          <w:tcPr>
            <w:tcW w:type="dxa" w:w="5000"/>
          </w:tcPr>
          <w:p>
            <w:r>
              <w:t>仓库不变量与贡献者约束</w:t>
            </w:r>
          </w:p>
        </w:tc>
      </w:tr>
    </w:tbl>
    <w:p>
      <w:r/>
    </w:p>
    <w:p>
      <w:pPr>
        <w:pStyle w:val="Heading2"/>
      </w:pPr>
      <w:r>
        <w:t>团队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>
              <w:rPr>
                <w:b/>
              </w:rPr>
              <w:t>成员</w:t>
            </w:r>
          </w:p>
        </w:tc>
        <w:tc>
          <w:tcPr>
            <w:tcW w:type="dxa" w:w="5000"/>
          </w:tcPr>
          <w:p>
            <w:r>
              <w:rPr>
                <w:b/>
              </w:rPr>
              <w:t>负责方向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NEO</w:t>
            </w:r>
          </w:p>
        </w:tc>
        <w:tc>
          <w:tcPr>
            <w:tcW w:type="dxa" w:w="5000"/>
          </w:tcPr>
          <w:p>
            <w:r>
              <w:t>智能合约、Moss 与链上集成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RISO</w:t>
            </w:r>
          </w:p>
        </w:tc>
        <w:tc>
          <w:tcPr>
            <w:tcW w:type="dxa" w:w="5000"/>
          </w:tcPr>
          <w:p>
            <w:r>
              <w:t>产品、确定性规则、AI 解释与统筹</w:t>
            </w:r>
          </w:p>
        </w:tc>
      </w:tr>
      <w:tr>
        <w:tc>
          <w:tcPr>
            <w:tcW w:type="dxa" w:w="5000"/>
          </w:tcPr>
          <w:p>
            <w:r>
              <w:rPr>
                <w:b/>
              </w:rPr>
              <w:t>ELEVEN</w:t>
            </w:r>
          </w:p>
        </w:tc>
        <w:tc>
          <w:tcPr>
            <w:tcW w:type="dxa" w:w="5000"/>
          </w:tcPr>
          <w:p>
            <w:r>
              <w:t>UI、视觉设计与交互</w:t>
            </w:r>
          </w:p>
        </w:tc>
      </w:tr>
    </w:tbl>
    <w:p>
      <w:r/>
    </w:p>
    <w:p>
      <w:r/>
      <w:r>
        <w:t xml:space="preserve">如希望围绕 Agent 框架、验证基础设施或真实设计伙伴场景合作，可通过 </w:t>
      </w:r>
      <w:hyperlink r:id="rId24">
        <w:r>
          <w:rPr>
            <w:color w:val="0000EE"/>
            <w:u w:val="single"/>
          </w:rPr>
          <w:t>Telegram</w:t>
        </w:r>
      </w:hyperlink>
      <w:r>
        <w:t xml:space="preserve"> 联系 NEO。</w:t>
      </w:r>
      <w:r/>
    </w:p>
    <w:p>
      <w:pPr>
        <w:pStyle w:val="Heading2"/>
      </w:pPr>
      <w:r>
        <w:t>参与贡献</w:t>
      </w:r>
      <w:r/>
      <w:r/>
    </w:p>
    <w:p>
      <w:pPr>
        <w:pStyle w:val="ListNumber"/>
        <w:spacing w:line="240" w:lineRule="auto"/>
        <w:ind w:left="720"/>
      </w:pPr>
      <w:r/>
      <w:r>
        <w:t>Fork 仓库并创建范围明确的分支。</w:t>
      </w:r>
      <w:r/>
    </w:p>
    <w:p>
      <w:pPr>
        <w:pStyle w:val="ListNumber"/>
        <w:spacing w:line="240" w:lineRule="auto"/>
        <w:ind w:left="720"/>
      </w:pPr>
      <w:r/>
      <w:r>
        <w:t xml:space="preserve">遵守 </w:t>
      </w:r>
      <w:hyperlink r:id="rId23">
        <w:r>
          <w:rPr>
            <w:color w:val="0000EE"/>
            <w:u w:val="single"/>
          </w:rPr>
          <w:t>AGENTS.md</w:t>
        </w:r>
      </w:hyperlink>
      <w:r>
        <w:t xml:space="preserve"> 中的产品不变量。</w:t>
      </w:r>
      <w:r/>
    </w:p>
    <w:p>
      <w:pPr>
        <w:pStyle w:val="ListNumber"/>
        <w:spacing w:line="240" w:lineRule="auto"/>
        <w:ind w:left="720"/>
      </w:pPr>
      <w:r/>
      <w:r>
        <w:t xml:space="preserve">Moss 内部复杂度必须留在 </w:t>
      </w:r>
      <w:r>
        <w:rPr>
          <w:rFonts w:ascii="Courier" w:hAnsi="Courier"/>
        </w:rPr>
        <w:t>@sla/moss-bridge</w:t>
      </w:r>
      <w:r>
        <w:t xml:space="preserve"> 后，共享领域类型必须留在 </w:t>
      </w:r>
      <w:r>
        <w:rPr>
          <w:rFonts w:ascii="Courier" w:hAnsi="Courier"/>
        </w:rPr>
        <w:t>@sla/domain</w:t>
      </w:r>
      <w:r>
        <w:t>。</w:t>
      </w:r>
      <w:r/>
    </w:p>
    <w:p>
      <w:pPr>
        <w:pStyle w:val="ListNumber"/>
        <w:spacing w:line="240" w:lineRule="auto"/>
        <w:ind w:left="720"/>
      </w:pPr>
      <w:r/>
      <w:r>
        <w:t xml:space="preserve">运行 </w:t>
      </w:r>
      <w:r>
        <w:rPr>
          <w:rFonts w:ascii="Courier" w:hAnsi="Courier"/>
        </w:rPr>
        <w:t>pnpm verify</w:t>
      </w:r>
      <w:r>
        <w:t xml:space="preserve"> 与相关 Foundry 测试。</w:t>
      </w:r>
      <w:r/>
    </w:p>
    <w:p>
      <w:pPr>
        <w:pStyle w:val="ListNumber"/>
        <w:spacing w:line="240" w:lineRule="auto"/>
        <w:ind w:left="720"/>
      </w:pPr>
      <w:r/>
      <w:r>
        <w:t>发起 PR 时明确描述行为、信任边界和验证证据。</w:t>
      </w:r>
      <w:r/>
      <w:r/>
    </w:p>
    <w:p>
      <w:pPr>
        <w:pStyle w:val="Heading2"/>
      </w:pPr>
      <w:r>
        <w:t>许可证</w:t>
      </w:r>
      <w:r/>
    </w:p>
    <w:p>
      <w:r/>
      <w:r>
        <w:t xml:space="preserve">本项目采用 </w:t>
      </w:r>
      <w:hyperlink r:id="rId25">
        <w:r>
          <w:rPr>
            <w:color w:val="0000EE"/>
            <w:u w:val="single"/>
          </w:rPr>
          <w:t>MIT License</w:t>
        </w:r>
      </w:hyperlink>
      <w:r>
        <w:t>。</w:t>
      </w:r>
      <w:r/>
    </w:p>
    <w:p>
      <w:r/>
      <w:r>
        <w:t>本软件仍处于实验阶段，仅部署于 Monad Testnet。它不是法律建议、法院判决或生产级资金托管服务。</w:t>
      </w:r>
      <w:r/>
    </w:p>
    <w:p>
      <w:r/>
      <w:r>
        <w:rPr>
          <w:b/>
        </w:rPr>
        <w:t>AI 仲裁可测量的，人类决定有意义的。</w:t>
      </w:r>
    </w:p>
    <w:sectPr w:rsidR="00FC693F" w:rsidRPr="0006063C" w:rsidSect="00034616">
      <w:pgSz w:w="12240" w:h="15840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licon-labor-arbitration.vercel.app/demo" TargetMode="External"/><Relationship Id="rId10" Type="http://schemas.openxmlformats.org/officeDocument/2006/relationships/hyperlink" Target="https://silicon-labor-arbitration.vercel.app/workbench" TargetMode="External"/><Relationship Id="rId11" Type="http://schemas.openxmlformats.org/officeDocument/2006/relationships/hyperlink" Target="https://silicon-labor-arbitration.vercel.app/courtroom" TargetMode="External"/><Relationship Id="rId12" Type="http://schemas.openxmlformats.org/officeDocument/2006/relationships/hyperlink" Target="https://testnet.monadexplorer.com/address/0x67040374b8A9756586De0885f01d1291cE8FFCcF" TargetMode="External"/><Relationship Id="rId13" Type="http://schemas.openxmlformats.org/officeDocument/2006/relationships/hyperlink" Target="https://github.com/LierMi/moss" TargetMode="External"/><Relationship Id="rId14" Type="http://schemas.openxmlformats.org/officeDocument/2006/relationships/hyperlink" Target="https://silicon-labor-arbitration.vercel.app/" TargetMode="External"/><Relationship Id="rId15" Type="http://schemas.openxmlformats.org/officeDocument/2006/relationships/hyperlink" Target="./deployments/monad-testnet.json" TargetMode="External"/><Relationship Id="rId16" Type="http://schemas.openxmlformats.org/officeDocument/2006/relationships/hyperlink" Target="https://testnet.monadexplorer.com/tx/0xb96eecedc5038735c40aa9918c3369f829bb3b93468d38b3b66f87ce9e896e34" TargetMode="External"/><Relationship Id="rId17" Type="http://schemas.openxmlformats.org/officeDocument/2006/relationships/hyperlink" Target="https://getfoundry.sh/" TargetMode="External"/><Relationship Id="rId18" Type="http://schemas.openxmlformats.org/officeDocument/2006/relationships/hyperlink" Target="./docs/01-&#39033;&#30446;&#26041;&#26696;.md" TargetMode="External"/><Relationship Id="rId19" Type="http://schemas.openxmlformats.org/officeDocument/2006/relationships/hyperlink" Target="./docs/02-&#24320;&#21457;&#25191;&#34892;&#26696;.md" TargetMode="External"/><Relationship Id="rId20" Type="http://schemas.openxmlformats.org/officeDocument/2006/relationships/hyperlink" Target="./docs/05-&#21452;&#20179;&#24211;&#26550;&#26500;&#19982;Moss-Testnet&#38598;&#25104;.md" TargetMode="External"/><Relationship Id="rId21" Type="http://schemas.openxmlformats.org/officeDocument/2006/relationships/hyperlink" Target="./docs/06-&#25216;&#26415;&#39118;&#38505;&#19982;&#20915;&#31574;&#28165;&#21333;.md" TargetMode="External"/><Relationship Id="rId22" Type="http://schemas.openxmlformats.org/officeDocument/2006/relationships/hyperlink" Target="./docs/08-Moss&#36793;&#30028;&#19982;&#32844;&#36131;&#21010;&#20998;.md" TargetMode="External"/><Relationship Id="rId23" Type="http://schemas.openxmlformats.org/officeDocument/2006/relationships/hyperlink" Target="./AGENTS.md" TargetMode="External"/><Relationship Id="rId24" Type="http://schemas.openxmlformats.org/officeDocument/2006/relationships/hyperlink" Target="https://t.me/neo_web3_nova" TargetMode="External"/><Relationship Id="rId25" Type="http://schemas.openxmlformats.org/officeDocument/2006/relationships/hyperlink" Target=".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