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protection impact assessment (DPIA): AI-assisted document checks</w:t>
      </w:r>
    </w:p>
    <w:p>
      <w:r>
        <w:t>Status: DRAFT of 28 October 2026 for the owner and a lawyer or data protection adviser to review. Not legal advice. Things in [square brackets] are missing information or decisions. The assessment must be finished and signed off BEFORE any real document is sent to an AI provider.</w:t>
      </w:r>
    </w:p>
    <w:p>
      <w:r>
        <w:t>Controller: Amplivine, [address], Germany. Contact: info@skillweb.space. Person responsible: Liezl Fourie.</w:t>
      </w:r>
    </w:p>
    <w:p>
      <w:pPr>
        <w:pStyle w:val="Heading2"/>
      </w:pPr>
      <w:r>
        <w:t>1. Description of the processing</w:t>
      </w:r>
    </w:p>
    <w:p>
      <w:r>
        <w:rPr>
          <w:b/>
        </w:rPr>
        <w:t>What it is.</w:t>
      </w:r>
      <w:r>
        <w:t xml:space="preserve"> Providers on SkillWeb upload documents that prove who they are and that they may offer a service (see </w:t>
      </w:r>
      <w:r>
        <w:rPr>
          <w:rFonts w:ascii="Consolas" w:hAnsi="Consolas"/>
        </w:rPr>
        <w:t>docs/required-documents-draft.md</w:t>
      </w:r>
      <w:r>
        <w:t>). Staff check each document and approve or reject it. The planned change: after upload, an AI vision model reads the document and returns a fixed set of fields. Staff see them as a pre-filled checklist next to the document. The AI gives advice only. A staff member decides every approval and every rejection.</w:t>
      </w:r>
    </w:p>
    <w:p>
      <w:r>
        <w:rPr>
          <w:b/>
        </w:rPr>
        <w:t>Purposes.</w:t>
      </w:r>
    </w:p>
    <w:p>
      <w:pPr>
        <w:pStyle w:val="ListNumber"/>
      </w:pPr>
      <w:r>
        <w:t>Verify that a provider is who they say they are and holds the documents their services need (trust and safety of customers; know-your-trader record for the EU Digital Services Act).</w:t>
      </w:r>
    </w:p>
    <w:p>
      <w:pPr>
        <w:pStyle w:val="ListNumber"/>
      </w:pPr>
      <w:r>
        <w:t>Make the human check faster and more consistent (fewer slips, same standard for every provider).</w:t>
      </w:r>
    </w:p>
    <w:p>
      <w:r>
        <w:rPr>
          <w:b/>
        </w:rPr>
        <w:t>Data subjects.</w:t>
      </w:r>
      <w:r>
        <w:t xml:space="preserve"> Providers who submit documents (private persons and sole traders). Not customers. Possibly third parties named in documents (for example an employer on a certificate).</w:t>
      </w:r>
    </w:p>
    <w:p>
      <w:r>
        <w:rPr>
          <w:b/>
        </w:rPr>
        <w:t>Data processed.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Personal data in it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</w:tr>
      <w:tr>
        <w:tc>
          <w:tcPr>
            <w:tcW w:type="dxa" w:w="2880"/>
          </w:tcPr>
          <w:p>
            <w:r/>
            <w:r>
              <w:t>Photo ID (front and back)</w:t>
            </w:r>
          </w:p>
        </w:tc>
        <w:tc>
          <w:tcPr>
            <w:tcW w:type="dxa" w:w="2880"/>
          </w:tcPr>
          <w:p>
            <w:r/>
            <w:r>
              <w:t>Name, date of birth, place of birth, nationality, document number, photo, address (ID card back), machine-readable zone</w:t>
            </w:r>
          </w:p>
        </w:tc>
        <w:tc>
          <w:tcPr>
            <w:tcW w:type="dxa" w:w="2880"/>
          </w:tcPr>
          <w:p>
            <w:r/>
            <w:r>
              <w:t>Ordinary personal data. The photo is not used for face recognition or any biometric matching</w:t>
            </w:r>
          </w:p>
        </w:tc>
      </w:tr>
      <w:tr>
        <w:tc>
          <w:tcPr>
            <w:tcW w:type="dxa" w:w="2880"/>
          </w:tcPr>
          <w:p>
            <w:r/>
            <w:r>
              <w:t>Police certificate (Führungszeugnis)</w:t>
            </w:r>
          </w:p>
        </w:tc>
        <w:tc>
          <w:tcPr>
            <w:tcW w:type="dxa" w:w="2880"/>
          </w:tcPr>
          <w:p>
            <w:r/>
            <w:r>
              <w:t>Name, date of birth, address, "no entries" or a list of convictions</w:t>
            </w:r>
          </w:p>
        </w:tc>
        <w:tc>
          <w:tcPr>
            <w:tcW w:type="dxa" w:w="2880"/>
          </w:tcPr>
          <w:p>
            <w:r/>
            <w:r>
              <w:t>Data about criminal convictions (Art. 10 GDPR). Highest sensitivity</w:t>
            </w:r>
          </w:p>
        </w:tc>
      </w:tr>
      <w:tr>
        <w:tc>
          <w:tcPr>
            <w:tcW w:type="dxa" w:w="2880"/>
          </w:tcPr>
          <w:p>
            <w:r/>
            <w:r>
              <w:t>Trade registration, freelance proof</w:t>
            </w:r>
          </w:p>
        </w:tc>
        <w:tc>
          <w:tcPr>
            <w:tcW w:type="dxa" w:w="2880"/>
          </w:tcPr>
          <w:p>
            <w:r/>
            <w:r>
              <w:t>Name, address, business activity, date</w:t>
            </w:r>
          </w:p>
        </w:tc>
        <w:tc>
          <w:tcPr>
            <w:tcW w:type="dxa" w:w="2880"/>
          </w:tcPr>
          <w:p>
            <w:r/>
            <w:r>
              <w:t>Ordinary</w:t>
            </w:r>
          </w:p>
        </w:tc>
      </w:tr>
      <w:tr>
        <w:tc>
          <w:tcPr>
            <w:tcW w:type="dxa" w:w="2880"/>
          </w:tcPr>
          <w:p>
            <w:r/>
            <w:r>
              <w:t>Liability insurance proof</w:t>
            </w:r>
          </w:p>
        </w:tc>
        <w:tc>
          <w:tcPr>
            <w:tcW w:type="dxa" w:w="2880"/>
          </w:tcPr>
          <w:p>
            <w:r/>
            <w:r>
              <w:t>Name, address, policy number, cover and period</w:t>
            </w:r>
          </w:p>
        </w:tc>
        <w:tc>
          <w:tcPr>
            <w:tcW w:type="dxa" w:w="2880"/>
          </w:tcPr>
          <w:p>
            <w:r/>
            <w:r>
              <w:t>Ordinary</w:t>
            </w:r>
          </w:p>
        </w:tc>
      </w:tr>
      <w:tr>
        <w:tc>
          <w:tcPr>
            <w:tcW w:type="dxa" w:w="2880"/>
          </w:tcPr>
          <w:p>
            <w:r/>
            <w:r>
              <w:t>Hygiene certificate, food business registration, permits, craft qualification</w:t>
            </w:r>
          </w:p>
        </w:tc>
        <w:tc>
          <w:tcPr>
            <w:tcW w:type="dxa" w:w="2880"/>
          </w:tcPr>
          <w:p>
            <w:r/>
            <w:r>
              <w:t>Name, issuing authority, dates</w:t>
            </w:r>
          </w:p>
        </w:tc>
        <w:tc>
          <w:tcPr>
            <w:tcW w:type="dxa" w:w="2880"/>
          </w:tcPr>
          <w:p>
            <w:r/>
            <w:r>
              <w:t>Ordinary</w:t>
            </w:r>
          </w:p>
        </w:tc>
      </w:tr>
    </w:tbl>
    <w:p/>
    <w:p>
      <w:r>
        <w:rPr>
          <w:b/>
        </w:rPr>
        <w:t>What the AI returns (the only data kept from the AI step).</w:t>
      </w:r>
      <w:r>
        <w:t xml:space="preserve"> Document type; name on the document; issuer; issue date and expiry; whether the name matches the profile; for a police certificate ONLY: issue date and whether it states "no entries" (yes/no); for an ID ONLY: document type, name, expiry date and whether it is readable. Plus flags (for example "text layer disagrees with the image", "possible edited document") and a confidence value. Full text, date of birth, address, document number, the photo and any conviction details are NOT requested and NOT stored.</w:t>
      </w:r>
    </w:p>
    <w:p>
      <w:r>
        <w:rPr>
          <w:b/>
        </w:rPr>
        <w:t>Flow.</w:t>
      </w:r>
    </w:p>
    <w:p>
      <w:pPr>
        <w:pStyle w:val="ListNumber"/>
      </w:pPr>
      <w:r>
        <w:t>The provider uploads the document in the app (existing step; image or PDF into the private storage bucket in the EU).</w:t>
      </w:r>
    </w:p>
    <w:p>
      <w:pPr>
        <w:pStyle w:val="ListNumber"/>
      </w:pPr>
      <w:r>
        <w:t>A background job sends the file to the AI provider over an encrypted connection with a fixed instruction and an output format. The AI has no tools and no internet access.</w:t>
      </w:r>
    </w:p>
    <w:p>
      <w:pPr>
        <w:pStyle w:val="ListNumber"/>
      </w:pPr>
      <w:r>
        <w:t>The answer is checked against the fixed format; anything else is thrown away. The fields are stored next to the document as advisory data.</w:t>
      </w:r>
    </w:p>
    <w:p>
      <w:pPr>
        <w:pStyle w:val="ListNumber"/>
      </w:pPr>
      <w:r>
        <w:t>A staff member sees the document and the advisory checklist and decides. The decision and the staff note are recorded as today.</w:t>
      </w:r>
    </w:p>
    <w:p>
      <w:pPr>
        <w:pStyle w:val="ListNumber"/>
      </w:pPr>
      <w:r>
        <w:t>The advisory fields are deleted with the document.</w:t>
      </w:r>
    </w:p>
    <w:p>
      <w:r>
        <w:rPr>
          <w:b/>
        </w:rPr>
        <w:t>Recipients.</w:t>
      </w:r>
      <w:r>
        <w:t xml:space="preserve"> The AI provider [to be chosen, as processor, EU servers]; staff of Amplivine with the reviewer or administrator role; hosting and storage providers already used (Vercel, Neon).</w:t>
      </w:r>
    </w:p>
    <w:p>
      <w:r>
        <w:rPr>
          <w:b/>
        </w:rPr>
        <w:t>Retention.</w:t>
      </w:r>
      <w:r>
        <w:t xml:space="preserve"> The document itself: while the account exists, and 6 months after account deletion as a know-your-trader record (owner decision of 28 October, legal confirmation pending). The AI output: deleted together with the document. At the AI provider: no storage of the document or the answer after the request ([to be confirmed in the contract: zero data retention, no use for training]).</w:t>
      </w:r>
    </w:p>
    <w:p>
      <w:r>
        <w:rPr>
          <w:b/>
        </w:rPr>
        <w:t>Technology.</w:t>
      </w:r>
      <w:r>
        <w:t xml:space="preserve"> Vision model called by a server-side background job. Documents stay in private storage; the job reads them with a short-lived access link. No document is sent from the phone to the AI provider directly.</w:t>
      </w:r>
    </w:p>
    <w:p>
      <w:pPr>
        <w:pStyle w:val="Heading2"/>
      </w:pPr>
      <w:r>
        <w:t>2. Necessity and proportionality</w:t>
      </w:r>
    </w:p>
    <w:p>
      <w:pPr>
        <w:pStyle w:val="ListBullet"/>
      </w:pPr>
      <w:r>
        <w:rPr>
          <w:b/>
        </w:rPr>
        <w:t>Lawful basis.</w:t>
      </w:r>
      <w:r>
        <w:t xml:space="preserve"> Providers' contract with SkillWeb (Art. 6(1)(b)) for the checks needed to offer services; legal duty where it applies (Art. 6(1)(c), know-your-trader under the Digital Services Act, if it applies to Amplivine); legitimate interest in trust and safety (Art. 6(1)(f)). For the police certificate the processing relates to criminal-conviction data (Art. 10): it is allowed only as authorised by law. [Lawyer to confirm the basis under German law; the provider asks for the certificate for the specific purpose of working with children or in homes.] The provider is told before upload.</w:t>
      </w:r>
    </w:p>
    <w:p>
      <w:pPr>
        <w:pStyle w:val="ListBullet"/>
      </w:pPr>
      <w:r>
        <w:rPr>
          <w:b/>
        </w:rPr>
        <w:t>Is it necessary?</w:t>
      </w:r>
      <w:r>
        <w:t xml:space="preserve"> The human check already happens. The AI step is not strictly necessary, but it improves the quality of the check and reduces how long staff look at sensitive documents. If a lawyer decides the AI step for police certificates or ID copies is disproportionate, those two document types are excluded from the AI step and stay manual (the design allows excluding a document type with one setting).</w:t>
      </w:r>
    </w:p>
    <w:p>
      <w:pPr>
        <w:pStyle w:val="ListBullet"/>
      </w:pPr>
      <w:r>
        <w:rPr>
          <w:b/>
        </w:rPr>
        <w:t>Data minimisation.</w:t>
      </w:r>
      <w:r>
        <w:t xml:space="preserve"> The AI is told to return only the fields listed above; the answer is validated; nothing else is stored. Only the specific document is sent, never the whole profile.</w:t>
      </w:r>
    </w:p>
    <w:p>
      <w:pPr>
        <w:pStyle w:val="ListBullet"/>
      </w:pPr>
      <w:r>
        <w:rPr>
          <w:b/>
        </w:rPr>
        <w:t>Automated decisions (Art. 22).</w:t>
      </w:r>
      <w:r>
        <w:t xml:space="preserve"> None. Approval and rejection are always made by a staff member who looks at the document. The AI output is shown as advice with its confidence and flags; reviewers are trained to check the document, and the back office records that the reviewer opened the document. There is no automatic approval and no automatic rejection.</w:t>
      </w:r>
    </w:p>
    <w:p>
      <w:pPr>
        <w:pStyle w:val="ListBullet"/>
      </w:pPr>
      <w:r>
        <w:rPr>
          <w:b/>
        </w:rPr>
        <w:t>Transparency.</w:t>
      </w:r>
      <w:r>
        <w:t xml:space="preserve"> The privacy policy states that documents may be read by an AI service as an aid, names the provider category and region, and states that a person decides. The upload screen says so as well. [Wording to be added once the provider is chosen.]</w:t>
      </w:r>
    </w:p>
    <w:p>
      <w:pPr>
        <w:pStyle w:val="ListBullet"/>
      </w:pPr>
      <w:r>
        <w:rPr>
          <w:b/>
        </w:rPr>
        <w:t>Rights.</w:t>
      </w:r>
      <w:r>
        <w:t xml:space="preserve"> Providers can ask for access, correction and deletion (account deletion exists in the app), can object, and can ask for a human to review again; every decision is already a human decision.</w:t>
      </w:r>
    </w:p>
    <w:p>
      <w:pPr>
        <w:pStyle w:val="Heading2"/>
      </w:pPr>
      <w:r>
        <w:t>3. Risks to the people concerned, and measures</w:t>
      </w:r>
    </w:p>
    <w:p>
      <w:r>
        <w:t>Likelihood and severity: low / medium / high, before and after the measures.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Risk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Before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Measures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After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Sensitive documents (ID copies, police certificates with possible convictions) leak at the AI provider</w:t>
            </w:r>
          </w:p>
        </w:tc>
        <w:tc>
          <w:tcPr>
            <w:tcW w:type="dxa" w:w="1728"/>
          </w:tcPr>
          <w:p>
            <w:r/>
            <w:r>
              <w:t>Severity high, likelihood medium</w:t>
            </w:r>
          </w:p>
        </w:tc>
        <w:tc>
          <w:tcPr>
            <w:tcW w:type="dxa" w:w="1728"/>
          </w:tcPr>
          <w:p>
            <w:r/>
            <w:r>
              <w:t>Provider with EU servers, data-processing agreement, zero retention, no training, confirmed sub-processors and security certification (for example ISO 27001); only the needed document is sent; encrypted transfer; the AI answer holds no conviction details or ID number</w:t>
            </w:r>
          </w:p>
        </w:tc>
        <w:tc>
          <w:tcPr>
            <w:tcW w:type="dxa" w:w="1728"/>
          </w:tcPr>
          <w:p>
            <w:r/>
            <w:r>
              <w:t>Severity high, likelihood low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Transfer to a country without adequate protection</w:t>
            </w:r>
          </w:p>
        </w:tc>
        <w:tc>
          <w:tcPr>
            <w:tcW w:type="dxa" w:w="1728"/>
          </w:tcPr>
          <w:p>
            <w:r/>
            <w:r>
              <w:t>High / medium</w:t>
            </w:r>
          </w:p>
        </w:tc>
        <w:tc>
          <w:tcPr>
            <w:tcW w:type="dxa" w:w="1728"/>
          </w:tcPr>
          <w:p>
            <w:r/>
            <w:r>
              <w:t>EU region only; no routing through general aggregators that can choose other regions; written confirmation of data location; standard contractual clauses if any sub-processor is outside the EU</w:t>
            </w:r>
          </w:p>
        </w:tc>
        <w:tc>
          <w:tcPr>
            <w:tcW w:type="dxa" w:w="1728"/>
          </w:tcPr>
          <w:p>
            <w:r/>
            <w:r>
              <w:t>Low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The provider uses documents to train models</w:t>
            </w:r>
          </w:p>
        </w:tc>
        <w:tc>
          <w:tcPr>
            <w:tcW w:type="dxa" w:w="1728"/>
          </w:tcPr>
          <w:p>
            <w:r/>
            <w:r>
              <w:t>High / medium</w:t>
            </w:r>
          </w:p>
        </w:tc>
        <w:tc>
          <w:tcPr>
            <w:tcW w:type="dxa" w:w="1728"/>
          </w:tcPr>
          <w:p>
            <w:r/>
            <w:r>
              <w:t>Contract term and technical setting: no training, no retention; verify yearly</w:t>
            </w:r>
          </w:p>
        </w:tc>
        <w:tc>
          <w:tcPr>
            <w:tcW w:type="dxa" w:w="1728"/>
          </w:tcPr>
          <w:p>
            <w:r/>
            <w:r>
              <w:t>Low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Wrong AI result causes a wrongful rejection or approval (hallucinated date, misread name)</w:t>
            </w:r>
          </w:p>
        </w:tc>
        <w:tc>
          <w:tcPr>
            <w:tcW w:type="dxa" w:w="1728"/>
          </w:tcPr>
          <w:p>
            <w:r/>
            <w:r>
              <w:t>Medium / medium</w:t>
            </w:r>
          </w:p>
        </w:tc>
        <w:tc>
          <w:tcPr>
            <w:tcW w:type="dxa" w:w="1728"/>
          </w:tcPr>
          <w:p>
            <w:r/>
            <w:r>
              <w:t>Staff always decide and look at the document; AI shows confidence and flags; track agreement between AI and staff on a sample of [300] documents before relying on it; rejected providers get a human-written reason and can resubmit</w:t>
            </w:r>
          </w:p>
        </w:tc>
        <w:tc>
          <w:tcPr>
            <w:tcW w:type="dxa" w:w="1728"/>
          </w:tcPr>
          <w:p>
            <w:r/>
            <w:r>
              <w:t>Low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Reviewers rubber-stamp the AI (de facto automated decision)</w:t>
            </w:r>
          </w:p>
        </w:tc>
        <w:tc>
          <w:tcPr>
            <w:tcW w:type="dxa" w:w="1728"/>
          </w:tcPr>
          <w:p>
            <w:r/>
            <w:r>
              <w:t>High / medium</w:t>
            </w:r>
          </w:p>
        </w:tc>
        <w:tc>
          <w:tcPr>
            <w:tcW w:type="dxa" w:w="1728"/>
          </w:tcPr>
          <w:p>
            <w:r/>
            <w:r>
              <w:t>Checklist is advice only; reviewer must open the document before the buttons work; monthly sample audit of decisions; training; no auto-approval</w:t>
            </w:r>
          </w:p>
        </w:tc>
        <w:tc>
          <w:tcPr>
            <w:tcW w:type="dxa" w:w="1728"/>
          </w:tcPr>
          <w:p>
            <w:r/>
            <w:r>
              <w:t>Low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Prompt injection: text hidden in an uploaded PDF tells the AI to approve or to reveal data</w:t>
            </w:r>
          </w:p>
        </w:tc>
        <w:tc>
          <w:tcPr>
            <w:tcW w:type="dxa" w:w="1728"/>
          </w:tcPr>
          <w:p>
            <w:r/>
            <w:r>
              <w:t>Medium / medium</w:t>
            </w:r>
          </w:p>
        </w:tc>
        <w:tc>
          <w:tcPr>
            <w:tcW w:type="dxa" w:w="1728"/>
          </w:tcPr>
          <w:p>
            <w:r/>
            <w:r>
              <w:t>The AI has no tools or access to other data; fixed instruction and output format; answers outside the format are discarded; the AI answer never changes the status</w:t>
            </w:r>
          </w:p>
        </w:tc>
        <w:tc>
          <w:tcPr>
            <w:tcW w:type="dxa" w:w="1728"/>
          </w:tcPr>
          <w:p>
            <w:r/>
            <w:r>
              <w:t>Low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>Forged documents are not detected</w:t>
            </w:r>
          </w:p>
        </w:tc>
        <w:tc>
          <w:tcPr>
            <w:tcW w:type="dxa" w:w="1728"/>
          </w:tcPr>
          <w:p>
            <w:r/>
            <w:r>
              <w:t>Medium / medium</w:t>
            </w:r>
          </w:p>
        </w:tc>
        <w:tc>
          <w:tcPr>
            <w:tcW w:type="dxa" w:w="1728"/>
          </w:tcPr>
          <w:p>
            <w:r/>
            <w:r>
              <w:t>The AI is not treated as a forgery detector; staff remain responsible; simple extra signals (PDF producer and edit history, text layer versus image) are shown as hints only</w:t>
            </w:r>
          </w:p>
        </w:tc>
        <w:tc>
          <w:tcPr>
            <w:tcW w:type="dxa" w:w="1728"/>
          </w:tcPr>
          <w:p>
            <w:r/>
            <w:r>
              <w:t>Medium (accepted)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>Too much data kept (AI output, copies)</w:t>
            </w:r>
          </w:p>
        </w:tc>
        <w:tc>
          <w:tcPr>
            <w:tcW w:type="dxa" w:w="1728"/>
          </w:tcPr>
          <w:p>
            <w:r/>
            <w:r>
              <w:t>Medium / medium</w:t>
            </w:r>
          </w:p>
        </w:tc>
        <w:tc>
          <w:tcPr>
            <w:tcW w:type="dxa" w:w="1728"/>
          </w:tcPr>
          <w:p>
            <w:r/>
            <w:r>
              <w:t>Minimal fields only; AI output deleted with the document; no copies at the provider; retention defined</w:t>
            </w:r>
          </w:p>
        </w:tc>
        <w:tc>
          <w:tcPr>
            <w:tcW w:type="dxa" w:w="1728"/>
          </w:tcPr>
          <w:p>
            <w:r/>
            <w:r>
              <w:t>Low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>Unauthorised access by staff</w:t>
            </w:r>
          </w:p>
        </w:tc>
        <w:tc>
          <w:tcPr>
            <w:tcW w:type="dxa" w:w="1728"/>
          </w:tcPr>
          <w:p>
            <w:r/>
            <w:r>
              <w:t>High / low</w:t>
            </w:r>
          </w:p>
        </w:tc>
        <w:tc>
          <w:tcPr>
            <w:tcW w:type="dxa" w:w="1728"/>
          </w:tcPr>
          <w:p>
            <w:r/>
            <w:r>
              <w:t>Roles (reviewer, admin), row-level security, staff actions logged, signed links valid 5 minutes, documents never public</w:t>
            </w:r>
          </w:p>
        </w:tc>
        <w:tc>
          <w:tcPr>
            <w:tcW w:type="dxa" w:w="1728"/>
          </w:tcPr>
          <w:p>
            <w:r/>
            <w:r>
              <w:t>Low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t>Criminal-conviction data processed without a legal basis</w:t>
            </w:r>
          </w:p>
        </w:tc>
        <w:tc>
          <w:tcPr>
            <w:tcW w:type="dxa" w:w="1728"/>
          </w:tcPr>
          <w:p>
            <w:r/>
            <w:r>
              <w:t>High / low</w:t>
            </w:r>
          </w:p>
        </w:tc>
        <w:tc>
          <w:tcPr>
            <w:tcW w:type="dxa" w:w="1728"/>
          </w:tcPr>
          <w:p>
            <w:r/>
            <w:r>
              <w:t>Basis confirmed by a lawyer before launch; the AI extracts only date and "no entries"; if the basis is not confirmed the certificate stays manual</w:t>
            </w:r>
          </w:p>
        </w:tc>
        <w:tc>
          <w:tcPr>
            <w:tcW w:type="dxa" w:w="1728"/>
          </w:tcPr>
          <w:p>
            <w:r/>
            <w:r>
              <w:t>Low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t>Bias: the AI reads some names or scripts worse than others, leading to more rejections for some people</w:t>
            </w:r>
          </w:p>
        </w:tc>
        <w:tc>
          <w:tcPr>
            <w:tcW w:type="dxa" w:w="1728"/>
          </w:tcPr>
          <w:p>
            <w:r/>
            <w:r>
              <w:t>Medium / medium</w:t>
            </w:r>
          </w:p>
        </w:tc>
        <w:tc>
          <w:tcPr>
            <w:tcW w:type="dxa" w:w="1728"/>
          </w:tcPr>
          <w:p>
            <w:r/>
            <w:r>
              <w:t>Humans decide; check the agreement rate by name origin on the sample; a failed AI read never leads to rejection by itself</w:t>
            </w:r>
          </w:p>
        </w:tc>
        <w:tc>
          <w:tcPr>
            <w:tcW w:type="dxa" w:w="1728"/>
          </w:tcPr>
          <w:p>
            <w:r/>
            <w:r>
              <w:t>Low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t>Providers do not understand what happens to their documents</w:t>
            </w:r>
          </w:p>
        </w:tc>
        <w:tc>
          <w:tcPr>
            <w:tcW w:type="dxa" w:w="1728"/>
          </w:tcPr>
          <w:p>
            <w:r/>
            <w:r>
              <w:t>Medium / medium</w:t>
            </w:r>
          </w:p>
        </w:tc>
        <w:tc>
          <w:tcPr>
            <w:tcW w:type="dxa" w:w="1728"/>
          </w:tcPr>
          <w:p>
            <w:r/>
            <w:r>
              <w:t>Clear notice at upload and in the privacy policy; contact address</w:t>
            </w:r>
          </w:p>
        </w:tc>
        <w:tc>
          <w:tcPr>
            <w:tcW w:type="dxa" w:w="1728"/>
          </w:tcPr>
          <w:p>
            <w:r/>
            <w:r>
              <w:t>Low</w:t>
            </w:r>
          </w:p>
        </w:tc>
      </w:tr>
    </w:tbl>
    <w:p/>
    <w:p>
      <w:pPr>
        <w:pStyle w:val="Heading2"/>
      </w:pPr>
      <w:r>
        <w:t>4. Consultation</w:t>
      </w:r>
    </w:p>
    <w:p>
      <w:pPr>
        <w:pStyle w:val="ListBullet"/>
      </w:pPr>
      <w:r>
        <w:t>Data protection officer: [not required below the legal thresholds; consult a data protection adviser or lawyer instead].</w:t>
      </w:r>
    </w:p>
    <w:p>
      <w:pPr>
        <w:pStyle w:val="ListBullet"/>
      </w:pPr>
      <w:r>
        <w:t>Affected people: [consider a short test with 3 to 5 providers before launch].</w:t>
      </w:r>
    </w:p>
    <w:p>
      <w:pPr>
        <w:pStyle w:val="ListBullet"/>
      </w:pPr>
      <w:r>
        <w:t>Supervisory authority: prior consultation (Art. 36) is needed only if high risk remains after the measures. [Adviser to confirm; expected: not needed.]</w:t>
      </w:r>
    </w:p>
    <w:p>
      <w:pPr>
        <w:pStyle w:val="Heading2"/>
      </w:pPr>
      <w:r>
        <w:t>5. Conclusion and review</w:t>
      </w:r>
    </w:p>
    <w:p>
      <w:r>
        <w:t>Expected result: the processing is acceptable with the measures above, a human making every decision, and a provider that meets the conditions in section 3. If any of these cannot be met (EU servers, zero retention and no training, a data-processing agreement, lawyer confirmation for criminal-conviction data), the AI step is NOT started for the affected document types.</w:t>
      </w:r>
    </w:p>
    <w:p>
      <w:pPr>
        <w:pStyle w:val="ListBullet"/>
      </w:pPr>
      <w:r>
        <w:t>Decision and date: [owner and adviser sign-off].</w:t>
      </w:r>
    </w:p>
    <w:p>
      <w:pPr>
        <w:pStyle w:val="ListBullet"/>
      </w:pPr>
      <w:r>
        <w:t>Review: after the first [300] documents, then yearly, and whenever the provider, the document types or the purpose change.</w:t>
      </w:r>
    </w:p>
    <w:p>
      <w:pPr>
        <w:pStyle w:val="Heading2"/>
      </w:pPr>
      <w:r>
        <w:t>6. Before the first real document goes to an AI provider</w:t>
      </w:r>
    </w:p>
    <w:p>
      <w:pPr>
        <w:pStyle w:val="ListNumber"/>
      </w:pPr>
      <w:r>
        <w:t>Provider chosen and compared in writing (data location, retention, training, sub-processors, certification, price).</w:t>
      </w:r>
    </w:p>
    <w:p>
      <w:pPr>
        <w:pStyle w:val="ListNumber"/>
      </w:pPr>
      <w:r>
        <w:t>Data-processing agreement signed; list of sub-processors received.</w:t>
      </w:r>
    </w:p>
    <w:p>
      <w:pPr>
        <w:pStyle w:val="ListNumber"/>
      </w:pPr>
      <w:r>
        <w:t>Lawyer confirms the basis for criminal-conviction data and the know-your-trader duty.</w:t>
      </w:r>
    </w:p>
    <w:p>
      <w:pPr>
        <w:pStyle w:val="ListNumber"/>
      </w:pPr>
      <w:r>
        <w:t>Privacy policy and upload notice updated.</w:t>
      </w:r>
    </w:p>
    <w:p>
      <w:pPr>
        <w:pStyle w:val="ListNumber"/>
      </w:pPr>
      <w:r>
        <w:t>Test with sample documents (no real people) and measure agreement with staff.</w:t>
      </w:r>
    </w:p>
    <w:p>
      <w:pPr>
        <w:pStyle w:val="ListNumber"/>
      </w:pPr>
      <w:r>
        <w:t>This DPIA finished and signed.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