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Política de privacidade e governança de dados</w:t>
      </w:r>
    </w:p>
    <w:p>
      <w:r>
        <w:rPr>
          <w:b/>
          <w:color w:val="176B9A"/>
        </w:rPr>
        <w:t>Central de Atendimento Life Engenharia</w:t>
      </w:r>
    </w:p>
    <w:p>
      <w:r>
        <w:rPr>
          <w:b/>
        </w:rPr>
        <w:t>MINUTA PARA REVISÃO JURÍDICA</w:t>
        <w:br/>
      </w:r>
      <w:r>
        <w:t>Versão 0.1 · 21/10/2026 · Não aprovada</w:t>
      </w:r>
    </w:p>
    <w:p>
      <w:r>
        <w:t>Esta minuta descreve o funcionamento planejado da Central de Atendimento. O Jurídico deve validar a identidade da controladora, bases legais, prazos, contratos com fornecedores, transferências internacionais e textos finais antes da utilização com dados reais.</w:t>
      </w:r>
    </w:p>
    <w:p>
      <w:pPr>
        <w:pStyle w:val="Heading1"/>
      </w:pPr>
      <w:r>
        <w:t>1. Identificação e escopo</w:t>
      </w:r>
    </w:p>
    <w:p>
      <w:r>
        <w:t>Esta política se aplica à Central de Atendimento da Life Engenharia (“Life”), utilizada para receber solicitações pelo WhatsApp oficial, organizar triagens, encaminhar atendimentos às equipes e acompanhar a resolução.</w:t>
      </w:r>
    </w:p>
    <w:p>
      <w:r>
        <w:t>O documento cobre mensagens, dados cadastrais, informações técnicas, anexos, registros de atendimento, notificações internas e dados dos operadores.</w:t>
      </w:r>
    </w:p>
    <w:p>
      <w:pPr>
        <w:pStyle w:val="Heading1"/>
      </w:pPr>
      <w:r>
        <w:t>2. Papéis no tratamento</w:t>
      </w:r>
    </w:p>
    <w:p>
      <w:pPr>
        <w:pStyle w:val="ListBullet"/>
      </w:pPr>
      <w:r>
        <w:t>Controladora: Life Engenharia, a confirmar pelo Jurídico.</w:t>
      </w:r>
    </w:p>
    <w:p>
      <w:pPr>
        <w:pStyle w:val="ListBullet"/>
      </w:pPr>
      <w:r>
        <w:t>Operadores e fornecedores: provedores contratados para infraestrutura, mensageria, armazenamento, inteligência artificial, CRM, e-mail e hospedagem.</w:t>
      </w:r>
    </w:p>
    <w:p>
      <w:pPr>
        <w:pStyle w:val="ListBullet"/>
      </w:pPr>
      <w:r>
        <w:t>Usuários internos: colaboradores autorizados por área, cargo e necessidade operacional.</w:t>
      </w:r>
    </w:p>
    <w:p>
      <w:pPr>
        <w:pStyle w:val="ListBullet"/>
      </w:pPr>
      <w:r>
        <w:t>Titulares: clientes, representantes, funcionários de clientes, prestadores e demais pessoas que enviem mensagens ou apareçam nos dados do atendimento.</w:t>
      </w:r>
    </w:p>
    <w:p>
      <w:pPr>
        <w:pStyle w:val="Heading1"/>
      </w:pPr>
      <w:r>
        <w:t>3. Dados tratados</w:t>
      </w:r>
    </w:p>
    <w:p>
      <w:pPr>
        <w:pStyle w:val="Heading2"/>
      </w:pPr>
      <w:r>
        <w:t>3.1 Dados fornecidos pelo solicitante</w:t>
      </w:r>
    </w:p>
    <w:p>
      <w:pPr>
        <w:pStyle w:val="ListBullet"/>
      </w:pPr>
      <w:r>
        <w:t>nome e telefone;</w:t>
      </w:r>
    </w:p>
    <w:p>
      <w:pPr>
        <w:pStyle w:val="ListBullet"/>
      </w:pPr>
      <w:r>
        <w:t>e-mail, quando informado;</w:t>
      </w:r>
    </w:p>
    <w:p>
      <w:pPr>
        <w:pStyle w:val="ListBullet"/>
      </w:pPr>
      <w:r>
        <w:t>empresa, instituição, cidade e unidade;</w:t>
      </w:r>
    </w:p>
    <w:p>
      <w:pPr>
        <w:pStyle w:val="ListBullet"/>
      </w:pPr>
      <w:r>
        <w:t>contrato ou histórico informado;</w:t>
      </w:r>
    </w:p>
    <w:p>
      <w:pPr>
        <w:pStyle w:val="ListBullet"/>
      </w:pPr>
      <w:r>
        <w:t>equipamento, patrimônio, número de série e sintomas;</w:t>
      </w:r>
    </w:p>
    <w:p>
      <w:pPr>
        <w:pStyle w:val="ListBullet"/>
      </w:pPr>
      <w:r>
        <w:t>prazo, impacto, risco, contingência e descrição da necessidade;</w:t>
      </w:r>
    </w:p>
    <w:p>
      <w:pPr>
        <w:pStyle w:val="ListBullet"/>
      </w:pPr>
      <w:r>
        <w:t>documentos, imagens, vídeos e áudios enviados voluntariamente.</w:t>
      </w:r>
    </w:p>
    <w:p>
      <w:pPr>
        <w:pStyle w:val="Heading2"/>
      </w:pPr>
      <w:r>
        <w:t>3.2 Dados gerados pela operação</w:t>
      </w:r>
    </w:p>
    <w:p>
      <w:pPr>
        <w:pStyle w:val="ListBullet"/>
      </w:pPr>
      <w:r>
        <w:t>protocolo, rota, prioridade, fila e status;</w:t>
      </w:r>
    </w:p>
    <w:p>
      <w:pPr>
        <w:pStyle w:val="ListBullet"/>
      </w:pPr>
      <w:r>
        <w:t>mensagens recebidas e enviadas;</w:t>
      </w:r>
    </w:p>
    <w:p>
      <w:pPr>
        <w:pStyle w:val="ListBullet"/>
      </w:pPr>
      <w:r>
        <w:t>responsável, backup, horários, transferências e confirmações;</w:t>
      </w:r>
    </w:p>
    <w:p>
      <w:pPr>
        <w:pStyle w:val="ListBullet"/>
      </w:pPr>
      <w:r>
        <w:t>registros de entrega, leitura e falha;</w:t>
      </w:r>
    </w:p>
    <w:p>
      <w:pPr>
        <w:pStyle w:val="ListBullet"/>
      </w:pPr>
      <w:r>
        <w:t>auditoria, logs técnicos e tentativas de integração.</w:t>
      </w:r>
    </w:p>
    <w:p>
      <w:pPr>
        <w:pStyle w:val="Heading2"/>
      </w:pPr>
      <w:r>
        <w:t>3.3 Dados potencialmente sensíveis</w:t>
      </w:r>
    </w:p>
    <w:p>
      <w:r>
        <w:t>A operação pode receber informações que revelem risco à saúde, funcionamento de hospitais, sangue, medicamentos ou pessoas. O bot deve solicitar somente o mínimo necessário, não deve pedir diagnóstico médico e não deve orientar ações inseguras.</w:t>
      </w:r>
    </w:p>
    <w:p>
      <w:pPr>
        <w:pStyle w:val="Heading1"/>
      </w:pPr>
      <w:r>
        <w:t>4. Finalidades</w:t>
      </w:r>
    </w:p>
    <w:p>
      <w:r>
        <w:t>Os dados são tratados para receber e registrar solicitações; confirmar autorização do atendimento; realizar triagem; encaminhar casos; permitir que operadores assumam, respondam e concluam; criar protocolos e oportunidades; enviar notificações; disponibilizar anexos autorizados; melhorar segurança e auditoria; e cumprir obrigações legais, regulatórias e contratuais.</w:t>
      </w:r>
    </w:p>
    <w:p>
      <w:r>
        <w:t>Não usar os dados para publicidade, venda de listas ou treinamento genérico de modelos sem base legal, transparência e aprovação específica.</w:t>
      </w:r>
    </w:p>
    <w:p>
      <w:pPr>
        <w:pStyle w:val="Heading1"/>
      </w:pPr>
      <w:r>
        <w:t>5. Bases legais a validar</w:t>
      </w:r>
    </w:p>
    <w:p>
      <w:r>
        <w:t>O Jurídico deve confirmar, finalidade por finalidade, a base legal aplicável, que pode incluir execução de contrato ou procedimentos preliminares, legítimo interesse, cumprimento de obrigação legal ou regulatória, exercício regular de direitos e consentimento quando necessário.</w:t>
      </w:r>
    </w:p>
    <w:p>
      <w:r>
        <w:t>O consentimento do fluxo conversacional não substitui a análise jurídica da base legal.</w:t>
      </w:r>
    </w:p>
    <w:p>
      <w:pPr>
        <w:pStyle w:val="Heading1"/>
      </w:pPr>
      <w:r>
        <w:t>6. Compartilhamento e fornecedores</w:t>
      </w:r>
    </w:p>
    <w:p>
      <w:r>
        <w:t>Meta / WhatsApp Cloud API: recebe e envia mensagens pelo número oficial da Life.</w:t>
      </w:r>
    </w:p>
    <w:p>
      <w:r>
        <w:t>Supabase: armazena dados relacionais, mensagens, auditoria e anexos privados.</w:t>
      </w:r>
    </w:p>
    <w:p>
      <w:r>
        <w:t>OpenAI: pode processar triagem, transcrição e leitura/resumo quando habilitado.</w:t>
      </w:r>
    </w:p>
    <w:p>
      <w:r>
        <w:t>Ploomes: pode receber dados mínimos para lead ou oportunidade comercial.</w:t>
      </w:r>
    </w:p>
    <w:p>
      <w:r>
        <w:t>Google Cloud e e-mail corporativo: podem hospedar aplicação, logs e notificações.</w:t>
      </w:r>
    </w:p>
    <w:p>
      <w:r>
        <w:t>O Jurídico deve avaliar termos, localização, transferência internacional, retenção e contratos de cada fornecedor.</w:t>
      </w:r>
    </w:p>
    <w:p>
      <w:pPr>
        <w:pStyle w:val="Heading1"/>
      </w:pPr>
      <w:r>
        <w:t>7. Segurança</w:t>
      </w:r>
    </w:p>
    <w:p>
      <w:r>
        <w:t>A Life deve manter HTTPS; tokens em Secret Manager; rotação de credenciais; autenticação por função; menor privilégio; assinatura dos webhooks; deduplicação; URLs temporárias; backups; logs sem conteúdo sensível desnecessário; e revisão de acessos após mudança ou desligamento.</w:t>
      </w:r>
    </w:p>
    <w:p>
      <w:pPr>
        <w:pStyle w:val="Heading1"/>
      </w:pPr>
      <w:r>
        <w:t>8. Retenção proposta</w:t>
      </w:r>
    </w:p>
    <w:p>
      <w:r>
        <w:t>Os prazos abaixo são propostas para aprovação e devem considerar obrigação legal, necessidade contratual, defesa de direitos e backup.</w:t>
      </w:r>
    </w:p>
    <w:p>
      <w:pPr>
        <w:pStyle w:val="Heading1"/>
      </w:pPr>
      <w:r>
        <w:t>9. Direitos dos titulares</w:t>
      </w:r>
    </w:p>
    <w:p>
      <w:r>
        <w:t>O canal definido pelo Jurídico deverá permitir solicitações de confirmação de tratamento, acesso, correção, anonimização, bloqueio, eliminação, portabilidade quando aplicável, informação sobre compartilhamentos e revogação de consentimento.</w:t>
      </w:r>
    </w:p>
    <w:p>
      <w:r>
        <w:t>Solicitações devem ser autenticadas, registradas, encaminhadas ao responsável e respondidas dentro dos prazos legais aplicáveis.</w:t>
      </w:r>
    </w:p>
    <w:p>
      <w:pPr>
        <w:pStyle w:val="Heading1"/>
      </w:pPr>
      <w:r>
        <w:t>10. Incidentes de segurança</w:t>
      </w:r>
    </w:p>
    <w:p>
      <w:r>
        <w:t>Qualquer suspeita de acesso indevido, vazamento, perda, indisponibilidade ou envio incorreto deve ser registrada imediatamente. O procedimento deve conter contenção, preservação de evidências, avaliação de risco, identificação dos titulares afetados, comunicação interna e decisão sobre comunicação à ANPD e aos titulares.</w:t>
      </w:r>
    </w:p>
    <w:p>
      <w:pPr>
        <w:pStyle w:val="Heading1"/>
      </w:pPr>
      <w:r>
        <w:t>11. Governança e aprovação</w:t>
      </w:r>
    </w:p>
    <w:p>
      <w:pPr>
        <w:pStyle w:val="ListBullet"/>
      </w:pPr>
      <w:r>
        <w:t>Dados do controlador preenchidos</w:t>
      </w:r>
    </w:p>
    <w:p>
      <w:pPr>
        <w:pStyle w:val="ListBullet"/>
      </w:pPr>
      <w:r>
        <w:t>Encarregado/DPO e canal definidos</w:t>
      </w:r>
    </w:p>
    <w:p>
      <w:pPr>
        <w:pStyle w:val="ListBullet"/>
      </w:pPr>
      <w:r>
        <w:t>Bases legais validadas</w:t>
      </w:r>
    </w:p>
    <w:p>
      <w:pPr>
        <w:pStyle w:val="ListBullet"/>
      </w:pPr>
      <w:r>
        <w:t>Contratos dos fornecedores revisados</w:t>
      </w:r>
    </w:p>
    <w:p>
      <w:pPr>
        <w:pStyle w:val="ListBullet"/>
      </w:pPr>
      <w:r>
        <w:t>Transferências internacionais avaliadas</w:t>
      </w:r>
    </w:p>
    <w:p>
      <w:pPr>
        <w:pStyle w:val="ListBullet"/>
      </w:pPr>
      <w:r>
        <w:t>Prazos de retenção aprovados</w:t>
      </w:r>
    </w:p>
    <w:p>
      <w:pPr>
        <w:pStyle w:val="ListBullet"/>
      </w:pPr>
      <w:r>
        <w:t>Procedimento de direitos aprovado</w:t>
      </w:r>
    </w:p>
    <w:p>
      <w:pPr>
        <w:pStyle w:val="ListBullet"/>
      </w:pPr>
      <w:r>
        <w:t>Plano de incidentes aprovado</w:t>
      </w:r>
    </w:p>
    <w:p>
      <w:pPr>
        <w:pStyle w:val="ListBullet"/>
      </w:pPr>
      <w:r>
        <w:t>Backup e restauração testados</w:t>
      </w:r>
    </w:p>
    <w:p>
      <w:pPr>
        <w:pStyle w:val="ListBullet"/>
      </w:pPr>
      <w:r>
        <w:t>Política publicada e versão registrada</w:t>
      </w:r>
    </w:p>
    <w:p>
      <w:pPr>
        <w:pStyle w:val="Heading1"/>
      </w:pPr>
      <w:r>
        <w:t>Tabela de retenção proposta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fill="0B3553"/>
          </w:tcPr>
          <w:p>
            <w:r>
              <w:rPr>
                <w:b/>
                <w:color w:val="FFFFFF"/>
              </w:rPr>
              <w:t>Registro</w:t>
            </w:r>
          </w:p>
        </w:tc>
        <w:tc>
          <w:tcPr>
            <w:tcW w:type="dxa" w:w="3264"/>
            <w:shd w:fill="0B3553"/>
          </w:tcPr>
          <w:p>
            <w:r>
              <w:rPr>
                <w:b/>
                <w:color w:val="FFFFFF"/>
              </w:rPr>
              <w:t>Prazo proposto</w:t>
            </w:r>
          </w:p>
        </w:tc>
        <w:tc>
          <w:tcPr>
            <w:tcW w:type="dxa" w:w="3264"/>
            <w:shd w:fill="0B3553"/>
          </w:tcPr>
          <w:p>
            <w:r>
              <w:rPr>
                <w:b/>
                <w:color w:val="FFFFFF"/>
              </w:rPr>
              <w:t>Ação ao vencer</w:t>
            </w:r>
          </w:p>
        </w:tc>
      </w:tr>
      <w:tr>
        <w:tc>
          <w:tcPr>
            <w:tcW w:type="dxa" w:w="3264"/>
          </w:tcPr>
          <w:p>
            <w:r>
              <w:t>Conversa e protocolo</w:t>
            </w:r>
          </w:p>
        </w:tc>
        <w:tc>
          <w:tcPr>
            <w:tcW w:type="dxa" w:w="3264"/>
          </w:tcPr>
          <w:p>
            <w:r>
              <w:t>180 dias após encerramento</w:t>
            </w:r>
          </w:p>
        </w:tc>
        <w:tc>
          <w:tcPr>
            <w:tcW w:type="dxa" w:w="3264"/>
          </w:tcPr>
          <w:p>
            <w:r>
              <w:t>Anonimizar ou excluir</w:t>
            </w:r>
          </w:p>
        </w:tc>
      </w:tr>
      <w:tr>
        <w:tc>
          <w:tcPr>
            <w:tcW w:type="dxa" w:w="3264"/>
          </w:tcPr>
          <w:p>
            <w:r>
              <w:t>Anexos</w:t>
            </w:r>
          </w:p>
        </w:tc>
        <w:tc>
          <w:tcPr>
            <w:tcW w:type="dxa" w:w="3264"/>
          </w:tcPr>
          <w:p>
            <w:r>
              <w:t>90 dias após encerramento</w:t>
            </w:r>
          </w:p>
        </w:tc>
        <w:tc>
          <w:tcPr>
            <w:tcW w:type="dxa" w:w="3264"/>
          </w:tcPr>
          <w:p>
            <w:r>
              <w:t>Excluir do Storage privado</w:t>
            </w:r>
          </w:p>
        </w:tc>
      </w:tr>
      <w:tr>
        <w:tc>
          <w:tcPr>
            <w:tcW w:type="dxa" w:w="3264"/>
          </w:tcPr>
          <w:p>
            <w:r>
              <w:t>Logs de auditoria</w:t>
            </w:r>
          </w:p>
        </w:tc>
        <w:tc>
          <w:tcPr>
            <w:tcW w:type="dxa" w:w="3264"/>
          </w:tcPr>
          <w:p>
            <w:r>
              <w:t>365 dias</w:t>
            </w:r>
          </w:p>
        </w:tc>
        <w:tc>
          <w:tcPr>
            <w:tcW w:type="dxa" w:w="3264"/>
          </w:tcPr>
          <w:p>
            <w:r>
              <w:t>Revisar e eliminar ou anonimizar</w:t>
            </w:r>
          </w:p>
        </w:tc>
      </w:tr>
      <w:tr>
        <w:tc>
          <w:tcPr>
            <w:tcW w:type="dxa" w:w="3264"/>
          </w:tcPr>
          <w:p>
            <w:r>
              <w:t>Backups</w:t>
            </w:r>
          </w:p>
        </w:tc>
        <w:tc>
          <w:tcPr>
            <w:tcW w:type="dxa" w:w="3264"/>
          </w:tcPr>
          <w:p>
            <w:r>
              <w:t>Política corporativa</w:t>
            </w:r>
          </w:p>
        </w:tc>
        <w:tc>
          <w:tcPr>
            <w:tcW w:type="dxa" w:w="3264"/>
          </w:tcPr>
          <w:p>
            <w:r>
              <w:t>Expirar com evidência</w:t>
            </w:r>
          </w:p>
        </w:tc>
      </w:tr>
      <w:tr>
        <w:tc>
          <w:tcPr>
            <w:tcW w:type="dxa" w:w="3264"/>
          </w:tcPr>
          <w:p>
            <w:r>
              <w:t>Credenciais e tokens</w:t>
            </w:r>
          </w:p>
        </w:tc>
        <w:tc>
          <w:tcPr>
            <w:tcW w:type="dxa" w:w="3264"/>
          </w:tcPr>
          <w:p>
            <w:r>
              <w:t>Até substituição/revogação</w:t>
            </w:r>
          </w:p>
        </w:tc>
        <w:tc>
          <w:tcPr>
            <w:tcW w:type="dxa" w:w="3264"/>
          </w:tcPr>
          <w:p>
            <w:r>
              <w:t>Revogar imediatamente se comprometidos</w:t>
            </w:r>
          </w:p>
        </w:tc>
      </w:tr>
    </w:tbl>
    <w:p>
      <w:pPr>
        <w:pStyle w:val="Heading1"/>
      </w:pPr>
      <w:r>
        <w:t>Campos para preenchimento pelo Jurídico</w:t>
      </w:r>
    </w:p>
    <w:p>
      <w:r>
        <w:t>Razão social e CNPJ: __________________________________________</w:t>
      </w:r>
    </w:p>
    <w:p>
      <w:r>
        <w:t>Endereço: _________________________________________________</w:t>
      </w:r>
    </w:p>
    <w:p>
      <w:r>
        <w:t>Encarregado/DPO e canal: ____________________________________</w:t>
      </w:r>
    </w:p>
    <w:p>
      <w:r>
        <w:t>Canal para solicitações de titulares: __________________________</w:t>
      </w:r>
    </w:p>
    <w:p>
      <w:r>
        <w:t>Responsável por incidentes: _________________________________</w:t>
      </w:r>
    </w:p>
    <w:p>
      <w:r>
        <w:t>Aprovador, cargo e data: ____________________________________</w:t>
      </w:r>
    </w:p>
    <w:sectPr w:rsidR="00FC693F" w:rsidRPr="0006063C" w:rsidSect="00034616">
      <w:footerReference w:type="default" r:id="rId9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Life Engenharia · Minuta para revisão jurídica · Versão 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32D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355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6B9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80"/>
      <w:contextualSpacing/>
    </w:pPr>
    <w:rPr>
      <w:rFonts w:asciiTheme="majorHAnsi" w:eastAsiaTheme="majorEastAsia" w:hAnsiTheme="majorHAnsi" w:cstheme="majorBidi" w:ascii="Aptos Display" w:hAnsi="Aptos Display"/>
      <w:b/>
      <w:color w:val="0B355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Política de privacidade e governança de dados — Central Life</dc:title>
  <dc:subject>Minuta para revisão jurídica</dc:subject>
  <dc:creator>Life Engenharia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