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3A9B115C" w14:textId="519302F1" w:rsidR="00123FBD" w:rsidRDefault="00123FBD" w:rsidP="00982B02">
      <w:r w:rsidRPr="00123FBD">
        <w:t xml:space="preserve">The generalist predatory bug </w:t>
      </w:r>
      <w:r w:rsidRPr="003A0092">
        <w:rPr>
          <w:i/>
          <w:iCs/>
        </w:rPr>
        <w:t>Orius insidiosus</w:t>
      </w:r>
      <w:r w:rsidRPr="00123FBD">
        <w:t xml:space="preserve"> (Heteroptera: Anthocoridae) is a common BCA against Western Flower Thrips (WFT) </w:t>
      </w:r>
      <w:r w:rsidRPr="003A0092">
        <w:rPr>
          <w:i/>
          <w:iCs/>
        </w:rPr>
        <w:t>Frankliniella occidentalis</w:t>
      </w:r>
      <w:r w:rsidRPr="00123FBD">
        <w:t xml:space="preserve"> in greenhouse production of ornamental crops in Canada</w:t>
      </w:r>
    </w:p>
    <w:p w14:paraId="160FAE58" w14:textId="77777777" w:rsidR="00123FBD" w:rsidRDefault="00123FBD" w:rsidP="00982B02"/>
    <w:p w14:paraId="572EAAC5" w14:textId="676415D0" w:rsidR="00982B02" w:rsidRDefault="00123FBD" w:rsidP="00982B02">
      <w:r>
        <w:t xml:space="preserve">In this study, life history parameters of </w:t>
      </w:r>
      <w:r>
        <w:rPr>
          <w:i/>
          <w:iCs/>
        </w:rPr>
        <w:t>O. insidiosus</w:t>
      </w:r>
      <w:r>
        <w:t xml:space="preserve"> were examined under treatments simulating the supplemental lighting greenhouse environment with </w:t>
      </w:r>
      <w:proofErr w:type="gramStart"/>
      <w:r>
        <w:t>particular emphasis</w:t>
      </w:r>
      <w:proofErr w:type="gramEnd"/>
      <w:r>
        <w:t xml:space="preserve">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55A16489" w:rsidR="009B175B" w:rsidRDefault="00906E1A">
      <w:r w:rsidRPr="00906E1A">
        <w:t>Trials were reared in commercial incubators</w:t>
      </w:r>
      <w:r w:rsidR="009F4E0F">
        <w:t xml:space="preserve"> (info)</w:t>
      </w:r>
      <w:r w:rsidRPr="00906E1A">
        <w:t>. Seven treatments were designed to simulate greenhouse conditions under supplemental lighting</w:t>
      </w:r>
      <w:r w:rsidR="00AD3043">
        <w:t xml:space="preserve"> within commercial incubators by controlling</w:t>
      </w:r>
      <w:r w:rsidRPr="00906E1A">
        <w:t xml:space="preserve"> constant temperature</w:t>
      </w:r>
      <w:r w:rsidR="00AD3043">
        <w:t xml:space="preserve">, </w:t>
      </w:r>
      <w:r w:rsidRPr="00906E1A">
        <w:t>photoperiod, lamp type and quality/wavelength, and theoretical light intensity as</w:t>
      </w:r>
      <w:r w:rsidR="00AD3043">
        <w:t xml:space="preserve"> in Table 1</w:t>
      </w:r>
      <w:r w:rsidRPr="00906E1A">
        <w:t>.</w:t>
      </w:r>
      <w:r w:rsidR="009B175B">
        <w:t xml:space="preserve"> </w:t>
      </w:r>
    </w:p>
    <w:p w14:paraId="3EFB4CB7" w14:textId="3D555315" w:rsidR="009B175B" w:rsidRDefault="009B175B">
      <w:r>
        <w:t xml:space="preserve">Temperature and relative humidity (RH) were set by the incubators and monitored using HOBOs. Lamps were installed on the ceiling of the incubators, and varying </w:t>
      </w:r>
      <w:r w:rsidR="00501C73">
        <w:t>intensity</w:t>
      </w:r>
      <w:r>
        <w:t xml:space="preserve"> was established by raising or lowering the platform on which insects were placed on. Spectral output and intensity were verified using a spectroradiometer.</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4F115926" w:rsidR="00AD3043" w:rsidRDefault="00AD3043">
      <w:r w:rsidRPr="00AD3043">
        <w:rPr>
          <w:noProof/>
        </w:rPr>
        <w:drawing>
          <wp:inline distT="0" distB="0" distL="0" distR="0" wp14:anchorId="5C5BEDFC" wp14:editId="0960E940">
            <wp:extent cx="594360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1AC98CFE" w14:textId="77777777" w:rsidR="00AD3043" w:rsidRDefault="00AD3043"/>
    <w:p w14:paraId="33D5AF11" w14:textId="32DE96E0" w:rsidR="00BB0BD9" w:rsidRDefault="00906E1A">
      <w:r>
        <w:t>2.2 Insects</w:t>
      </w:r>
    </w:p>
    <w:p w14:paraId="7BE8EF21" w14:textId="3DF0EA6B" w:rsidR="00BB0BD9" w:rsidRPr="00D93B77" w:rsidRDefault="009B175B" w:rsidP="009B175B">
      <w:r>
        <w:t xml:space="preserve">A colony of </w:t>
      </w:r>
      <w:r w:rsidRPr="009B175B">
        <w:rPr>
          <w:i/>
          <w:iCs/>
        </w:rPr>
        <w:t>O. insidiosus</w:t>
      </w:r>
      <w:r>
        <w:t xml:space="preserve"> was established from commercially available adults</w:t>
      </w:r>
      <w:r w:rsidR="003A0092">
        <w:t xml:space="preserve"> (product </w:t>
      </w:r>
      <w:proofErr w:type="spellStart"/>
      <w:proofErr w:type="gramStart"/>
      <w:r w:rsidR="003A0092">
        <w:t>ino</w:t>
      </w:r>
      <w:proofErr w:type="spellEnd"/>
      <w:r w:rsidR="003A0092">
        <w:t xml:space="preserve">) </w:t>
      </w:r>
      <w:r>
        <w:t xml:space="preserve"> in</w:t>
      </w:r>
      <w:proofErr w:type="gramEnd"/>
      <w:r>
        <w:t xml:space="preserve"> plastic containers</w:t>
      </w:r>
      <w:r w:rsidR="003A0092">
        <w:t xml:space="preserve"> (size)</w:t>
      </w:r>
      <w:r>
        <w:t xml:space="preserve"> with ventilated lids and sterile vermiculite lining the bottom. </w:t>
      </w:r>
      <w:r w:rsidRPr="009B175B">
        <w:rPr>
          <w:i/>
          <w:iCs/>
        </w:rPr>
        <w:t xml:space="preserve">Ephestia </w:t>
      </w:r>
      <w:proofErr w:type="spellStart"/>
      <w:r w:rsidRPr="009B175B">
        <w:rPr>
          <w:i/>
          <w:iCs/>
        </w:rPr>
        <w:t>kuehniella</w:t>
      </w:r>
      <w:proofErr w:type="spellEnd"/>
      <w:r>
        <w:t xml:space="preserve"> eggs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Whole </w:t>
      </w:r>
      <w:r w:rsidRPr="009B175B">
        <w:rPr>
          <w:i/>
          <w:iCs/>
        </w:rPr>
        <w:t>Phaseolus vulgaris</w:t>
      </w:r>
      <w:r>
        <w:t xml:space="preserve"> beans were added as an oviposition substrate, and water-soaked cotton balls as </w:t>
      </w:r>
      <w:r>
        <w:lastRenderedPageBreak/>
        <w:t>source of moisture.</w:t>
      </w:r>
      <w:r w:rsidR="00B950DE">
        <w:t xml:space="preserve"> The growth cabinet containing the colony is set to the same conditions as the Summer treatment (24</w:t>
      </w:r>
      <w:r w:rsidR="00B950DE">
        <w:rPr>
          <w:rFonts w:ascii="DengXian" w:eastAsia="DengXian" w:hAnsi="DengXian" w:hint="eastAsia"/>
        </w:rPr>
        <w:t>°</w:t>
      </w:r>
      <w:r w:rsidR="00B950DE">
        <w:t xml:space="preserve">C, 60% RH, </w:t>
      </w:r>
      <w:r w:rsidR="00D93B77">
        <w:t>L16:D8 photoperiod, 83W/m</w:t>
      </w:r>
      <w:r w:rsidR="00D93B77" w:rsidRPr="00D93B77">
        <w:rPr>
          <w:vertAlign w:val="superscript"/>
        </w:rPr>
        <w:t>2</w:t>
      </w:r>
      <w:r w:rsidR="00D93B77">
        <w:rPr>
          <w:vertAlign w:val="superscript"/>
        </w:rPr>
        <w:t xml:space="preserve"> </w:t>
      </w:r>
      <w:r w:rsidR="00D93B77">
        <w:t>intensity).</w:t>
      </w:r>
    </w:p>
    <w:p w14:paraId="0D19BD11" w14:textId="6B225BAD" w:rsidR="00F37EE2" w:rsidRDefault="001E1E30" w:rsidP="009B175B">
      <w:r>
        <w:t>2.3 Emergence</w:t>
      </w:r>
    </w:p>
    <w:p w14:paraId="2023EAAB" w14:textId="2CB484D9" w:rsidR="00E42500" w:rsidRDefault="00E42500" w:rsidP="009B175B">
      <w:r>
        <w:t>In determining % emergence, beans on which eggs had been oviposited in the colony were placed in small plastic Petri plates (size) and moved to a treatment at random</w:t>
      </w:r>
      <w:r w:rsidR="00D4416E">
        <w:t xml:space="preserve"> (how often?</w:t>
      </w:r>
      <w:proofErr w:type="gramStart"/>
      <w:r w:rsidR="00D4416E">
        <w:t xml:space="preserve">) </w:t>
      </w:r>
      <w:r>
        <w:t>.</w:t>
      </w:r>
      <w:proofErr w:type="gramEnd"/>
      <w:r>
        <w:t xml:space="preserve">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proofErr w:type="gramStart"/>
      <w:r w:rsidR="00D4416E">
        <w:t xml:space="preserve">(?) </w:t>
      </w:r>
      <w:r>
        <w:t>.</w:t>
      </w:r>
      <w:proofErr w:type="gramEnd"/>
      <w:r>
        <w:t xml:space="preserve"> </w:t>
      </w:r>
    </w:p>
    <w:p w14:paraId="000E48EE" w14:textId="23C6C939" w:rsidR="001E1E30" w:rsidRDefault="001E1E30" w:rsidP="009B175B">
      <w:r>
        <w:t>2.4 Nymphal Development</w:t>
      </w:r>
    </w:p>
    <w:p w14:paraId="1C224343" w14:textId="34159AD6" w:rsidR="00B950DE" w:rsidRDefault="00B950DE" w:rsidP="009B175B">
      <w:r>
        <w:t>Smaller colony containers were established in each treatment using individuals from the main colony</w:t>
      </w:r>
      <w:r w:rsidR="00D93B77">
        <w:t xml:space="preserve">, </w:t>
      </w:r>
      <w:r w:rsidR="00D93B77">
        <w:rPr>
          <w:i/>
          <w:iCs/>
        </w:rPr>
        <w:t>Ephestia</w:t>
      </w:r>
      <w:r w:rsidR="00D93B77">
        <w:t xml:space="preserve"> diet, and beans for oviposition (?)</w:t>
      </w:r>
      <w:r>
        <w:t>.</w:t>
      </w:r>
      <w:r w:rsidR="00D93B77">
        <w:t xml:space="preserve"> The colony was checked every 24 hours (?) for newly </w:t>
      </w:r>
      <w:r w:rsidR="003A0092">
        <w:t>eclosed</w:t>
      </w:r>
      <w:r w:rsidR="00D93B77">
        <w:t xml:space="preserve"> nymphs.</w:t>
      </w:r>
      <w:r w:rsidR="003A0092">
        <w:t xml:space="preserve"> </w:t>
      </w:r>
    </w:p>
    <w:p w14:paraId="767E33A6" w14:textId="6BF2B2B0" w:rsidR="001E1E30" w:rsidRDefault="001E1E30" w:rsidP="009B175B">
      <w:r>
        <w:t>2.5 Longevity, Fecundity, and Pre-oviposition Period</w:t>
      </w:r>
    </w:p>
    <w:p w14:paraId="58BE099D" w14:textId="59B223FD"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desiccation 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 incubators for no more than 1 hour at a time.</w:t>
      </w:r>
    </w:p>
    <w:p w14:paraId="35346460" w14:textId="2D259ECA" w:rsidR="000C6B0F" w:rsidRDefault="001E1E30" w:rsidP="009B175B">
      <w:r>
        <w:t>2.6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xml:space="preserve">, and equality of variances using </w:t>
      </w:r>
      <w:proofErr w:type="spellStart"/>
      <w:r w:rsidR="00DA7CB6">
        <w:t>Levene’s</w:t>
      </w:r>
      <w:proofErr w:type="spellEnd"/>
      <w:r w:rsidR="00DA7CB6">
        <w:t xml:space="preserve"> test to satisfy the assumptions of ANOVA tests.</w:t>
      </w:r>
    </w:p>
    <w:p w14:paraId="3B80375B" w14:textId="77777777" w:rsidR="000C6B0F" w:rsidRDefault="000C6B0F" w:rsidP="009B175B"/>
    <w:p w14:paraId="27205723" w14:textId="7313D1E6" w:rsidR="000C6B0F" w:rsidRDefault="000C6B0F" w:rsidP="009B175B"/>
    <w:p w14:paraId="75D871EA" w14:textId="77777777" w:rsidR="001E1E30" w:rsidRDefault="001E1E30"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2D401CB9" w14:textId="7DB2A390" w:rsidR="00BB0BD9" w:rsidRDefault="00BB0BD9">
      <w:r>
        <w:t xml:space="preserve">3.1 Development of </w:t>
      </w:r>
      <w:r w:rsidRPr="00BB0BD9">
        <w:rPr>
          <w:i/>
          <w:iCs/>
        </w:rPr>
        <w:t>Orius insidiosus</w:t>
      </w:r>
      <w:r>
        <w:t xml:space="preserve"> under Seven Supplemental Lighting Treatments</w:t>
      </w:r>
    </w:p>
    <w:p w14:paraId="4939CD76" w14:textId="1E1B6C8B" w:rsidR="00BB0BD9" w:rsidRDefault="00BB0BD9"/>
    <w:p w14:paraId="654511C8" w14:textId="4CDF4AA9" w:rsidR="000F0A52" w:rsidRDefault="000F0A52">
      <w:r>
        <w:t>Treatments: S, W, HPS, HB, HR, LB, LR</w:t>
      </w:r>
    </w:p>
    <w:p w14:paraId="17129254" w14:textId="5E204BC0" w:rsidR="001B6F92" w:rsidRDefault="001B6F92" w:rsidP="000F0A52">
      <w:pPr>
        <w:ind w:left="360"/>
      </w:pPr>
      <w:r>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57CF171F" w14:textId="40CDA02E" w:rsidR="001B6F92" w:rsidRDefault="007C09CD" w:rsidP="001B6F92">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2B86D3C3" w14:textId="37C65E62" w:rsidR="00F17F1D" w:rsidRDefault="00F17F1D" w:rsidP="001B6F92">
      <w:pPr>
        <w:pStyle w:val="ListParagraph"/>
        <w:numPr>
          <w:ilvl w:val="0"/>
          <w:numId w:val="6"/>
        </w:numPr>
      </w:pPr>
      <w:r>
        <w:t>Individuals that lived for less than 1 day</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9E788E" w14:textId="6C7EF8EB" w:rsidR="001B6F92" w:rsidRDefault="001B6F92" w:rsidP="001B6F92">
      <w:pPr>
        <w:ind w:left="360"/>
      </w:pPr>
      <w:r>
        <w:t>Development</w:t>
      </w:r>
    </w:p>
    <w:p w14:paraId="02FD4F56" w14:textId="2ED88621" w:rsidR="000F0A52" w:rsidRDefault="000F0A52" w:rsidP="000F0A52">
      <w:pPr>
        <w:pStyle w:val="ListParagraph"/>
        <w:numPr>
          <w:ilvl w:val="0"/>
          <w:numId w:val="3"/>
        </w:numPr>
        <w:ind w:left="1080"/>
      </w:pPr>
      <w:r>
        <w:t>Development Rate (days for each nymphal instar, and hatch-adult</w:t>
      </w:r>
      <w:r w:rsidR="00C32A6D">
        <w:t>)</w:t>
      </w:r>
    </w:p>
    <w:p w14:paraId="12180FFA" w14:textId="77777777" w:rsidR="00C32A6D" w:rsidRDefault="00C32A6D" w:rsidP="00C32A6D">
      <w:pPr>
        <w:pStyle w:val="ListParagraph"/>
        <w:numPr>
          <w:ilvl w:val="1"/>
          <w:numId w:val="3"/>
        </w:numPr>
      </w:pPr>
      <w:r>
        <w:t>Data manipulations</w:t>
      </w:r>
    </w:p>
    <w:p w14:paraId="4029B653" w14:textId="77777777" w:rsidR="00C32A6D" w:rsidRDefault="00C32A6D" w:rsidP="00C32A6D">
      <w:pPr>
        <w:pStyle w:val="ListParagraph"/>
        <w:numPr>
          <w:ilvl w:val="1"/>
          <w:numId w:val="3"/>
        </w:numPr>
      </w:pPr>
      <w:r>
        <w:t>Figures and Tests</w:t>
      </w:r>
    </w:p>
    <w:p w14:paraId="1B445317" w14:textId="77777777" w:rsidR="00C32A6D" w:rsidRDefault="00C32A6D" w:rsidP="00C32A6D">
      <w:pPr>
        <w:pStyle w:val="ListParagraph"/>
        <w:numPr>
          <w:ilvl w:val="1"/>
          <w:numId w:val="3"/>
        </w:numPr>
      </w:pPr>
      <w:r>
        <w:t>Assumptions</w:t>
      </w:r>
    </w:p>
    <w:p w14:paraId="697EBACB" w14:textId="27345107" w:rsidR="000F0A52" w:rsidRDefault="000F0A52" w:rsidP="000F0A52">
      <w:pPr>
        <w:pStyle w:val="ListParagraph"/>
        <w:numPr>
          <w:ilvl w:val="0"/>
          <w:numId w:val="3"/>
        </w:numPr>
        <w:ind w:left="1080"/>
      </w:pPr>
      <w:r>
        <w:t>%Mortality (percent dead before reaching adult stage)</w:t>
      </w:r>
    </w:p>
    <w:p w14:paraId="55F04AFD" w14:textId="77777777" w:rsidR="00C32A6D" w:rsidRDefault="00C32A6D" w:rsidP="00C32A6D">
      <w:pPr>
        <w:pStyle w:val="ListParagraph"/>
        <w:numPr>
          <w:ilvl w:val="1"/>
          <w:numId w:val="3"/>
        </w:numPr>
      </w:pPr>
      <w:r>
        <w:t>Data manipulations</w:t>
      </w:r>
    </w:p>
    <w:p w14:paraId="7E79AF1D" w14:textId="77777777" w:rsidR="00C32A6D" w:rsidRDefault="00C32A6D" w:rsidP="00C32A6D">
      <w:pPr>
        <w:pStyle w:val="ListParagraph"/>
        <w:numPr>
          <w:ilvl w:val="1"/>
          <w:numId w:val="3"/>
        </w:numPr>
      </w:pPr>
      <w:r>
        <w:t>Figures and Tests</w:t>
      </w:r>
    </w:p>
    <w:p w14:paraId="1D1551D0" w14:textId="0710DF30" w:rsidR="00C32A6D" w:rsidRDefault="00C32A6D" w:rsidP="00C32A6D">
      <w:pPr>
        <w:pStyle w:val="ListParagraph"/>
        <w:numPr>
          <w:ilvl w:val="1"/>
          <w:numId w:val="3"/>
        </w:numPr>
      </w:pPr>
      <w:r>
        <w:t>Assumptions</w:t>
      </w:r>
    </w:p>
    <w:p w14:paraId="25177BA9" w14:textId="2D4EE691" w:rsidR="000F0A52" w:rsidRDefault="000F0A52" w:rsidP="000F0A52">
      <w:pPr>
        <w:pStyle w:val="ListParagraph"/>
        <w:numPr>
          <w:ilvl w:val="0"/>
          <w:numId w:val="3"/>
        </w:numPr>
        <w:ind w:left="1080"/>
      </w:pPr>
      <w:r>
        <w:t>Tibial Length (adults which developed under Treatment</w:t>
      </w:r>
    </w:p>
    <w:p w14:paraId="02A2F393" w14:textId="77777777" w:rsidR="00C32A6D" w:rsidRDefault="00C32A6D" w:rsidP="00C32A6D">
      <w:pPr>
        <w:pStyle w:val="ListParagraph"/>
        <w:numPr>
          <w:ilvl w:val="1"/>
          <w:numId w:val="3"/>
        </w:numPr>
      </w:pPr>
      <w:r>
        <w:t>Data manipulations</w:t>
      </w:r>
    </w:p>
    <w:p w14:paraId="4066EF85" w14:textId="77777777" w:rsidR="00C32A6D" w:rsidRDefault="00C32A6D" w:rsidP="00C32A6D">
      <w:pPr>
        <w:pStyle w:val="ListParagraph"/>
        <w:numPr>
          <w:ilvl w:val="1"/>
          <w:numId w:val="3"/>
        </w:numPr>
      </w:pPr>
      <w:r>
        <w:t>Figures and Tests</w:t>
      </w:r>
    </w:p>
    <w:p w14:paraId="47FFA619" w14:textId="77777777" w:rsidR="00C32A6D" w:rsidRDefault="00C32A6D" w:rsidP="00C32A6D">
      <w:pPr>
        <w:pStyle w:val="ListParagraph"/>
        <w:numPr>
          <w:ilvl w:val="1"/>
          <w:numId w:val="3"/>
        </w:numPr>
      </w:pPr>
      <w:r>
        <w:t>Assumptions</w:t>
      </w:r>
    </w:p>
    <w:p w14:paraId="6B5ABBAE" w14:textId="338F2A26" w:rsidR="000F0A52" w:rsidRDefault="000B5383" w:rsidP="00C77E1E">
      <w:r>
        <w:t>3.2 Adult Life History parameters under Seven Supplemental Lighting Treatments</w:t>
      </w:r>
    </w:p>
    <w:p w14:paraId="6BF96F25" w14:textId="77777777" w:rsidR="009F47FE" w:rsidRDefault="009F47FE" w:rsidP="009F47FE">
      <w:pPr>
        <w:ind w:left="360"/>
      </w:pPr>
      <w:r>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w:t>
      </w:r>
      <w:proofErr w:type="spellStart"/>
      <w:r>
        <w:t>ie</w:t>
      </w:r>
      <w:proofErr w:type="spellEnd"/>
      <w:r>
        <w:t>.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lastRenderedPageBreak/>
        <w:t>Pair</w:t>
      </w:r>
      <w:r w:rsidR="00193C6D">
        <w:t>s</w:t>
      </w:r>
      <w:r>
        <w:t xml:space="preserve"> where either the male or female lived for less than 1 day were removed</w:t>
      </w:r>
      <w:r w:rsidR="00193C6D">
        <w:t>, as there is a</w:t>
      </w:r>
      <w:r w:rsidR="00F17F1D">
        <w:t xml:space="preserve"> good</w:t>
      </w:r>
      <w:r w:rsidR="00193C6D">
        <w:t xml:space="preserve"> </w:t>
      </w:r>
      <w:proofErr w:type="gramStart"/>
      <w:r w:rsidR="00193C6D">
        <w:t>possibility</w:t>
      </w:r>
      <w:proofErr w:type="gramEnd"/>
      <w:r w:rsidR="00193C6D">
        <w:t xml:space="preserve"> they did not mate</w:t>
      </w:r>
    </w:p>
    <w:p w14:paraId="52F3BF29" w14:textId="67C728D1"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16D55E02" w14:textId="1C4B8710" w:rsidR="000F0A52" w:rsidRDefault="0019686C" w:rsidP="0019686C">
      <w:r>
        <w:t xml:space="preserve">3.2.1 </w:t>
      </w:r>
      <w:r w:rsidR="000F0A52">
        <w:t>Adult Longevity (days)</w:t>
      </w:r>
    </w:p>
    <w:p w14:paraId="18892557" w14:textId="437F249D" w:rsidR="005D17E3" w:rsidRDefault="005D17E3" w:rsidP="0019686C">
      <w:r>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xml:space="preserve">, we reject the null hypothesis and conclude there is a significant difference in mean adult longevity across treatment (Two-way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w:t>
      </w:r>
      <w:proofErr w:type="spellStart"/>
      <w:r w:rsidR="00176401">
        <w:t>d.f.</w:t>
      </w:r>
      <w:proofErr w:type="spellEnd"/>
      <w:r w:rsidR="00176401">
        <w:t xml:space="preserve">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w:t>
      </w:r>
      <w:proofErr w:type="spellStart"/>
      <w:r w:rsidR="00176401">
        <w:t>d.f.</w:t>
      </w:r>
      <w:proofErr w:type="spellEnd"/>
      <w:r w:rsidR="00176401">
        <w:t xml:space="preserve">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proofErr w:type="spellStart"/>
      <w:r w:rsidR="00176401">
        <w:t>d.f.</w:t>
      </w:r>
      <w:proofErr w:type="spellEnd"/>
      <w:r w:rsidR="00176401">
        <w:t xml:space="preserve"> = </w:t>
      </w:r>
      <w:r w:rsidR="0086291E">
        <w:t>6, 484)</w:t>
      </w:r>
      <w:r w:rsidR="00176401">
        <w:t>,</w:t>
      </w:r>
      <w:r w:rsidR="0086291E">
        <w:t xml:space="preserve"> evident between the</w:t>
      </w:r>
      <w:r w:rsidR="00176401">
        <w:t xml:space="preserve"> low intensity </w:t>
      </w:r>
      <w:r w:rsidR="0086291E">
        <w:t>LED and remaining treatments (Figure 3)</w:t>
      </w:r>
      <w:r w:rsidR="00176401">
        <w:t xml:space="preserve">. </w:t>
      </w:r>
      <w:r w:rsidR="00AC6673">
        <w:t xml:space="preserve">A Tukey post-hoc test reveals the Summer and High Blue LED treatments are significantly different that the remaining treatments (Figure 2). A </w:t>
      </w:r>
      <w:proofErr w:type="spellStart"/>
      <w:r w:rsidR="00AC6673">
        <w:t>Levene’s</w:t>
      </w:r>
      <w:proofErr w:type="spellEnd"/>
      <w:r w:rsidR="00AC6673">
        <w:t xml:space="preserve"> test confirms an inequality of variances across treatments (</w:t>
      </w:r>
      <w:proofErr w:type="spellStart"/>
      <w:r w:rsidR="00AC6673">
        <w:t>Levene’s</w:t>
      </w:r>
      <w:proofErr w:type="spellEnd"/>
      <w:r w:rsidR="00AC6673">
        <w:t xml:space="preserve"> Test, </w:t>
      </w:r>
      <w:r w:rsidR="00AC6673" w:rsidRPr="00CD35CF">
        <w:t xml:space="preserve">F = 6.80, P = 4.33e-12, </w:t>
      </w:r>
      <w:proofErr w:type="spellStart"/>
      <w:r w:rsidR="00AC6673" w:rsidRPr="00CD35CF">
        <w:t>d.f.</w:t>
      </w:r>
      <w:proofErr w:type="spellEnd"/>
      <w:r w:rsidR="00AC6673" w:rsidRPr="00CD35CF">
        <w:t xml:space="preserve">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d.f.</w:t>
            </w:r>
            <w:proofErr w:type="spellEnd"/>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proofErr w:type="spellStart"/>
            <w:proofErr w:type="gramStart"/>
            <w:r w:rsidRPr="0048762A">
              <w:rPr>
                <w:rFonts w:ascii="Calibri" w:eastAsia="Times New Roman" w:hAnsi="Calibri" w:cs="Calibri"/>
                <w:color w:val="000000"/>
                <w:lang w:eastAsia="en-CA"/>
              </w:rPr>
              <w:t>Treatment:Sex</w:t>
            </w:r>
            <w:proofErr w:type="spellEnd"/>
            <w:proofErr w:type="gramEnd"/>
            <w:r w:rsidRPr="0048762A">
              <w:rPr>
                <w:rFonts w:ascii="Calibri" w:eastAsia="Times New Roman" w:hAnsi="Calibri" w:cs="Calibri"/>
                <w:color w:val="000000"/>
                <w:lang w:eastAsia="en-CA"/>
              </w:rPr>
              <w:t xml:space="preserve">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proofErr w:type="spellStart"/>
      <w:r w:rsidRPr="00CD35CF">
        <w:t>Levene's</w:t>
      </w:r>
      <w:proofErr w:type="spellEnd"/>
      <w:r w:rsidRPr="00CD35CF">
        <w:t xml:space="preserve"> Test result for longevity across Treatment and Sex: (F = 6.80, P = 4.33e-12, </w:t>
      </w:r>
      <w:proofErr w:type="spellStart"/>
      <w:r w:rsidRPr="00CD35CF">
        <w:t>d.f.</w:t>
      </w:r>
      <w:proofErr w:type="spellEnd"/>
      <w:r w:rsidRPr="00CD35CF">
        <w:t xml:space="preserve"> = 13, 484)</w:t>
      </w:r>
    </w:p>
    <w:p w14:paraId="485D38C3" w14:textId="368AAE1F" w:rsidR="005B23D4" w:rsidRDefault="005B23D4" w:rsidP="005B23D4"/>
    <w:p w14:paraId="01469C9A" w14:textId="4E81AE0B" w:rsidR="009F47FE" w:rsidRDefault="009F47FE" w:rsidP="005B23D4"/>
    <w:p w14:paraId="63598D39" w14:textId="4B00F2C7" w:rsidR="000F0A52" w:rsidRDefault="005B23D4" w:rsidP="005B23D4">
      <w:r>
        <w:t xml:space="preserve">3.2.2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w:t>
      </w:r>
      <w:proofErr w:type="spellStart"/>
      <w:r>
        <w:t>d.f.</w:t>
      </w:r>
      <w:proofErr w:type="spellEnd"/>
      <w:r>
        <w:t xml:space="preserve"> = 6, </w:t>
      </w:r>
      <w:r w:rsidR="00DC0C6E">
        <w:t>242</w:t>
      </w:r>
      <w:r>
        <w:t xml:space="preserve">). A Tukey post-hoc test reveals </w:t>
      </w:r>
      <w:r w:rsidR="00DC0C6E">
        <w:t xml:space="preserve">significant groups </w:t>
      </w:r>
      <w:r>
        <w:t xml:space="preserve">(Figure </w:t>
      </w:r>
      <w:r w:rsidR="00DC0C6E">
        <w:t>6</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 xml:space="preserve">-10, </w:t>
      </w:r>
      <w:proofErr w:type="spellStart"/>
      <w:r w:rsidR="00DC0C6E" w:rsidRPr="00D015E3">
        <w:rPr>
          <w:rFonts w:ascii="Calibri" w:eastAsia="Times New Roman" w:hAnsi="Calibri" w:cs="Calibri"/>
          <w:color w:val="000000"/>
          <w:lang w:eastAsia="en-CA"/>
        </w:rPr>
        <w:t>d.f.</w:t>
      </w:r>
      <w:proofErr w:type="spellEnd"/>
      <w:r w:rsidR="00DC0C6E" w:rsidRPr="00D015E3">
        <w:rPr>
          <w:rFonts w:ascii="Calibri" w:eastAsia="Times New Roman" w:hAnsi="Calibri" w:cs="Calibri"/>
          <w:color w:val="000000"/>
          <w:lang w:eastAsia="en-CA"/>
        </w:rPr>
        <w:t xml:space="preserve">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proofErr w:type="spellStart"/>
            <w:r w:rsidRPr="004D7B5C">
              <w:rPr>
                <w:rFonts w:ascii="Calibri" w:eastAsia="Times New Roman" w:hAnsi="Calibri" w:cs="Calibri"/>
                <w:color w:val="000000"/>
                <w:lang w:eastAsia="en-CA"/>
              </w:rPr>
              <w:t>d.f.</w:t>
            </w:r>
            <w:proofErr w:type="spellEnd"/>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proofErr w:type="spellStart"/>
      <w:r w:rsidRPr="00D015E3">
        <w:rPr>
          <w:rFonts w:ascii="Calibri" w:eastAsia="Times New Roman" w:hAnsi="Calibri" w:cs="Calibri"/>
          <w:color w:val="000000"/>
          <w:lang w:eastAsia="en-CA"/>
        </w:rPr>
        <w:t>Levene's</w:t>
      </w:r>
      <w:proofErr w:type="spellEnd"/>
      <w:r w:rsidRPr="00D015E3">
        <w:rPr>
          <w:rFonts w:ascii="Calibri" w:eastAsia="Times New Roman" w:hAnsi="Calibri" w:cs="Calibri"/>
          <w:color w:val="000000"/>
          <w:lang w:eastAsia="en-CA"/>
        </w:rPr>
        <w:t xml:space="preserve">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 xml:space="preserve">-10, </w:t>
      </w:r>
      <w:proofErr w:type="spellStart"/>
      <w:r w:rsidRPr="00D015E3">
        <w:rPr>
          <w:rFonts w:ascii="Calibri" w:eastAsia="Times New Roman" w:hAnsi="Calibri" w:cs="Calibri"/>
          <w:color w:val="000000"/>
          <w:lang w:eastAsia="en-CA"/>
        </w:rPr>
        <w:t>d.f.</w:t>
      </w:r>
      <w:proofErr w:type="spellEnd"/>
      <w:r w:rsidRPr="00D015E3">
        <w:rPr>
          <w:rFonts w:ascii="Calibri" w:eastAsia="Times New Roman" w:hAnsi="Calibri" w:cs="Calibri"/>
          <w:color w:val="000000"/>
          <w:lang w:eastAsia="en-CA"/>
        </w:rPr>
        <w:t xml:space="preserve"> = 6, 242)</w:t>
      </w:r>
    </w:p>
    <w:p w14:paraId="1E43EF71" w14:textId="77777777" w:rsidR="00D015E3" w:rsidRDefault="00D015E3" w:rsidP="00D015E3"/>
    <w:p w14:paraId="71767C79" w14:textId="77777777" w:rsidR="00D015E3" w:rsidRDefault="00D015E3" w:rsidP="00F619DA"/>
    <w:p w14:paraId="32903CE5" w14:textId="08A354DF" w:rsidR="000F0A52" w:rsidRDefault="000F0A52" w:rsidP="00D015E3">
      <w:pPr>
        <w:pStyle w:val="ListParagraph"/>
        <w:numPr>
          <w:ilvl w:val="2"/>
          <w:numId w:val="4"/>
        </w:numPr>
      </w:pPr>
      <w:r>
        <w:t>Pre-oviposition Period</w:t>
      </w:r>
    </w:p>
    <w:p w14:paraId="36CB375F" w14:textId="46D8B0E6" w:rsidR="00E00118" w:rsidRDefault="00E00118" w:rsidP="00E00118">
      <w:r>
        <w:t xml:space="preserve">Pre-oviposition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w:t>
      </w:r>
      <w:proofErr w:type="spellStart"/>
      <w:r>
        <w:t>d.f.</w:t>
      </w:r>
      <w:proofErr w:type="spellEnd"/>
      <w:r>
        <w:t xml:space="preserve"> = 6, 242). A Tukey post-hoc test reveals significant groups (Figure </w:t>
      </w:r>
      <w:r w:rsidR="000243DD">
        <w:t>9</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 xml:space="preserve">-2, </w:t>
      </w:r>
      <w:proofErr w:type="spellStart"/>
      <w:r w:rsidR="000243DD" w:rsidRPr="009F47FE">
        <w:rPr>
          <w:rFonts w:ascii="Calibri" w:eastAsia="Times New Roman" w:hAnsi="Calibri" w:cs="Calibri"/>
          <w:color w:val="000000"/>
          <w:lang w:eastAsia="en-CA"/>
        </w:rPr>
        <w:t>d.f.</w:t>
      </w:r>
      <w:proofErr w:type="spellEnd"/>
      <w:r w:rsidR="000243DD" w:rsidRPr="009F47FE">
        <w:rPr>
          <w:rFonts w:ascii="Calibri" w:eastAsia="Times New Roman" w:hAnsi="Calibri" w:cs="Calibri"/>
          <w:color w:val="000000"/>
          <w:lang w:eastAsia="en-CA"/>
        </w:rPr>
        <w:t xml:space="preserve">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B215020" w14:textId="6B794C7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proofErr w:type="spellStart"/>
            <w:r w:rsidRPr="00D5084F">
              <w:rPr>
                <w:rFonts w:ascii="Calibri" w:eastAsia="Times New Roman" w:hAnsi="Calibri" w:cs="Calibri"/>
                <w:color w:val="000000"/>
                <w:lang w:eastAsia="en-CA"/>
              </w:rPr>
              <w:t>d.f.</w:t>
            </w:r>
            <w:proofErr w:type="spellEnd"/>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18CC45B5" w14:textId="34D58C9C"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5D8DBAB9"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660D522E" w14:textId="17234C4E"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03B687F3" w:rsidR="009F47FE" w:rsidRPr="009F47FE" w:rsidRDefault="009F47FE" w:rsidP="009F47FE">
      <w:pPr>
        <w:spacing w:after="0" w:line="240" w:lineRule="auto"/>
        <w:jc w:val="center"/>
        <w:rPr>
          <w:rFonts w:ascii="Calibri" w:eastAsia="Times New Roman" w:hAnsi="Calibri" w:cs="Calibri"/>
          <w:color w:val="000000"/>
          <w:lang w:eastAsia="en-CA"/>
        </w:rPr>
      </w:pPr>
      <w:proofErr w:type="spellStart"/>
      <w:r w:rsidRPr="009F47FE">
        <w:rPr>
          <w:rFonts w:ascii="Calibri" w:eastAsia="Times New Roman" w:hAnsi="Calibri" w:cs="Calibri"/>
          <w:color w:val="000000"/>
          <w:lang w:eastAsia="en-CA"/>
        </w:rPr>
        <w:t>Levene's</w:t>
      </w:r>
      <w:proofErr w:type="spellEnd"/>
      <w:r w:rsidRPr="009F47FE">
        <w:rPr>
          <w:rFonts w:ascii="Calibri" w:eastAsia="Times New Roman" w:hAnsi="Calibri" w:cs="Calibri"/>
          <w:color w:val="000000"/>
          <w:lang w:eastAsia="en-CA"/>
        </w:rPr>
        <w:t xml:space="preserve">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 xml:space="preserve">-2, </w:t>
      </w:r>
      <w:proofErr w:type="spellStart"/>
      <w:r w:rsidRPr="009F47FE">
        <w:rPr>
          <w:rFonts w:ascii="Calibri" w:eastAsia="Times New Roman" w:hAnsi="Calibri" w:cs="Calibri"/>
          <w:color w:val="000000"/>
          <w:lang w:eastAsia="en-CA"/>
        </w:rPr>
        <w:t>d.f.</w:t>
      </w:r>
      <w:proofErr w:type="spellEnd"/>
      <w:r w:rsidRPr="009F47FE">
        <w:rPr>
          <w:rFonts w:ascii="Calibri" w:eastAsia="Times New Roman" w:hAnsi="Calibri" w:cs="Calibri"/>
          <w:color w:val="000000"/>
          <w:lang w:eastAsia="en-CA"/>
        </w:rPr>
        <w:t xml:space="preserve"> = 6, 242)</w:t>
      </w:r>
    </w:p>
    <w:p w14:paraId="7F224504" w14:textId="77777777" w:rsidR="009F47FE" w:rsidRDefault="009F47FE" w:rsidP="009F47FE"/>
    <w:p w14:paraId="3DED9BEE" w14:textId="5FFEAE4E" w:rsidR="009F47FE" w:rsidRDefault="009F47FE"/>
    <w:p w14:paraId="4871C173" w14:textId="6CCCE141" w:rsidR="009F47FE" w:rsidRDefault="009F47FE" w:rsidP="000243DD">
      <w:pPr>
        <w:pStyle w:val="ListParagraph"/>
        <w:numPr>
          <w:ilvl w:val="2"/>
          <w:numId w:val="4"/>
        </w:numPr>
      </w:pPr>
      <w:r>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w:t>
      </w:r>
      <w:proofErr w:type="spellStart"/>
      <w:r>
        <w:t>d.f.</w:t>
      </w:r>
      <w:proofErr w:type="spellEnd"/>
      <w:r>
        <w:t xml:space="preserve"> = 6, 242). A Tukey post-hoc test reveals significant groups (Figure 12). A </w:t>
      </w:r>
      <w:proofErr w:type="spellStart"/>
      <w:r>
        <w:t>Levene’s</w:t>
      </w:r>
      <w:proofErr w:type="spellEnd"/>
      <w:r>
        <w:t xml:space="preserve"> test confirms an inequality of variances across treatments (</w:t>
      </w:r>
      <w:proofErr w:type="spellStart"/>
      <w:r>
        <w:t>Levene’s</w:t>
      </w:r>
      <w:proofErr w:type="spellEnd"/>
      <w:r>
        <w:t xml:space="preserve"> Test, </w:t>
      </w:r>
      <w:r w:rsidRPr="00104D63">
        <w:t>F = 8.22, P = 4.13</w:t>
      </w:r>
      <w:r>
        <w:t>E</w:t>
      </w:r>
      <w:r w:rsidRPr="00104D63">
        <w:t xml:space="preserve">-8, </w:t>
      </w:r>
      <w:proofErr w:type="spellStart"/>
      <w:r w:rsidRPr="00104D63">
        <w:t>d.f.</w:t>
      </w:r>
      <w:proofErr w:type="spellEnd"/>
      <w:r w:rsidRPr="00104D63">
        <w:t xml:space="preserve">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proofErr w:type="spellStart"/>
            <w:r w:rsidRPr="008C1AE1">
              <w:rPr>
                <w:rFonts w:ascii="Calibri" w:eastAsia="Times New Roman" w:hAnsi="Calibri" w:cs="Calibri"/>
                <w:color w:val="000000"/>
                <w:lang w:eastAsia="en-CA"/>
              </w:rPr>
              <w:t>d.f.</w:t>
            </w:r>
            <w:proofErr w:type="spellEnd"/>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proofErr w:type="spellStart"/>
      <w:r w:rsidRPr="00104D63">
        <w:t>Levene's</w:t>
      </w:r>
      <w:proofErr w:type="spellEnd"/>
      <w:r w:rsidRPr="00104D63">
        <w:t xml:space="preserve"> Test result for oviposition period across Treatment: (F = 8.22, P = 4.13</w:t>
      </w:r>
      <w:r w:rsidR="005D17E3">
        <w:t>E</w:t>
      </w:r>
      <w:r w:rsidRPr="00104D63">
        <w:t xml:space="preserve">-8, </w:t>
      </w:r>
      <w:proofErr w:type="spellStart"/>
      <w:r w:rsidRPr="00104D63">
        <w:t>d.f.</w:t>
      </w:r>
      <w:proofErr w:type="spellEnd"/>
      <w:r w:rsidRPr="00104D63">
        <w:t xml:space="preserve"> = 6, 242)</w:t>
      </w:r>
    </w:p>
    <w:p w14:paraId="2E750028" w14:textId="77777777" w:rsidR="00104D63" w:rsidRDefault="00104D63"/>
    <w:p w14:paraId="3497CA16" w14:textId="7606DA70" w:rsidR="000F0A52" w:rsidRDefault="000F0A52">
      <w:r>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tab/>
        <w:t>- Low intensity LED may be so low that it had impact, possibly responsible for interaction effect in Longevity</w:t>
      </w:r>
    </w:p>
    <w:p w14:paraId="1A34B839" w14:textId="1139EABD" w:rsidR="00CF1EF5" w:rsidRDefault="00CF1EF5">
      <w:r>
        <w:lastRenderedPageBreak/>
        <w:t>- Fecundity: warmer treatments produce females producing eggs faster (though for not as long)</w:t>
      </w:r>
    </w:p>
    <w:sectPr w:rsidR="00CF1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B5383"/>
    <w:rsid w:val="000C6B0F"/>
    <w:rsid w:val="000D6F63"/>
    <w:rsid w:val="000F0A52"/>
    <w:rsid w:val="00104D63"/>
    <w:rsid w:val="0010532A"/>
    <w:rsid w:val="00123FBD"/>
    <w:rsid w:val="00176401"/>
    <w:rsid w:val="001827D7"/>
    <w:rsid w:val="00193C6D"/>
    <w:rsid w:val="0019686C"/>
    <w:rsid w:val="001B6F92"/>
    <w:rsid w:val="001C2E5A"/>
    <w:rsid w:val="001D24E0"/>
    <w:rsid w:val="001E1E30"/>
    <w:rsid w:val="00282688"/>
    <w:rsid w:val="002C45B8"/>
    <w:rsid w:val="003A0092"/>
    <w:rsid w:val="00455B04"/>
    <w:rsid w:val="0048762A"/>
    <w:rsid w:val="00494B78"/>
    <w:rsid w:val="004D09D3"/>
    <w:rsid w:val="004D7B5C"/>
    <w:rsid w:val="004E5612"/>
    <w:rsid w:val="00501C73"/>
    <w:rsid w:val="005034AD"/>
    <w:rsid w:val="0058612C"/>
    <w:rsid w:val="005933CD"/>
    <w:rsid w:val="005B23D4"/>
    <w:rsid w:val="005D17E3"/>
    <w:rsid w:val="005F124D"/>
    <w:rsid w:val="00632928"/>
    <w:rsid w:val="00640F12"/>
    <w:rsid w:val="00654D5D"/>
    <w:rsid w:val="0069039D"/>
    <w:rsid w:val="006E2DD7"/>
    <w:rsid w:val="007047C8"/>
    <w:rsid w:val="007641BB"/>
    <w:rsid w:val="0077186B"/>
    <w:rsid w:val="007C09CD"/>
    <w:rsid w:val="007E61C7"/>
    <w:rsid w:val="00837ADA"/>
    <w:rsid w:val="0086291E"/>
    <w:rsid w:val="008A0CF0"/>
    <w:rsid w:val="008C1AE1"/>
    <w:rsid w:val="008E5DD0"/>
    <w:rsid w:val="00906E1A"/>
    <w:rsid w:val="00982B02"/>
    <w:rsid w:val="009B175B"/>
    <w:rsid w:val="009F47FE"/>
    <w:rsid w:val="009F4E0F"/>
    <w:rsid w:val="00A62153"/>
    <w:rsid w:val="00AC6673"/>
    <w:rsid w:val="00AD3043"/>
    <w:rsid w:val="00B5441D"/>
    <w:rsid w:val="00B950DE"/>
    <w:rsid w:val="00BB0BD9"/>
    <w:rsid w:val="00BD40E4"/>
    <w:rsid w:val="00C32A6D"/>
    <w:rsid w:val="00C370D6"/>
    <w:rsid w:val="00C407FF"/>
    <w:rsid w:val="00C77E1E"/>
    <w:rsid w:val="00CB07A7"/>
    <w:rsid w:val="00CD35CF"/>
    <w:rsid w:val="00CF1EF5"/>
    <w:rsid w:val="00CF5448"/>
    <w:rsid w:val="00D015E3"/>
    <w:rsid w:val="00D4416E"/>
    <w:rsid w:val="00D5084F"/>
    <w:rsid w:val="00D93B77"/>
    <w:rsid w:val="00DA7CB6"/>
    <w:rsid w:val="00DC0C6E"/>
    <w:rsid w:val="00E00118"/>
    <w:rsid w:val="00E146B5"/>
    <w:rsid w:val="00E42500"/>
    <w:rsid w:val="00F12C79"/>
    <w:rsid w:val="00F17F1D"/>
    <w:rsid w:val="00F23DC4"/>
    <w:rsid w:val="00F36D8F"/>
    <w:rsid w:val="00F37EE2"/>
    <w:rsid w:val="00F619DA"/>
    <w:rsid w:val="00FE1859"/>
    <w:rsid w:val="00FE6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4210</TotalTime>
  <Pages>18</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6</cp:revision>
  <dcterms:created xsi:type="dcterms:W3CDTF">2020-07-24T15:55:00Z</dcterms:created>
  <dcterms:modified xsi:type="dcterms:W3CDTF">2020-07-27T14:07:00Z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