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lineRule="auto" w:line="276"/>
        <w:rPr>
          <w:rFonts w:ascii="Times New Roman" w:hAnsi="Times New Roman" w:eastAsia="Times New Roman" w:cs="Times New Roman"/>
          <w:sz w:val="22"/>
          <w:szCs w:val="22"/>
        </w:rPr>
      </w:pPr>
      <w:bookmarkStart w:id="0" w:name="_heading=h.gjdgxs"/>
      <w:bookmarkEnd w:id="0"/>
      <w:r>
        <w:rPr>
          <w:rFonts w:eastAsia="Times New Roman" w:cs="Times New Roman" w:ascii="Times New Roman" w:hAnsi="Times New Roman"/>
          <w:sz w:val="22"/>
          <w:szCs w:val="22"/>
        </w:rPr>
        <w:t>ДОГОВОР ЗАЙМА №@&lt;CONTRACT_NUM&gt;@</w:t>
      </w:r>
    </w:p>
    <w:p>
      <w:pPr>
        <w:pStyle w:val="Normal"/>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Екатеринбург</w:t>
      </w:r>
      <w:r>
        <w:rPr>
          <w:rFonts w:eastAsia="Times New Roman" w:cs="Times New Roman" w:ascii="Times New Roman" w:hAnsi="Times New Roman"/>
          <w:color w:val="000000"/>
          <w:sz w:val="22"/>
          <w:szCs w:val="22"/>
        </w:rPr>
        <w:tab/>
        <w:t xml:space="preserve">                                                                                               </w:t>
        <w:tab/>
        <w:tab/>
        <w:t xml:space="preserve">  @&lt;DATE&gt;@</w:t>
      </w:r>
    </w:p>
    <w:p>
      <w:pPr>
        <w:pStyle w:val="Normal"/>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Общество с ограниченной ответственностью «Русский Тоннаж»</w:t>
      </w:r>
      <w:r>
        <w:rPr>
          <w:rFonts w:eastAsia="Times New Roman" w:cs="Times New Roman" w:ascii="Times New Roman" w:hAnsi="Times New Roman"/>
          <w:sz w:val="22"/>
          <w:szCs w:val="22"/>
        </w:rPr>
        <w:t xml:space="preserve"> ОГРН 1172375061891, в лице Директора Пугачева Тимофея Валерьевича, действующего на основании Устава, именуемое в дальнейшем </w:t>
      </w:r>
      <w:r>
        <w:rPr>
          <w:rFonts w:eastAsia="Times New Roman" w:cs="Times New Roman" w:ascii="Times New Roman" w:hAnsi="Times New Roman"/>
          <w:b/>
          <w:sz w:val="22"/>
          <w:szCs w:val="22"/>
        </w:rPr>
        <w:t>«Заемщик»</w:t>
      </w:r>
      <w:r>
        <w:rPr>
          <w:rFonts w:eastAsia="Times New Roman" w:cs="Times New Roman" w:ascii="Times New Roman" w:hAnsi="Times New Roman"/>
          <w:sz w:val="22"/>
          <w:szCs w:val="22"/>
        </w:rPr>
        <w:t xml:space="preserve">, с одной стороны и,  </w:t>
      </w:r>
    </w:p>
    <w:p>
      <w:pPr>
        <w:pStyle w:val="Normal"/>
        <w:spacing w:lineRule="auto" w:line="276"/>
        <w:ind w:firstLine="708"/>
        <w:jc w:val="both"/>
        <w:rPr>
          <w:rFonts w:ascii="Times New Roman" w:hAnsi="Times New Roman" w:eastAsia="Times New Roman" w:cs="Times New Roman"/>
          <w:sz w:val="22"/>
          <w:szCs w:val="22"/>
        </w:rPr>
      </w:pPr>
      <w:r>
        <w:rPr>
          <w:rFonts w:eastAsia="Times New Roman" w:cs="Times New Roman" w:ascii="Times New Roman" w:hAnsi="Times New Roman"/>
          <w:b/>
          <w:sz w:val="22"/>
          <w:szCs w:val="22"/>
        </w:rPr>
        <w:t>Гражданин РФ</w:t>
      </w:r>
      <w:r>
        <w:rPr>
          <w:rFonts w:eastAsia="Times New Roman" w:cs="Times New Roman" w:ascii="Times New Roman" w:hAnsi="Times New Roman"/>
          <w:sz w:val="22"/>
          <w:szCs w:val="22"/>
        </w:rPr>
        <w:t xml:space="preserve"> </w:t>
      </w:r>
      <w:r>
        <w:rPr>
          <w:rFonts w:eastAsia="Times New Roman" w:cs="Times New Roman" w:ascii="Times New Roman" w:hAnsi="Times New Roman"/>
          <w:sz w:val="22"/>
          <w:szCs w:val="22"/>
          <w:u w:val="single"/>
        </w:rPr>
        <w:t>@&lt;FIO_FULL&gt;@</w:t>
      </w:r>
      <w:r>
        <w:rPr>
          <w:rFonts w:eastAsia="Times New Roman" w:cs="Times New Roman" w:ascii="Times New Roman" w:hAnsi="Times New Roman"/>
          <w:sz w:val="22"/>
          <w:szCs w:val="22"/>
        </w:rPr>
        <w:t>, именуемый в дальнейшем «</w:t>
      </w:r>
      <w:r>
        <w:rPr>
          <w:rFonts w:eastAsia="Times New Roman" w:cs="Times New Roman" w:ascii="Times New Roman" w:hAnsi="Times New Roman"/>
          <w:b/>
          <w:sz w:val="22"/>
          <w:szCs w:val="22"/>
        </w:rPr>
        <w:t>Займодавец</w:t>
      </w:r>
      <w:r>
        <w:rPr>
          <w:rFonts w:eastAsia="Times New Roman" w:cs="Times New Roman" w:ascii="Times New Roman" w:hAnsi="Times New Roman"/>
          <w:sz w:val="22"/>
          <w:szCs w:val="22"/>
        </w:rPr>
        <w:t xml:space="preserve">», с другой стороны, при совместном упоминании «Стороны», заключили настоящий договор о нижеследующем: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ПРЕДМЕТ ДОГОВОРА</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Согласно условиям настоящего Договора, Займодавец обязуется передать Заемщику одновременно с заключением настоящего Договора заём на сумму </w:t>
      </w:r>
      <w:r>
        <w:rPr>
          <w:rFonts w:eastAsia="Times New Roman" w:cs="Times New Roman" w:ascii="Times New Roman" w:hAnsi="Times New Roman"/>
          <w:b/>
          <w:sz w:val="22"/>
          <w:szCs w:val="22"/>
        </w:rPr>
        <w:t>@&lt;SUMM_NUMBER&gt;@ (@&lt;SUMM_TEXT&gt;@) рублей</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далее – «Сумма займа»</w:t>
      </w:r>
      <w:r>
        <w:rPr>
          <w:rFonts w:eastAsia="Times New Roman" w:cs="Times New Roman" w:ascii="Times New Roman" w:hAnsi="Times New Roman"/>
          <w:sz w:val="22"/>
          <w:szCs w:val="22"/>
        </w:rPr>
        <w:t>), а Заёмщик обязуется возвратить указанную сумму займа в обусловленный Договором срок и уплатить начисленные на нее проценты.</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выдается сроком на 12 месяцев с даты зачисления указанных в п.1.1. Договора денежных средств на расчетный счет Заёмщика, и подлежит возврату не позднее @&lt;CONTRACT_TERM&gt;@</w:t>
      </w:r>
      <w:r>
        <w:rPr>
          <w:b/>
          <w:sz w:val="23"/>
        </w:rPr>
        <w:t>.</w:t>
      </w:r>
      <w:r>
        <w:rPr>
          <w:rFonts w:eastAsia="Times New Roman" w:cs="Times New Roman" w:ascii="Times New Roman" w:hAnsi="Times New Roman"/>
          <w:sz w:val="22"/>
          <w:szCs w:val="22"/>
        </w:rPr>
        <w:t xml:space="preserve">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Сумма Займа может быть возвращена Заемщиком досрочно в любой момент, после выдачи суммы займа с письменным уведомлением об этом Займодавца за 90 календарных дней. При этом проценты на сумму займа подлежат начислению до даты фактического возврата.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Обязательства по возврату суммы займа считаются исполненными с даты зачисления денежных средств на расчетный счет Займодавца. </w:t>
      </w:r>
    </w:p>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 пользование Суммой займа Заёмщик обязан уплатить Займодавцу проценты в размере </w:t>
      </w:r>
      <w:r>
        <w:rPr>
          <w:rFonts w:eastAsia="Times New Roman" w:cs="Times New Roman" w:ascii="Times New Roman" w:hAnsi="Times New Roman"/>
          <w:b/>
          <w:sz w:val="22"/>
          <w:szCs w:val="22"/>
        </w:rPr>
        <w:t xml:space="preserve">@&lt;PERCENT_NUMBER&gt;@ </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@&lt;PERCENT_TEXT&gt;@</w:t>
      </w:r>
      <w:r>
        <w:rPr>
          <w:rFonts w:eastAsia="Times New Roman" w:cs="Times New Roman" w:ascii="Times New Roman" w:hAnsi="Times New Roman"/>
          <w:sz w:val="22"/>
          <w:szCs w:val="22"/>
        </w:rPr>
        <w:t xml:space="preserve">) </w:t>
      </w:r>
      <w:r>
        <w:rPr>
          <w:rFonts w:eastAsia="Times New Roman" w:cs="Times New Roman" w:ascii="Times New Roman" w:hAnsi="Times New Roman"/>
          <w:b/>
          <w:sz w:val="22"/>
          <w:szCs w:val="22"/>
        </w:rPr>
        <w:t>%</w:t>
      </w:r>
      <w:r>
        <w:rPr>
          <w:rFonts w:eastAsia="Times New Roman" w:cs="Times New Roman" w:ascii="Times New Roman" w:hAnsi="Times New Roman"/>
          <w:sz w:val="22"/>
          <w:szCs w:val="22"/>
        </w:rPr>
        <w:t xml:space="preserve"> годовых от Суммы займа. Выплата процентов осуществляется </w:t>
      </w:r>
      <w:r>
        <w:rPr>
          <w:rFonts w:eastAsia="Times New Roman" w:cs="Times New Roman" w:ascii="Times New Roman" w:hAnsi="Times New Roman"/>
          <w:b/>
          <w:sz w:val="22"/>
          <w:szCs w:val="22"/>
        </w:rPr>
        <w:t>ежемесячно</w:t>
      </w:r>
      <w:r>
        <w:rPr>
          <w:rFonts w:eastAsia="Times New Roman" w:cs="Times New Roman" w:ascii="Times New Roman" w:hAnsi="Times New Roman"/>
          <w:sz w:val="22"/>
          <w:szCs w:val="22"/>
        </w:rPr>
        <w:t xml:space="preserve"> равными платежами согласно графику:</w:t>
      </w:r>
    </w:p>
    <w:tbl>
      <w:tblPr>
        <w:tblW w:w="9339" w:type="dxa"/>
        <w:jc w:val="left"/>
        <w:tblInd w:w="0" w:type="dxa"/>
        <w:tblLayout w:type="fixed"/>
        <w:tblCellMar>
          <w:top w:w="0" w:type="dxa"/>
          <w:left w:w="108" w:type="dxa"/>
          <w:bottom w:w="0" w:type="dxa"/>
          <w:right w:w="108" w:type="dxa"/>
        </w:tblCellMar>
        <w:tblLook w:val="0000" w:noHBand="0" w:noVBand="0" w:firstColumn="0" w:lastRow="0" w:lastColumn="0" w:firstRow="0"/>
      </w:tblPr>
      <w:tblGrid>
        <w:gridCol w:w="565"/>
        <w:gridCol w:w="1342"/>
        <w:gridCol w:w="1950"/>
        <w:gridCol w:w="1949"/>
        <w:gridCol w:w="1894"/>
        <w:gridCol w:w="1638"/>
      </w:tblGrid>
      <w:tr>
        <w:trPr/>
        <w:tc>
          <w:tcPr>
            <w:tcW w:w="565"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 xml:space="preserve">№ </w:t>
            </w:r>
            <w:r>
              <w:rPr>
                <w:rFonts w:eastAsia="Times New Roman" w:cs="Times New Roman" w:ascii="Times New Roman" w:hAnsi="Times New Roman"/>
                <w:b/>
                <w:sz w:val="16"/>
                <w:szCs w:val="16"/>
              </w:rPr>
              <w:t>п/п</w:t>
            </w:r>
          </w:p>
        </w:tc>
        <w:tc>
          <w:tcPr>
            <w:tcW w:w="1342" w:type="dxa"/>
            <w:vMerge w:val="restart"/>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Дата погашения</w:t>
            </w:r>
          </w:p>
        </w:tc>
        <w:tc>
          <w:tcPr>
            <w:tcW w:w="5793" w:type="dxa"/>
            <w:gridSpan w:val="3"/>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процентов: @&lt;PERCENT_NUMBER&gt;@</w:t>
            </w:r>
          </w:p>
        </w:tc>
        <w:tc>
          <w:tcPr>
            <w:tcW w:w="1638" w:type="dxa"/>
            <w:vMerge w:val="restart"/>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b/>
                <w:sz w:val="16"/>
                <w:szCs w:val="16"/>
              </w:rPr>
            </w:pPr>
            <w:r>
              <w:rPr>
                <w:rFonts w:eastAsia="Times New Roman" w:cs="Times New Roman" w:ascii="Times New Roman" w:hAnsi="Times New Roman"/>
                <w:b/>
                <w:sz w:val="16"/>
                <w:szCs w:val="16"/>
              </w:rPr>
            </w:r>
          </w:p>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основного долга</w:t>
            </w:r>
          </w:p>
        </w:tc>
      </w:tr>
      <w:tr>
        <w:trPr/>
        <w:tc>
          <w:tcPr>
            <w:tcW w:w="565"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342" w:type="dxa"/>
            <w:vMerge w:val="continue"/>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c>
          <w:tcPr>
            <w:tcW w:w="1950"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Сумма платежа</w:t>
            </w:r>
          </w:p>
        </w:tc>
        <w:tc>
          <w:tcPr>
            <w:tcW w:w="1949"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Удерживаемая сумма налога</w:t>
            </w:r>
          </w:p>
        </w:tc>
        <w:tc>
          <w:tcPr>
            <w:tcW w:w="1894" w:type="dxa"/>
            <w:tcBorders>
              <w:top w:val="single" w:sz="4" w:space="0" w:color="000000"/>
              <w:left w:val="single" w:sz="4" w:space="0" w:color="000000"/>
              <w:bottom w:val="single" w:sz="4" w:space="0" w:color="000000"/>
            </w:tcBorders>
            <w:shd w:color="auto" w:fill="F2F2F2"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b/>
                <w:sz w:val="16"/>
                <w:szCs w:val="16"/>
              </w:rPr>
              <w:t>Итоговая сумма выплаты Займодавцу</w:t>
            </w:r>
          </w:p>
        </w:tc>
        <w:tc>
          <w:tcPr>
            <w:tcW w:w="1638" w:type="dxa"/>
            <w:vMerge w:val="continue"/>
            <w:tcBorders>
              <w:top w:val="single" w:sz="4" w:space="0" w:color="000000"/>
              <w:left w:val="single" w:sz="4" w:space="0" w:color="000000"/>
              <w:bottom w:val="single" w:sz="4" w:space="0" w:color="000000"/>
              <w:right w:val="single" w:sz="4" w:space="0" w:color="000000"/>
            </w:tcBorders>
            <w:shd w:color="auto" w:fill="F2F2F2" w:val="clear"/>
          </w:tcPr>
          <w:p>
            <w:pPr>
              <w:pStyle w:val="Normal"/>
              <w:widowControl w:val="false"/>
              <w:spacing w:lineRule="auto" w:line="276"/>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565"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1</w:t>
            </w:r>
          </w:p>
        </w:tc>
        <w:tc>
          <w:tcPr>
            <w:tcW w:w="1342"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right"/>
              <w:rPr>
                <w:rFonts w:ascii="Times New Roman" w:hAnsi="Times New Roman" w:eastAsia="Times New Roman" w:cs="Times New Roman"/>
                <w:sz w:val="16"/>
                <w:szCs w:val="16"/>
                <w:lang w:val="en-US"/>
              </w:rPr>
            </w:pPr>
            <w:r>
              <w:rPr>
                <w:rFonts w:eastAsia="Times New Roman" w:cs="Times New Roman" w:ascii="Times New Roman" w:hAnsi="Times New Roman"/>
                <w:sz w:val="16"/>
                <w:szCs w:val="16"/>
              </w:rPr>
              <w:t>-</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jc w:val="center"/>
              <w:rPr>
                <w:rFonts w:ascii="Times New Roman" w:hAnsi="Times New Roman" w:eastAsia="Times New Roman" w:cs="Times New Roman"/>
                <w:sz w:val="16"/>
                <w:szCs w:val="16"/>
              </w:rPr>
            </w:pPr>
            <w:r>
              <w:rPr>
                <w:rFonts w:eastAsia="Times New Roman" w:cs="Times New Roman" w:ascii="Times New Roman" w:hAnsi="Times New Roman"/>
                <w:sz w:val="16"/>
                <w:szCs w:val="16"/>
              </w:rPr>
              <w:t>-</w:t>
            </w:r>
          </w:p>
        </w:tc>
      </w:tr>
      <w:tr>
        <w:trPr/>
        <w:tc>
          <w:tcPr>
            <w:tcW w:w="1907" w:type="dxa"/>
            <w:gridSpan w:val="2"/>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ИТОГО</w:t>
            </w:r>
          </w:p>
        </w:tc>
        <w:tc>
          <w:tcPr>
            <w:tcW w:w="1950"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949"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894" w:type="dxa"/>
            <w:tcBorders>
              <w:top w:val="single" w:sz="4" w:space="0" w:color="000000"/>
              <w:left w:val="single" w:sz="4" w:space="0" w:color="000000"/>
              <w:bottom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c>
          <w:tcPr>
            <w:tcW w:w="1638"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120"/>
              <w:rPr>
                <w:b/>
                <w:bCs/>
              </w:rPr>
            </w:pPr>
            <w:r>
              <w:rPr>
                <w:rFonts w:eastAsia="Times New Roman" w:cs="Times New Roman" w:ascii="Times New Roman" w:hAnsi="Times New Roman"/>
                <w:b/>
                <w:bCs/>
                <w:sz w:val="16"/>
                <w:szCs w:val="16"/>
              </w:rPr>
              <w:t>-</w:t>
            </w:r>
          </w:p>
        </w:tc>
      </w:tr>
    </w:tbl>
    <w:p>
      <w:pPr>
        <w:pStyle w:val="Normal"/>
        <w:numPr>
          <w:ilvl w:val="1"/>
          <w:numId w:val="1"/>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 xml:space="preserve">Заёмщик, выступая налоговым агентом Заимодавца, с каждой выплаты процентов удерживает налог на доходы физических лиц (НДФЛ) в размере 13% от суммы платежа. </w:t>
      </w:r>
    </w:p>
    <w:p>
      <w:pPr>
        <w:pStyle w:val="Normal"/>
        <w:numPr>
          <w:ilvl w:val="1"/>
          <w:numId w:val="1"/>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подлежит использованию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для совершения сделок купли-продажи товара — приобретения товара, реализация его покупателям, сопутствующие сделкам расходы.</w:t>
      </w:r>
    </w:p>
    <w:p>
      <w:pPr>
        <w:pStyle w:val="Normal"/>
        <w:keepNext w:val="true"/>
        <w:keepLines/>
        <w:numPr>
          <w:ilvl w:val="0"/>
          <w:numId w:val="2"/>
        </w:numPr>
        <w:tabs>
          <w:tab w:val="clear" w:pos="720"/>
          <w:tab w:val="left" w:pos="993" w:leader="none"/>
        </w:tabs>
        <w:spacing w:lineRule="auto" w:line="276" w:before="240" w:after="120"/>
        <w:ind w:firstLine="567" w:left="0"/>
        <w:jc w:val="center"/>
        <w:rPr>
          <w:color w:val="000000"/>
          <w:sz w:val="22"/>
          <w:szCs w:val="22"/>
        </w:rPr>
      </w:pPr>
      <w:bookmarkStart w:id="1" w:name="_heading=h.30j0zll"/>
      <w:bookmarkEnd w:id="1"/>
      <w:r>
        <w:rPr>
          <w:rFonts w:eastAsia="Times New Roman" w:cs="Times New Roman" w:ascii="Times New Roman" w:hAnsi="Times New Roman"/>
          <w:b/>
          <w:color w:val="000000"/>
          <w:sz w:val="22"/>
          <w:szCs w:val="22"/>
        </w:rPr>
        <w:t>ПОРЯДОК ИСПОЛНЕНИЯ ДОГОВОРА</w:t>
      </w:r>
    </w:p>
    <w:p>
      <w:pPr>
        <w:pStyle w:val="Normal"/>
        <w:numPr>
          <w:ilvl w:val="1"/>
          <w:numId w:val="2"/>
        </w:numPr>
        <w:tabs>
          <w:tab w:val="clear" w:pos="720"/>
          <w:tab w:val="left" w:pos="993" w:leader="none"/>
        </w:tabs>
        <w:spacing w:lineRule="auto" w:line="276" w:before="0" w:after="120"/>
        <w:ind w:firstLine="567"/>
        <w:jc w:val="both"/>
        <w:rPr>
          <w:sz w:val="22"/>
          <w:szCs w:val="22"/>
        </w:rPr>
      </w:pPr>
      <w:r>
        <w:rPr>
          <w:rFonts w:eastAsia="Times New Roman" w:cs="Times New Roman" w:ascii="Times New Roman" w:hAnsi="Times New Roman"/>
          <w:sz w:val="22"/>
          <w:szCs w:val="22"/>
        </w:rPr>
        <w:t>Сумма займа считается предоставленной Займодавцем Заемщику в момент зачисления денег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 xml:space="preserve">Сумма займа может быть возвращена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досрочно полностью или частично в соответствии с условиями настоящего Договора, как по инициативе Заемщика, так и по требованию Займодавца.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Проценты за пользование суммой займа начисляются с даты выдачи и до дня фактического возврата Суммы займа в полном объеме.</w:t>
      </w:r>
    </w:p>
    <w:p>
      <w:pPr>
        <w:pStyle w:val="Normal"/>
        <w:numPr>
          <w:ilvl w:val="1"/>
          <w:numId w:val="2"/>
        </w:numPr>
        <w:tabs>
          <w:tab w:val="clear" w:pos="720"/>
          <w:tab w:val="left" w:pos="993" w:leader="none"/>
        </w:tabs>
        <w:spacing w:lineRule="auto" w:line="276"/>
        <w:ind w:firstLine="567"/>
        <w:jc w:val="both"/>
        <w:rPr>
          <w:sz w:val="22"/>
          <w:szCs w:val="22"/>
        </w:rPr>
      </w:pPr>
      <w:r>
        <w:rPr>
          <w:rFonts w:eastAsia="Times New Roman" w:cs="Times New Roman" w:ascii="Times New Roman" w:hAnsi="Times New Roman"/>
          <w:sz w:val="22"/>
          <w:szCs w:val="22"/>
        </w:rPr>
        <w:t>Банковскую комиссию за перечисление любых денежных средств по договору, и прочие связанные с банковским обслуживанием издержки Заемщик вправе удерживать за счет средств Займодавца.</w:t>
      </w:r>
    </w:p>
    <w:p>
      <w:pPr>
        <w:pStyle w:val="Normal"/>
        <w:keepNext w:val="true"/>
        <w:keepLines/>
        <w:numPr>
          <w:ilvl w:val="0"/>
          <w:numId w:val="2"/>
        </w:numPr>
        <w:spacing w:lineRule="auto" w:line="276" w:before="240" w:after="120"/>
        <w:ind w:hanging="360" w:left="0"/>
        <w:jc w:val="center"/>
        <w:rPr>
          <w:color w:val="000000"/>
          <w:sz w:val="22"/>
          <w:szCs w:val="22"/>
        </w:rPr>
      </w:pPr>
      <w:bookmarkStart w:id="2" w:name="_heading=h.1fob9te"/>
      <w:bookmarkEnd w:id="2"/>
      <w:r>
        <w:rPr>
          <w:rFonts w:eastAsia="Times New Roman" w:cs="Times New Roman" w:ascii="Times New Roman" w:hAnsi="Times New Roman"/>
          <w:b/>
          <w:color w:val="000000"/>
          <w:sz w:val="22"/>
          <w:szCs w:val="22"/>
        </w:rPr>
        <w:t>СРОК ДЕЙСТВИЯ ДОГОВОРА.</w:t>
        <w:br/>
        <w:t xml:space="preserve"> УСЛОВИЯ ПРОДЛЕНИЯ И РАСТОРЖЕНИЯ</w:t>
      </w:r>
    </w:p>
    <w:p>
      <w:pPr>
        <w:pStyle w:val="Normal"/>
        <w:numPr>
          <w:ilvl w:val="1"/>
          <w:numId w:val="2"/>
        </w:numPr>
        <w:tabs>
          <w:tab w:val="clear" w:pos="720"/>
          <w:tab w:val="left" w:pos="993" w:leader="none"/>
        </w:tabs>
        <w:spacing w:lineRule="auto" w:line="276" w:before="120" w:after="0"/>
        <w:ind w:firstLine="567"/>
        <w:jc w:val="both"/>
        <w:rPr>
          <w:sz w:val="22"/>
          <w:szCs w:val="22"/>
        </w:rPr>
      </w:pPr>
      <w:r>
        <w:rPr>
          <w:rFonts w:eastAsia="Times New Roman" w:cs="Times New Roman" w:ascii="Times New Roman" w:hAnsi="Times New Roman"/>
          <w:sz w:val="22"/>
          <w:szCs w:val="22"/>
        </w:rPr>
        <w:t>Настоящий Договор вступает в силу с момента перечисления Займодавцем Суммы займа на расчетный счет Заемщика.</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3" w:name="_heading=h.3znysh7"/>
      <w:bookmarkEnd w:id="3"/>
      <w:r>
        <w:rPr>
          <w:rFonts w:eastAsia="Times New Roman" w:cs="Times New Roman" w:ascii="Times New Roman" w:hAnsi="Times New Roman"/>
          <w:color w:val="000000"/>
          <w:sz w:val="22"/>
          <w:szCs w:val="22"/>
        </w:rPr>
        <w:t xml:space="preserve">Срок действия настоящего Договора составляет </w:t>
      </w:r>
      <w:r>
        <w:rPr>
          <w:rFonts w:eastAsia="Times New Roman" w:cs="Times New Roman" w:ascii="Times New Roman" w:hAnsi="Times New Roman"/>
          <w:sz w:val="22"/>
          <w:szCs w:val="22"/>
        </w:rPr>
        <w:t>12</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двенадцать</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 xml:space="preserve">месяцев и действует до </w:t>
      </w:r>
      <w:r>
        <w:rPr>
          <w:rFonts w:eastAsia="Times New Roman" w:cs="Times New Roman" w:ascii="Times New Roman" w:hAnsi="Times New Roman"/>
          <w:b/>
          <w:sz w:val="23"/>
          <w:szCs w:val="22"/>
        </w:rPr>
        <w:t>@&lt;CONTRACT_TERM&gt;@</w:t>
      </w:r>
      <w:r>
        <w:rPr>
          <w:rFonts w:eastAsia="Times New Roman" w:cs="Times New Roman" w:ascii="Times New Roman" w:hAnsi="Times New Roman"/>
          <w:sz w:val="22"/>
          <w:szCs w:val="22"/>
        </w:rPr>
        <w:t>.</w:t>
      </w:r>
      <w:r>
        <w:rPr>
          <w:rFonts w:eastAsia="Times New Roman" w:cs="Times New Roman" w:ascii="Times New Roman" w:hAnsi="Times New Roman"/>
          <w:color w:val="000000"/>
          <w:sz w:val="22"/>
          <w:szCs w:val="22"/>
        </w:rPr>
        <w:t xml:space="preserve"> </w:t>
      </w:r>
    </w:p>
    <w:p>
      <w:pPr>
        <w:pStyle w:val="Normal"/>
        <w:tabs>
          <w:tab w:val="clear" w:pos="720"/>
          <w:tab w:val="left" w:pos="993" w:leader="none"/>
        </w:tabs>
        <w:spacing w:lineRule="auto" w:line="276"/>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По истечению срока действия договора </w:t>
      </w:r>
      <w:r>
        <w:rPr>
          <w:rFonts w:eastAsia="Times New Roman" w:cs="Times New Roman" w:ascii="Times New Roman" w:hAnsi="Times New Roman"/>
          <w:sz w:val="22"/>
          <w:szCs w:val="22"/>
        </w:rPr>
        <w:t>Заемщик</w:t>
      </w:r>
      <w:r>
        <w:rPr>
          <w:rFonts w:eastAsia="Times New Roman" w:cs="Times New Roman" w:ascii="Times New Roman" w:hAnsi="Times New Roman"/>
          <w:color w:val="000000"/>
          <w:sz w:val="22"/>
          <w:szCs w:val="22"/>
        </w:rPr>
        <w:t xml:space="preserve"> обязуется вернуть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Сумму займа в полном объеме, а также выплатить причитающиеся проценты.</w:t>
      </w:r>
    </w:p>
    <w:p>
      <w:pPr>
        <w:pStyle w:val="Normal"/>
        <w:numPr>
          <w:ilvl w:val="1"/>
          <w:numId w:val="2"/>
        </w:numPr>
        <w:tabs>
          <w:tab w:val="clear" w:pos="720"/>
          <w:tab w:val="left" w:pos="993" w:leader="none"/>
        </w:tabs>
        <w:spacing w:lineRule="auto" w:line="276"/>
        <w:ind w:firstLine="567"/>
        <w:jc w:val="both"/>
        <w:rPr>
          <w:sz w:val="22"/>
          <w:szCs w:val="22"/>
        </w:rPr>
      </w:pPr>
      <w:bookmarkStart w:id="4" w:name="_heading=h.2et92p0"/>
      <w:bookmarkEnd w:id="4"/>
      <w:r>
        <w:rPr>
          <w:rFonts w:eastAsia="Times New Roman" w:cs="Times New Roman" w:ascii="Times New Roman" w:hAnsi="Times New Roman"/>
          <w:sz w:val="22"/>
          <w:szCs w:val="22"/>
        </w:rPr>
        <w:t xml:space="preserve">В случае если ни одна из Сторон не позднее 2 недель до окончания срока действия Договора не направит (в том числе на электронную почту, указанную в реквизитах Сторон) письменного уведомления о прекращении Договора, Договор считается продленным на тот же срок и на тех же условиях. Пролонгация договора возможна неограниченное количество раз.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Настоящий Договор прекращается:</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При возврате </w:t>
      </w:r>
      <w:r>
        <w:rPr>
          <w:rFonts w:eastAsia="Times New Roman" w:cs="Times New Roman" w:ascii="Times New Roman" w:hAnsi="Times New Roman"/>
          <w:sz w:val="22"/>
          <w:szCs w:val="22"/>
        </w:rPr>
        <w:t>Заемщиком</w:t>
      </w:r>
      <w:r>
        <w:rPr>
          <w:rFonts w:eastAsia="Times New Roman" w:cs="Times New Roman" w:ascii="Times New Roman" w:hAnsi="Times New Roman"/>
          <w:color w:val="000000"/>
          <w:sz w:val="22"/>
          <w:szCs w:val="22"/>
        </w:rPr>
        <w:t xml:space="preserve"> </w:t>
      </w:r>
      <w:r>
        <w:rPr>
          <w:rFonts w:eastAsia="Times New Roman" w:cs="Times New Roman" w:ascii="Times New Roman" w:hAnsi="Times New Roman"/>
          <w:sz w:val="22"/>
          <w:szCs w:val="22"/>
        </w:rPr>
        <w:t>Займодавцу</w:t>
      </w:r>
      <w:r>
        <w:rPr>
          <w:rFonts w:eastAsia="Times New Roman" w:cs="Times New Roman" w:ascii="Times New Roman" w:hAnsi="Times New Roman"/>
          <w:color w:val="000000"/>
          <w:sz w:val="22"/>
          <w:szCs w:val="22"/>
        </w:rPr>
        <w:t xml:space="preserve"> полной Суммы займа и выплаты всех причитающихся процентов;</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По соглашению сторон;</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bookmarkStart w:id="5" w:name="_heading=h.tyjcwt"/>
      <w:bookmarkEnd w:id="5"/>
      <w:r>
        <w:rPr>
          <w:rFonts w:eastAsia="Times New Roman" w:cs="Times New Roman" w:ascii="Times New Roman" w:hAnsi="Times New Roman"/>
          <w:color w:val="000000"/>
          <w:sz w:val="22"/>
          <w:szCs w:val="22"/>
        </w:rPr>
        <w:t>По иным основаниям, предусмотренным действующим законодательством Российской Федерации.</w:t>
      </w:r>
    </w:p>
    <w:p>
      <w:pPr>
        <w:pStyle w:val="Normal"/>
        <w:numPr>
          <w:ilvl w:val="1"/>
          <w:numId w:val="2"/>
        </w:numPr>
        <w:tabs>
          <w:tab w:val="clear" w:pos="720"/>
          <w:tab w:val="left" w:pos="993" w:leader="none"/>
        </w:tabs>
        <w:spacing w:lineRule="auto" w:line="276" w:before="0" w:after="120"/>
        <w:ind w:firstLine="567"/>
        <w:jc w:val="both"/>
        <w:rPr>
          <w:sz w:val="22"/>
          <w:szCs w:val="22"/>
          <w:highlight w:val="white"/>
        </w:rPr>
      </w:pPr>
      <w:r>
        <w:rPr>
          <w:rFonts w:eastAsia="Times New Roman" w:cs="Times New Roman" w:ascii="Times New Roman" w:hAnsi="Times New Roman"/>
          <w:sz w:val="22"/>
          <w:szCs w:val="22"/>
        </w:rPr>
        <w:t xml:space="preserve">Стороны пришли к соглашению, что Займодавец вправе потребовать досрочного возврата Суммы займа, сообщив об этом Заёмщику за 90 банковских дней до предполагаемой даты возврата. Уведомление должно быть направлено по адресу электронной почты Заемщика, указанной разделе 11 настоящего Договора.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ОБЕСПЕЧЕНИЕ ИСПОЛНЕНИЯ ОБЯЗАТЕЛЬСТВ ПО ДОГОВОРУ</w:t>
      </w:r>
    </w:p>
    <w:p>
      <w:pPr>
        <w:pStyle w:val="Normal"/>
        <w:numPr>
          <w:ilvl w:val="1"/>
          <w:numId w:val="2"/>
        </w:numPr>
        <w:tabs>
          <w:tab w:val="clear" w:pos="720"/>
          <w:tab w:val="left" w:pos="993" w:leader="none"/>
        </w:tabs>
        <w:ind w:firstLine="567"/>
        <w:jc w:val="both"/>
        <w:rPr>
          <w:sz w:val="22"/>
          <w:szCs w:val="22"/>
        </w:rPr>
      </w:pPr>
      <w:r>
        <w:rPr>
          <w:rFonts w:eastAsia="Times New Roman" w:cs="Times New Roman" w:ascii="Times New Roman" w:hAnsi="Times New Roman"/>
          <w:sz w:val="22"/>
          <w:szCs w:val="22"/>
        </w:rPr>
        <w:t>За несвоевременный возврат суммы займа или нарушение сроков выплаты ежемесячных процентов, Займодавец вправе требовать у Заемщика уплаты неустойки в размере 0,1% от суммы займа за каждый день просрочки.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неисполнения или ненадлежащего исполнения одной из Сторон своих обязательств по настоящему Договору, она обязана возместить другой Стороне причиненные таким неисполнением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Возмещение убытков не освобождает Сторону, нарушившую Договор, от исполнения обязательств по настоящему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В случаях, не предусмотренных настоящим Договором, имущественная ответственность определяется в соответствии с действующим законодательством Российской Федерации.</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highlight w:val="white"/>
        </w:rPr>
        <w:t xml:space="preserve">ОБСТОЯТЕЛЬСТВА НЕПРЕОДОЛИМОЙ СИЛЫ </w:t>
        <w:br/>
        <w:t>(</w:t>
      </w:r>
      <w:r>
        <w:rPr>
          <w:rFonts w:eastAsia="Times New Roman" w:cs="Times New Roman" w:ascii="Times New Roman" w:hAnsi="Times New Roman"/>
          <w:b/>
          <w:color w:val="000000"/>
          <w:sz w:val="22"/>
          <w:szCs w:val="22"/>
        </w:rPr>
        <w:t>ФОРС-МАЖОР)</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6" w:name="_heading=h.3dy6vkm"/>
      <w:bookmarkEnd w:id="6"/>
      <w:r>
        <w:rPr>
          <w:rFonts w:eastAsia="Times New Roman" w:cs="Times New Roman" w:ascii="Times New Roman" w:hAnsi="Times New Roman"/>
          <w:color w:val="000000"/>
          <w:sz w:val="22"/>
          <w:szCs w:val="22"/>
        </w:rPr>
        <w:t>Стороны освобождаются от взаимной ответственности в случае наступления для любой из них обстоятельств непреодолимой силы, которые ни одна из Сторон не могла предвидеть и предотвратить разумными средствами (обстоятельства форс-мажорного характера) на период действия данных обстоятельств.</w:t>
      </w:r>
    </w:p>
    <w:p>
      <w:pPr>
        <w:pStyle w:val="Normal"/>
        <w:numPr>
          <w:ilvl w:val="1"/>
          <w:numId w:val="2"/>
        </w:numPr>
        <w:tabs>
          <w:tab w:val="clear" w:pos="720"/>
          <w:tab w:val="left" w:pos="993" w:leader="none"/>
        </w:tabs>
        <w:spacing w:lineRule="auto" w:line="276"/>
        <w:ind w:firstLine="567"/>
        <w:jc w:val="both"/>
        <w:rPr>
          <w:color w:val="000000"/>
          <w:sz w:val="22"/>
          <w:szCs w:val="22"/>
        </w:rPr>
      </w:pPr>
      <w:bookmarkStart w:id="7" w:name="_heading=h.1t3h5sf"/>
      <w:bookmarkEnd w:id="7"/>
      <w:r>
        <w:rPr>
          <w:rFonts w:eastAsia="Times New Roman" w:cs="Times New Roman" w:ascii="Times New Roman" w:hAnsi="Times New Roman"/>
          <w:color w:val="000000"/>
          <w:sz w:val="22"/>
          <w:szCs w:val="22"/>
        </w:rPr>
        <w:t xml:space="preserve">К обстоятельствам форс-мажорного характера Стороны и Закон относит те, что предусмотрены ст.401 ГК РФ, а именно – обстоятельства непреодолимой силы, носящие чрезвычайный и непредотвратимый характер при данных условиях, стихийные бедствия, техногенные катастрофы, законодательные акты, препятствующие исполнению настоящего Договора. Данные обстоятельства освобождают Стороны от ответственности за выполнение своих обязательств на период действия данных обстоятельств. </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При наступлении обстоятельств, указанных в п. 5.2, каждая Сторона должна без промедления известить о них в письменном виде другую сторону. Извещение должно содержать данные о характере обстоятельств, а также официальные документы, удостоверяющие наличие этих обстоятельств и, по возможности, дающие оценку их влияния на возможность исполнения стороной своих обязательств по данному Договору.</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Если Сторона не направит извещение, предусмотренное в п. 5.3, то она обязана возместить второй Стороне понесенные ею убытки.</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 случае наступления обстоятельств, предусмотренных в п. 5.2, а равно при существенном изменение обстоятельств, из которых Стороны исходили при заключении Договора, срок выполнения стороной обязательств по настоящему Договору отодвигается соразмерно времени, в течение которого действуют эти обстоятельства и их последствия.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наступившие обстоятельства, перечисленные в п. 5.2, и их последствия продолжают действовать более трех месяцев, стороны проводят дополнительные переговоры для выявления приемлемых альтернативных способов исполнения настоящего Договора.</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КОНФИДЕНЦИАЛЬНОСТЬ</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Условия настоящего Договора и дополнительных соглашений, протоколов к нему, любая связанная с ним переписка Сторон, все передаваемые Сторонами друг другу документы в рамках исполнения Договора являются конфиденциальными и не подлежат разглашению без письменного разрешения другой Стороны, заверенного подписью, печатью и специальным штампом с указанием срока действия такого разрешения.</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Стороны принимают все необходимые меры для того, чтобы их сотрудники, агенты и правопреемники без предварительного согласия другой стороны не информировали третьих лиц о деталях данного Договора и приложений к нему.</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ПОЛНОТА СОГЛАШЕНИЯ</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Договор составляет полное соглашение и заменяет все предыдущие соглашения и договоренности, письменные и устные, между Сторонами в отношении предмета Договора.</w:t>
      </w:r>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Каждая из Сторон признает и соглашается при заключении данного Договора, что она полагается на гарантии и обязательства другой Стороны, провозглашенные и содержащиеся в Договоре, применяя презумпцию достоверности всей предоставленной этой Стороной информации относительно гарантий и обязательств.</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Если одно из положений Договора становится недействительным, то это не затрагивает остальных положений Договора. При этом Стороны приложат необходимые усилия для замены недействительного положения иным, максимально соответствующим ему по смыслу и экономическому эффекту положением.</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ПОРЯДОК РЕШЕНИЯ СПОРОВ ПО ДОГОВОРУ</w:t>
      </w:r>
    </w:p>
    <w:p>
      <w:pPr>
        <w:pStyle w:val="Normal"/>
        <w:numPr>
          <w:ilvl w:val="1"/>
          <w:numId w:val="2"/>
        </w:numPr>
        <w:tabs>
          <w:tab w:val="clear" w:pos="720"/>
          <w:tab w:val="left" w:pos="993" w:leader="none"/>
        </w:tabs>
        <w:spacing w:lineRule="auto" w:line="276" w:before="0" w:after="120"/>
        <w:ind w:firstLine="567"/>
        <w:jc w:val="both"/>
        <w:rPr>
          <w:color w:val="000000"/>
          <w:sz w:val="22"/>
          <w:szCs w:val="22"/>
        </w:rPr>
      </w:pPr>
      <w:r>
        <w:rPr>
          <w:rFonts w:eastAsia="Times New Roman" w:cs="Times New Roman" w:ascii="Times New Roman" w:hAnsi="Times New Roman"/>
          <w:color w:val="000000"/>
          <w:sz w:val="22"/>
          <w:szCs w:val="22"/>
        </w:rPr>
        <w:t xml:space="preserve">Все споры, вытекающие из Договора, между Сторонами решаются путём переговоров (обязательно соблюдение досудебного претензионного порядка), срок ответа на претензию 10 (Десять) рабочих дней с момента получения. В случае невозможности достижения соглашения путем переговоров, спор передается на рассмотрение в суд по месту нахождения </w:t>
      </w:r>
      <w:r>
        <w:rPr>
          <w:rFonts w:eastAsia="Times New Roman" w:cs="Times New Roman" w:ascii="Times New Roman" w:hAnsi="Times New Roman"/>
          <w:sz w:val="22"/>
          <w:szCs w:val="22"/>
        </w:rPr>
        <w:t>Ответчика, в порядке, предусмотренном законом РФ</w:t>
      </w:r>
      <w:r>
        <w:rPr>
          <w:rFonts w:eastAsia="Times New Roman" w:cs="Times New Roman" w:ascii="Times New Roman" w:hAnsi="Times New Roman"/>
          <w:color w:val="000000"/>
          <w:sz w:val="22"/>
          <w:szCs w:val="22"/>
        </w:rPr>
        <w:t>.</w:t>
      </w:r>
    </w:p>
    <w:p>
      <w:pPr>
        <w:pStyle w:val="Normal"/>
        <w:keepNext w:val="true"/>
        <w:keepLines/>
        <w:numPr>
          <w:ilvl w:val="0"/>
          <w:numId w:val="2"/>
        </w:numPr>
        <w:spacing w:lineRule="auto" w:line="276" w:before="320" w:after="120"/>
        <w:ind w:hanging="360" w:left="0"/>
        <w:jc w:val="center"/>
        <w:rPr>
          <w:color w:val="000000"/>
          <w:sz w:val="22"/>
          <w:szCs w:val="22"/>
        </w:rPr>
      </w:pPr>
      <w:r>
        <w:rPr>
          <w:rFonts w:eastAsia="Times New Roman" w:cs="Times New Roman" w:ascii="Times New Roman" w:hAnsi="Times New Roman"/>
          <w:b/>
          <w:color w:val="000000"/>
          <w:sz w:val="22"/>
          <w:szCs w:val="22"/>
        </w:rPr>
        <w:t>УВЕДОМЛЕНИЯ</w:t>
      </w:r>
      <w:bookmarkStart w:id="8" w:name="_heading=h.4d34og8"/>
      <w:bookmarkEnd w:id="8"/>
    </w:p>
    <w:p>
      <w:pPr>
        <w:pStyle w:val="Normal"/>
        <w:numPr>
          <w:ilvl w:val="1"/>
          <w:numId w:val="2"/>
        </w:numPr>
        <w:tabs>
          <w:tab w:val="clear" w:pos="720"/>
          <w:tab w:val="left" w:pos="993"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уведомления, запросы, требования, информация и иные сообщения, требуемые или разрешённые к передаче по данному Договору сторонами друг другу, составляются в письменном виде и считаются надлежащим образом отправленными, если они направлены по адресам, указанным в разделе 11 настоящего Договора, одним из перечисленных ниже способов с обязательным направлением копии по электронной почте:</w:t>
      </w:r>
    </w:p>
    <w:p>
      <w:pPr>
        <w:sectPr>
          <w:headerReference w:type="default" r:id="rId2"/>
          <w:headerReference w:type="first" r:id="rId3"/>
          <w:footerReference w:type="default" r:id="rId4"/>
          <w:footerReference w:type="first" r:id="rId5"/>
          <w:type w:val="nextPage"/>
          <w:pgSz w:w="11906" w:h="16838"/>
          <w:pgMar w:left="1418" w:right="850" w:gutter="0" w:header="720" w:top="777" w:footer="720" w:bottom="1134"/>
          <w:pgNumType w:start="1" w:fmt="decimal"/>
          <w:formProt w:val="false"/>
          <w:titlePg/>
          <w:textDirection w:val="lrTb"/>
          <w:docGrid w:type="default" w:linePitch="100" w:charSpace="0"/>
        </w:sectPr>
      </w:pP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доставлены лично от уполномоченного представителя Стороны или курьером. Факт доставки подтверждается распиской в получении от уполномоченного представителя адресата;</w:t>
      </w:r>
    </w:p>
    <w:p>
      <w:pPr>
        <w:pStyle w:val="Normal"/>
        <w:widowControl w:val="false"/>
        <w:numPr>
          <w:ilvl w:val="2"/>
          <w:numId w:val="2"/>
        </w:numPr>
        <w:shd w:val="clear" w:color="auto" w:fill="FFFFFF"/>
        <w:tabs>
          <w:tab w:val="clear" w:pos="720"/>
          <w:tab w:val="left" w:pos="993" w:leader="none"/>
          <w:tab w:val="left" w:pos="1134" w:leader="none"/>
        </w:tabs>
        <w:spacing w:lineRule="auto" w:line="276"/>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отправлены по почте, заказным письмом с уведомлением о вручении;</w:t>
      </w:r>
    </w:p>
    <w:p>
      <w:pPr>
        <w:pStyle w:val="Normal"/>
        <w:numPr>
          <w:ilvl w:val="2"/>
          <w:numId w:val="2"/>
        </w:numPr>
        <w:shd w:val="clear" w:color="auto" w:fill="FFFFFF"/>
        <w:tabs>
          <w:tab w:val="clear" w:pos="720"/>
          <w:tab w:val="left" w:pos="993" w:leader="none"/>
          <w:tab w:val="left" w:pos="1134" w:leader="none"/>
        </w:tabs>
        <w:spacing w:lineRule="auto" w:line="276" w:before="0" w:after="120"/>
        <w:ind w:firstLine="567" w:left="0"/>
        <w:jc w:val="both"/>
        <w:rPr>
          <w:rFonts w:ascii="Times New Roman" w:hAnsi="Times New Roman" w:eastAsia="Times New Roman" w:cs="Times New Roman"/>
          <w:color w:val="000000"/>
          <w:sz w:val="22"/>
          <w:szCs w:val="22"/>
        </w:rPr>
      </w:pPr>
      <w:r>
        <w:rPr>
          <w:rFonts w:eastAsia="Times New Roman" w:cs="Times New Roman" w:ascii="Times New Roman" w:hAnsi="Times New Roman"/>
          <w:color w:val="000000"/>
          <w:sz w:val="22"/>
          <w:szCs w:val="22"/>
        </w:rPr>
        <w:t xml:space="preserve">отправлены по электронной почте. Уведомление, направленное по электронной почте, считается доставленным на следующий рабочий день с момента его отправки адресату.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ЗАКЛЮЧИТЕЛЬНЫЕ ПОЛОЖЕНИЯ</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9" w:name="_heading=h.2s8eyo1"/>
      <w:bookmarkEnd w:id="9"/>
      <w:r>
        <w:rPr>
          <w:rFonts w:eastAsia="Times New Roman" w:cs="Times New Roman" w:ascii="Times New Roman" w:hAnsi="Times New Roman"/>
          <w:sz w:val="22"/>
          <w:szCs w:val="22"/>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(WhatsАpp, Telegram и др.) по номерам телефонов, а также по адресам электронной почты, указанным в разделе 11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2"/>
        </w:numPr>
        <w:tabs>
          <w:tab w:val="clear" w:pos="720"/>
          <w:tab w:val="left" w:pos="1134" w:leader="none"/>
        </w:tabs>
        <w:spacing w:lineRule="auto" w:line="276"/>
        <w:ind w:firstLine="567"/>
        <w:jc w:val="both"/>
        <w:rPr>
          <w:color w:val="000000"/>
          <w:sz w:val="22"/>
          <w:szCs w:val="22"/>
        </w:rPr>
      </w:pPr>
      <w:bookmarkStart w:id="10" w:name="_heading=h.17dp8vu"/>
      <w:bookmarkEnd w:id="10"/>
      <w:r>
        <w:rPr>
          <w:rFonts w:eastAsia="Times New Roman" w:cs="Times New Roman" w:ascii="Times New Roman" w:hAnsi="Times New Roman"/>
          <w:color w:val="000000"/>
          <w:sz w:val="22"/>
          <w:szCs w:val="22"/>
        </w:rPr>
        <w:t xml:space="preserve">Настоящим Стороны подтверждают, что все контактные данные (адреса электронной почты, номера телефонов) указаны верно и действительно принадлежат соответствующей Стороне. Риск наступления негативных последствий в связи с неверным указанием данных или не уведомление об их изменении каждая сторона несет самостоятельно. </w:t>
      </w:r>
    </w:p>
    <w:p>
      <w:pPr>
        <w:pStyle w:val="Normal"/>
        <w:numPr>
          <w:ilvl w:val="1"/>
          <w:numId w:val="2"/>
        </w:numPr>
        <w:tabs>
          <w:tab w:val="clear" w:pos="720"/>
          <w:tab w:val="left" w:pos="1134" w:leader="none"/>
        </w:tabs>
        <w:spacing w:lineRule="auto" w:line="276"/>
        <w:ind w:firstLine="567"/>
        <w:jc w:val="both"/>
        <w:rPr>
          <w:color w:val="000000"/>
          <w:sz w:val="22"/>
          <w:szCs w:val="22"/>
        </w:rPr>
      </w:pPr>
      <w:r>
        <w:rPr>
          <w:rFonts w:eastAsia="Times New Roman" w:cs="Times New Roman" w:ascii="Times New Roman" w:hAnsi="Times New Roman"/>
          <w:color w:val="000000"/>
          <w:sz w:val="22"/>
          <w:szCs w:val="22"/>
        </w:rPr>
        <w:t>Все Приложения к настоящему Договору являются его неотъемлемой частью.</w:t>
      </w:r>
    </w:p>
    <w:p>
      <w:pPr>
        <w:pStyle w:val="Normal"/>
        <w:numPr>
          <w:ilvl w:val="1"/>
          <w:numId w:val="2"/>
        </w:numPr>
        <w:tabs>
          <w:tab w:val="clear" w:pos="720"/>
          <w:tab w:val="left" w:pos="1134" w:leader="none"/>
        </w:tabs>
        <w:spacing w:lineRule="auto" w:line="276" w:before="0" w:after="120"/>
        <w:ind w:firstLine="567"/>
        <w:jc w:val="both"/>
        <w:rPr>
          <w:color w:val="000000"/>
          <w:sz w:val="22"/>
          <w:szCs w:val="22"/>
        </w:rPr>
      </w:pPr>
      <w:bookmarkStart w:id="11" w:name="_heading=h.3rdcrjn"/>
      <w:bookmarkEnd w:id="11"/>
      <w:r>
        <w:rPr>
          <w:rFonts w:eastAsia="Times New Roman" w:cs="Times New Roman" w:ascii="Times New Roman" w:hAnsi="Times New Roman"/>
          <w:color w:val="000000"/>
          <w:sz w:val="22"/>
          <w:szCs w:val="22"/>
        </w:rPr>
        <w:t xml:space="preserve">Договор составлен на русском языке, в двух экземплярах, равной юридической силы, по одному экземпляру для каждой из сторон. </w:t>
      </w:r>
    </w:p>
    <w:p>
      <w:pPr>
        <w:pStyle w:val="Normal"/>
        <w:keepNext w:val="true"/>
        <w:keepLines/>
        <w:numPr>
          <w:ilvl w:val="0"/>
          <w:numId w:val="2"/>
        </w:numPr>
        <w:spacing w:lineRule="auto" w:line="276" w:before="240" w:after="120"/>
        <w:ind w:hanging="360" w:left="0"/>
        <w:jc w:val="center"/>
        <w:rPr>
          <w:color w:val="000000"/>
          <w:sz w:val="22"/>
          <w:szCs w:val="22"/>
        </w:rPr>
      </w:pPr>
      <w:r>
        <w:rPr>
          <w:rFonts w:eastAsia="Times New Roman" w:cs="Times New Roman" w:ascii="Times New Roman" w:hAnsi="Times New Roman"/>
          <w:b/>
          <w:color w:val="000000"/>
          <w:sz w:val="22"/>
          <w:szCs w:val="22"/>
        </w:rPr>
        <w:t>АДРЕСА И ПЛАТЕЖНЫЕ РЕКВИЗИТЫ СТОРОН</w:t>
      </w:r>
    </w:p>
    <w:tbl>
      <w:tblPr>
        <w:tblW w:w="9315" w:type="dxa"/>
        <w:jc w:val="left"/>
        <w:tblInd w:w="14" w:type="dxa"/>
        <w:tblLayout w:type="fixed"/>
        <w:tblCellMar>
          <w:top w:w="0" w:type="dxa"/>
          <w:left w:w="108" w:type="dxa"/>
          <w:bottom w:w="0" w:type="dxa"/>
          <w:right w:w="108" w:type="dxa"/>
        </w:tblCellMar>
        <w:tblLook w:val="0400" w:noHBand="0" w:noVBand="1" w:firstColumn="0" w:lastRow="0" w:lastColumn="0" w:firstRow="0"/>
      </w:tblPr>
      <w:tblGrid>
        <w:gridCol w:w="4500"/>
        <w:gridCol w:w="4814"/>
      </w:tblGrid>
      <w:tr>
        <w:trPr>
          <w:trHeight w:val="435" w:hRule="atLeast"/>
        </w:trPr>
        <w:tc>
          <w:tcPr>
            <w:tcW w:w="4500" w:type="dxa"/>
            <w:tcBorders/>
            <w:shd w:color="auto" w:fill="auto" w:val="clear"/>
          </w:tcPr>
          <w:p>
            <w:pPr>
              <w:pStyle w:val="Normal"/>
              <w:keepNext w:val="true"/>
              <w:keepLines/>
              <w:widowControl w:val="false"/>
              <w:spacing w:lineRule="auto" w:line="276"/>
              <w:ind w:hanging="0" w:left="8"/>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Заемщик</w:t>
            </w:r>
          </w:p>
        </w:tc>
        <w:tc>
          <w:tcPr>
            <w:tcW w:w="4814" w:type="dxa"/>
            <w:tcBorders/>
            <w:shd w:color="auto" w:fill="auto" w:val="clear"/>
          </w:tcPr>
          <w:p>
            <w:pPr>
              <w:pStyle w:val="Normal"/>
              <w:keepNext w:val="true"/>
              <w:keepLines/>
              <w:widowControl w:val="false"/>
              <w:jc w:val="center"/>
              <w:rPr>
                <w:rFonts w:ascii="Times New Roman" w:hAnsi="Times New Roman" w:eastAsia="Times New Roman" w:cs="Times New Roman"/>
                <w:b/>
                <w:color w:val="000000"/>
                <w:sz w:val="22"/>
                <w:szCs w:val="22"/>
              </w:rPr>
            </w:pPr>
            <w:r>
              <w:rPr>
                <w:rFonts w:eastAsia="Times New Roman" w:cs="Times New Roman" w:ascii="Times New Roman" w:hAnsi="Times New Roman"/>
                <w:b/>
                <w:sz w:val="22"/>
                <w:szCs w:val="22"/>
              </w:rPr>
              <w:t>Займодавец</w:t>
            </w:r>
          </w:p>
        </w:tc>
      </w:tr>
      <w:tr>
        <w:trPr/>
        <w:tc>
          <w:tcPr>
            <w:tcW w:w="4500" w:type="dxa"/>
            <w:tcBorders/>
            <w:shd w:color="auto" w:fill="auto" w:val="clear"/>
          </w:tcPr>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«Русский тоннаж»</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Юр. адрес: 353907, Краснодарский край, город Новороссийск, улица Чкалова, дом 48, оф. 16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Банковские реквизиты:</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ООО "РУСТОНН"</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Расчётный счёт: 40702810830000030444</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Банк: КРАСНОДАРСКОЕ ОТДЕЛЕНИЕ N8619 ПАО СБЕРБАНК</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БИК: 040349602</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Кор. Cчёт: 30101810100000000602</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ОГРН: 1172375061891</w:t>
            </w:r>
          </w:p>
          <w:p>
            <w:pPr>
              <w:pStyle w:val="Normal"/>
              <w:widowControl w:val="false"/>
              <w:spacing w:lineRule="auto" w:line="276"/>
              <w:ind w:hanging="0" w:left="8"/>
              <w:rPr>
                <w:rFonts w:ascii="Times New Roman" w:hAnsi="Times New Roman" w:eastAsia="Times New Roman" w:cs="Times New Roman"/>
                <w:sz w:val="22"/>
                <w:szCs w:val="22"/>
              </w:rPr>
            </w:pPr>
            <w:r>
              <w:rPr>
                <w:rFonts w:eastAsia="Times New Roman" w:cs="Times New Roman" w:ascii="Times New Roman" w:hAnsi="Times New Roman"/>
                <w:sz w:val="22"/>
                <w:szCs w:val="22"/>
              </w:rPr>
              <w:t>ИНН: 2315996766/КПП: 231501001</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Телефон: +7(928)663-75-56</w:t>
            </w:r>
          </w:p>
          <w:p>
            <w:pPr>
              <w:pStyle w:val="Normal"/>
              <w:widowControl w:val="false"/>
              <w:spacing w:lineRule="auto" w:line="276"/>
              <w:ind w:hanging="0" w:left="8"/>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Эл. почта:</w:t>
            </w:r>
            <w:hyperlink r:id="rId6">
              <w:r>
                <w:rPr>
                  <w:rFonts w:eastAsia="Times New Roman" w:cs="Times New Roman" w:ascii="Times New Roman" w:hAnsi="Times New Roman"/>
                  <w:color w:val="1155CC"/>
                  <w:sz w:val="22"/>
                  <w:szCs w:val="22"/>
                  <w:u w:val="single"/>
                </w:rPr>
                <w:t>t.pugachev@gmail.com</w:t>
              </w:r>
            </w:hyperlink>
            <w:r>
              <w:rPr>
                <w:rFonts w:eastAsia="Times New Roman" w:cs="Times New Roman" w:ascii="Times New Roman" w:hAnsi="Times New Roman"/>
                <w:sz w:val="22"/>
                <w:szCs w:val="22"/>
              </w:rPr>
              <w:br/>
              <w:t xml:space="preserve">                  partners@rustonn.ru</w:t>
            </w:r>
          </w:p>
        </w:tc>
        <w:tc>
          <w:tcPr>
            <w:tcW w:w="4814" w:type="dxa"/>
            <w:tcBorders/>
            <w:shd w:color="auto" w:fill="auto" w:val="clear"/>
          </w:tcPr>
          <w:p>
            <w:pPr>
              <w:pStyle w:val="Normal"/>
              <w:widowControl w:val="false"/>
              <w:rPr/>
            </w:pPr>
            <w:r>
              <w:rPr>
                <w:rFonts w:eastAsia="Times New Roman" w:cs="Times New Roman" w:ascii="Times New Roman" w:hAnsi="Times New Roman"/>
                <w:sz w:val="22"/>
                <w:szCs w:val="22"/>
              </w:rPr>
              <w:t>@&lt;FIO_FULL&gt;@</w:t>
            </w:r>
          </w:p>
          <w:p>
            <w:pPr>
              <w:pStyle w:val="Normal"/>
              <w:widowControl w:val="false"/>
              <w:rPr/>
            </w:pPr>
            <w:r>
              <w:rPr>
                <w:rFonts w:eastAsia="Times New Roman" w:cs="Times New Roman" w:ascii="Times New Roman" w:hAnsi="Times New Roman"/>
                <w:sz w:val="22"/>
                <w:szCs w:val="22"/>
              </w:rPr>
              <w:t>Паспорт серии @&lt;PASSPORT_SERIA&gt;@, номер @&lt;PASSPORT_NUM&gt;@, выдан @&lt;PASSPORT_WHOM&gt;@ @&lt;PASSPORT_DATE&gt;@.</w:t>
            </w:r>
          </w:p>
          <w:p>
            <w:pPr>
              <w:pStyle w:val="Normal"/>
              <w:widowControl w:val="false"/>
              <w:rPr/>
            </w:pPr>
            <w:r>
              <w:rPr>
                <w:rFonts w:eastAsia="Times New Roman" w:cs="Times New Roman" w:ascii="Times New Roman" w:hAnsi="Times New Roman"/>
                <w:sz w:val="22"/>
                <w:szCs w:val="22"/>
              </w:rPr>
              <w:t>Дата рождения: @&lt;BI</w:t>
            </w:r>
            <w:r>
              <w:rPr>
                <w:rFonts w:eastAsia="Times New Roman" w:cs="Times New Roman" w:ascii="Times New Roman" w:hAnsi="Times New Roman"/>
                <w:sz w:val="22"/>
                <w:szCs w:val="22"/>
                <w:lang w:val="en-US"/>
              </w:rPr>
              <w:t>RTH_DATE</w:t>
            </w:r>
            <w:r>
              <w:rPr>
                <w:rFonts w:eastAsia="Times New Roman" w:cs="Times New Roman" w:ascii="Times New Roman" w:hAnsi="Times New Roman"/>
                <w:sz w:val="22"/>
                <w:szCs w:val="22"/>
              </w:rPr>
              <w:t>&gt;@</w:t>
            </w:r>
          </w:p>
          <w:p>
            <w:pPr>
              <w:pStyle w:val="Normal"/>
              <w:widowControl w:val="false"/>
              <w:rPr/>
            </w:pPr>
            <w:r>
              <w:rPr>
                <w:rFonts w:eastAsia="Times New Roman" w:cs="Times New Roman" w:ascii="Times New Roman" w:hAnsi="Times New Roman"/>
                <w:sz w:val="22"/>
                <w:szCs w:val="22"/>
              </w:rPr>
              <w:t>ИНН: @&lt;INN&gt;@</w:t>
            </w:r>
          </w:p>
          <w:p>
            <w:pPr>
              <w:pStyle w:val="Normal"/>
              <w:widowControl w:val="false"/>
              <w:rPr/>
            </w:pPr>
            <w:r>
              <w:rPr>
                <w:rFonts w:eastAsia="Times New Roman" w:cs="Times New Roman" w:ascii="Times New Roman" w:hAnsi="Times New Roman"/>
                <w:sz w:val="22"/>
                <w:szCs w:val="22"/>
              </w:rPr>
              <w:t>Банковские реквизиты:</w:t>
            </w:r>
          </w:p>
          <w:p>
            <w:pPr>
              <w:pStyle w:val="Normal"/>
              <w:widowControl w:val="false"/>
              <w:rPr/>
            </w:pPr>
            <w:r>
              <w:rPr>
                <w:rFonts w:eastAsia="Times New Roman" w:cs="Times New Roman" w:ascii="Times New Roman" w:hAnsi="Times New Roman"/>
                <w:sz w:val="22"/>
                <w:szCs w:val="22"/>
              </w:rPr>
              <w:t>@&lt;FIO_FULL&gt;@</w:t>
              <w:br/>
              <w:t xml:space="preserve">Расчётный счёт: @&lt;PAYMENT_ACCOUNT&gt;@ </w:t>
              <w:br/>
              <w:t>Банк: @&lt;BANK_NAME&gt;@</w:t>
              <w:br/>
              <w:t xml:space="preserve">БИК: @&lt;BIK&gt;@ </w:t>
              <w:br/>
              <w:t>Корр. счет: @&lt;CORR_ACCOUNT&gt;@</w:t>
            </w:r>
          </w:p>
          <w:p>
            <w:pPr>
              <w:pStyle w:val="Normal"/>
              <w:widowControl w:val="false"/>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rPr/>
            </w:pPr>
            <w:r>
              <w:rPr>
                <w:rFonts w:eastAsia="Times New Roman" w:cs="Times New Roman" w:ascii="Times New Roman" w:hAnsi="Times New Roman"/>
                <w:sz w:val="22"/>
                <w:szCs w:val="22"/>
              </w:rPr>
              <w:t>Телефон: @&lt;PHONE_NUMBER&gt;@</w:t>
              <w:br/>
              <w:t>Эл. почта: @&lt;EMAIL&gt;@</w:t>
            </w:r>
          </w:p>
          <w:p>
            <w:pPr>
              <w:pStyle w:val="Normal"/>
              <w:widowControl w:val="false"/>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tc>
      </w:tr>
      <w:tr>
        <w:trPr/>
        <w:tc>
          <w:tcPr>
            <w:tcW w:w="4500" w:type="dxa"/>
            <w:tcBorders/>
            <w:shd w:color="auto" w:fill="auto" w:val="clear"/>
          </w:tcPr>
          <w:p>
            <w:pPr>
              <w:pStyle w:val="Normal"/>
              <w:widowControl w:val="false"/>
              <w:spacing w:lineRule="auto" w:line="276"/>
              <w:jc w:val="both"/>
              <w:rPr>
                <w:rFonts w:ascii="Times New Roman" w:hAnsi="Times New Roman" w:eastAsia="Times New Roman" w:cs="Times New Roman"/>
                <w:sz w:val="22"/>
                <w:szCs w:val="22"/>
              </w:rPr>
            </w:pPr>
            <w:bookmarkStart w:id="12" w:name="_GoBack_Copy_1"/>
            <w:bookmarkEnd w:id="12"/>
            <w:r>
              <w:rPr>
                <w:rFonts w:eastAsia="Times New Roman" w:cs="Times New Roman" w:ascii="Times New Roman" w:hAnsi="Times New Roman"/>
                <w:sz w:val="22"/>
                <w:szCs w:val="22"/>
              </w:rPr>
              <w:br/>
              <w:t xml:space="preserve">Директор </w:t>
              <w:br/>
              <w:br/>
              <w:t>__________________/ Пугачев Т.В.</w:t>
            </w:r>
          </w:p>
        </w:tc>
        <w:tc>
          <w:tcPr>
            <w:tcW w:w="4814" w:type="dxa"/>
            <w:tcBorders/>
            <w:shd w:color="auto" w:fill="auto" w:val="clear"/>
          </w:tcPr>
          <w:p>
            <w:pPr>
              <w:pStyle w:val="Normal"/>
              <w:widowControl w:val="false"/>
              <w:spacing w:lineRule="auto" w:line="276" w:before="240" w:after="0"/>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Займодавец</w:t>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r>
          </w:p>
          <w:p>
            <w:pPr>
              <w:pStyle w:val="Normal"/>
              <w:widowControl w:val="false"/>
              <w:spacing w:lineRule="auto" w:line="276"/>
              <w:jc w:val="both"/>
              <w:rPr>
                <w:rFonts w:ascii="Times New Roman" w:hAnsi="Times New Roman" w:eastAsia="Times New Roman" w:cs="Times New Roman"/>
                <w:sz w:val="22"/>
                <w:szCs w:val="22"/>
              </w:rPr>
            </w:pPr>
            <w:r>
              <w:rPr>
                <w:rFonts w:eastAsia="Times New Roman" w:cs="Times New Roman" w:ascii="Times New Roman" w:hAnsi="Times New Roman"/>
                <w:sz w:val="22"/>
                <w:szCs w:val="22"/>
              </w:rPr>
              <w:t>_________________________/</w:t>
              <w:tab/>
              <w:t xml:space="preserve"> @&lt;FIO_SHORT&gt;@</w:t>
            </w:r>
          </w:p>
        </w:tc>
      </w:tr>
    </w:tbl>
    <w:p>
      <w:pPr>
        <w:pStyle w:val="Normal"/>
        <w:rPr>
          <w:rFonts w:ascii="Times New Roman" w:hAnsi="Times New Roman" w:eastAsia="Times New Roman" w:cs="Times New Roman"/>
          <w:sz w:val="22"/>
          <w:szCs w:val="22"/>
        </w:rPr>
      </w:pPr>
      <w:r>
        <w:rPr>
          <w:rFonts w:eastAsia="Times New Roman" w:cs="Times New Roman" w:ascii="Times New Roman" w:hAnsi="Times New Roman"/>
          <w:sz w:val="22"/>
          <w:szCs w:val="22"/>
        </w:rPr>
      </w:r>
    </w:p>
    <w:sectPr>
      <w:type w:val="continuous"/>
      <w:pgSz w:w="11906" w:h="16838"/>
      <w:pgMar w:left="1418" w:right="850" w:gutter="0" w:header="720" w:top="777" w:footer="720" w:bottom="1134"/>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PT Astra Serif">
    <w:charset w:val="01"/>
    <w:family w:val="roman"/>
    <w:pitch w:val="variable"/>
  </w:font>
  <w:font w:name="Liberation Sans">
    <w:altName w:val="Arial"/>
    <w:charset w:val="01"/>
    <w:family w:val="roman"/>
    <w:pitch w:val="variable"/>
  </w:font>
  <w:font w:name="Georgia">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sz w:val="20"/>
        <w:szCs w:val="20"/>
      </w:rPr>
      <w:tab/>
      <w:t xml:space="preserve">Страница </w:t>
    </w:r>
    <w:r>
      <w:rPr>
        <w:b/>
        <w:color w:val="000000"/>
        <w:sz w:val="20"/>
        <w:szCs w:val="20"/>
      </w:rPr>
      <w:fldChar w:fldCharType="begin"/>
    </w:r>
    <w:r>
      <w:rPr>
        <w:sz w:val="20"/>
        <w:b/>
        <w:szCs w:val="20"/>
        <w:color w:val="000000"/>
      </w:rPr>
      <w:instrText xml:space="preserve"> PAGE </w:instrText>
    </w:r>
    <w:r>
      <w:rPr>
        <w:sz w:val="20"/>
        <w:b/>
        <w:szCs w:val="20"/>
        <w:color w:val="000000"/>
      </w:rPr>
      <w:fldChar w:fldCharType="separate"/>
    </w:r>
    <w:r>
      <w:rPr>
        <w:sz w:val="20"/>
        <w:b/>
        <w:szCs w:val="20"/>
        <w:color w:val="000000"/>
      </w:rPr>
      <w:t>1</w:t>
    </w:r>
    <w:r>
      <w:rPr>
        <w:sz w:val="20"/>
        <w:b/>
        <w:szCs w:val="20"/>
        <w:color w:val="000000"/>
      </w:rPr>
      <w:fldChar w:fldCharType="end"/>
    </w:r>
    <w:r>
      <w:rPr>
        <w:color w:val="000000"/>
        <w:sz w:val="20"/>
        <w:szCs w:val="20"/>
      </w:rPr>
      <w:t xml:space="preserve"> из </w:t>
    </w:r>
    <w:r>
      <w:rPr>
        <w:b/>
        <w:color w:val="000000"/>
        <w:sz w:val="20"/>
        <w:szCs w:val="20"/>
      </w:rPr>
      <w:fldChar w:fldCharType="begin"/>
    </w:r>
    <w:r>
      <w:rPr>
        <w:sz w:val="20"/>
        <w:b/>
        <w:szCs w:val="20"/>
        <w:color w:val="000000"/>
      </w:rPr>
      <w:instrText xml:space="preserve"> NUMPAGES </w:instrText>
    </w:r>
    <w:r>
      <w:rPr>
        <w:sz w:val="20"/>
        <w:b/>
        <w:szCs w:val="20"/>
        <w:color w:val="000000"/>
      </w:rPr>
      <w:fldChar w:fldCharType="separate"/>
    </w:r>
    <w:r>
      <w:rPr>
        <w:sz w:val="20"/>
        <w:b/>
        <w:szCs w:val="20"/>
        <w:color w:val="000000"/>
      </w:rPr>
      <w:t>5</w:t>
    </w:r>
    <w:r>
      <w:rPr>
        <w:sz w:val="20"/>
        <w:b/>
        <w:szCs w:val="20"/>
        <w:color w:val="000000"/>
      </w:rPr>
      <w:fldChar w:fldCharType="end"/>
    </w:r>
    <w:r>
      <w:rPr>
        <w:color w:val="000000"/>
        <w:sz w:val="20"/>
        <w:szCs w:val="20"/>
      </w:rPr>
      <w:t xml:space="preserve"> </w:t>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jc w:val="center"/>
      <w:rPr>
        <w:color w:val="767171"/>
        <w:sz w:val="20"/>
        <w:szCs w:val="20"/>
      </w:rPr>
    </w:pPr>
    <w:r>
      <mc:AlternateContent>
        <mc:Choice Requires="wps">
          <w:drawing>
            <wp:anchor behindDoc="1" distT="0" distB="0" distL="0" distR="0" simplePos="0" locked="0" layoutInCell="0" allowOverlap="1" relativeHeight="5" wp14:anchorId="5CEEE298">
              <wp:simplePos x="0" y="0"/>
              <wp:positionH relativeFrom="column">
                <wp:posOffset>25400</wp:posOffset>
              </wp:positionH>
              <wp:positionV relativeFrom="paragraph">
                <wp:posOffset>38100</wp:posOffset>
              </wp:positionV>
              <wp:extent cx="5771515" cy="127000"/>
              <wp:effectExtent l="0" t="6350" r="0" b="6985"/>
              <wp:wrapSquare wrapText="bothSides"/>
              <wp:docPr id="1" name="Прямая со стрелкой 3"/>
              <a:graphic xmlns:a="http://schemas.openxmlformats.org/drawingml/2006/main">
                <a:graphicData uri="http://schemas.microsoft.com/office/word/2010/wordprocessingShape">
                  <wps:wsp>
                    <wps:cNvSpPr/>
                    <wps:spPr>
                      <a:xfrm>
                        <a:off x="0" y="0"/>
                        <a:ext cx="5771520" cy="127080"/>
                      </a:xfrm>
                      <a:prstGeom prst="straightConnector1">
                        <a:avLst/>
                      </a:prstGeom>
                      <a:noFill/>
                      <a:ln w="12700">
                        <a:solidFill>
                          <a:srgbClr val="9bbb59"/>
                        </a:solidFill>
                        <a:miter/>
                      </a:ln>
                    </wps:spPr>
                    <wps:style>
                      <a:lnRef idx="0"/>
                      <a:fillRef idx="0"/>
                      <a:effectRef idx="0"/>
                      <a:fontRef idx="minor"/>
                    </wps:style>
                    <wps:bodyPr/>
                  </wps:wsp>
                </a:graphicData>
              </a:graphic>
            </wp:anchor>
          </w:drawing>
        </mc:Choice>
        <mc:Fallback>
          <w:pict>
            <v:shapetype id="_x0000_t32" coordsize="21600,21600" o:spt="32" path="m,l21600,21600nfe">
              <v:stroke joinstyle="miter"/>
              <v:path gradientshapeok="t" o:connecttype="rect" textboxrect="0,0,21600,21600"/>
            </v:shapetype>
            <v:shape id="shape_0" ID="Прямая со стрелкой 3" path="m0,0l-2147483648,-2147483647e" stroked="t" o:allowincell="f" style="position:absolute;margin-left:2pt;margin-top:3pt;width:454.4pt;height:9.95pt;mso-wrap-style:none;v-text-anchor:middle" wp14:anchorId="5CEEE298" type="_x0000_t32">
              <v:fill o:detectmouseclick="t" on="false"/>
              <v:stroke color="#9bbb59" weight="12600" joinstyle="miter" endcap="flat"/>
              <w10:wrap type="square"/>
            </v:shape>
          </w:pict>
        </mc:Fallback>
      </mc:AlternateContent>
    </w:r>
    <w:r>
      <w:rPr>
        <w:color w:val="767171"/>
        <w:sz w:val="20"/>
        <w:szCs w:val="20"/>
      </w:rPr>
      <w:t>ДОГОВОР ЗАЙМА — ООО «РУССКИЙ ТОННАЖ»</w:t>
    </w:r>
  </w:p>
  <w:p>
    <w:pPr>
      <w:pStyle w:val="Normal"/>
      <w:tabs>
        <w:tab w:val="clear" w:pos="720"/>
        <w:tab w:val="center" w:pos="4677" w:leader="none"/>
        <w:tab w:val="right" w:pos="9355" w:leader="none"/>
      </w:tabs>
      <w:jc w:val="center"/>
      <w:rPr>
        <w:color w:val="767171"/>
        <w:sz w:val="20"/>
        <w:szCs w:val="20"/>
      </w:rPr>
    </w:pPr>
    <w:r>
      <w:rPr>
        <w:color w:val="767171"/>
        <w:sz w:val="20"/>
        <w:szCs w:val="20"/>
      </w:rPr>
    </w:r>
  </w:p>
  <w:p>
    <w:pPr>
      <w:pStyle w:val="Normal"/>
      <w:tabs>
        <w:tab w:val="clear" w:pos="720"/>
        <w:tab w:val="center" w:pos="4677" w:leader="none"/>
        <w:tab w:val="right" w:pos="9355" w:leader="none"/>
      </w:tabs>
      <w:jc w:val="center"/>
      <w:rPr>
        <w:color w:val="767171"/>
        <w:sz w:val="20"/>
        <w:szCs w:val="20"/>
      </w:rPr>
    </w:pPr>
    <w:r>
      <w:rPr>
        <w:color w:val="767171"/>
        <w:sz w:val="20"/>
        <w:szCs w:val="2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rPr>
        <w:color w:val="000000"/>
      </w:rPr>
    </w:pPr>
    <w:r>
      <w:rPr>
        <w:color w:val="000000"/>
      </w:rPr>
    </w:r>
  </w:p>
  <w:p>
    <w:pPr>
      <w:pStyle w:val="Normal"/>
      <w:tabs>
        <w:tab w:val="clear" w:pos="720"/>
        <w:tab w:val="center" w:pos="4677" w:leader="none"/>
        <w:tab w:val="right" w:pos="9355" w:leader="none"/>
      </w:tabs>
      <w:rPr>
        <w:color w:val="000000"/>
      </w:rPr>
    </w:pPr>
    <w:r>
      <w:rPr>
        <w:color w:val="000000"/>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360" w:hanging="360"/>
      </w:pPr>
      <w:rPr>
        <w:b/>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2">
    <w:lvl w:ilvl="0">
      <w:start w:val="1"/>
      <w:numFmt w:val="decimal"/>
      <w:lvlText w:val="%1."/>
      <w:lvlJc w:val="left"/>
      <w:pPr>
        <w:tabs>
          <w:tab w:val="num" w:pos="0"/>
        </w:tabs>
        <w:ind w:left="360" w:hanging="360"/>
      </w:pPr>
      <w:rPr>
        <w:sz w:val="24"/>
        <w:b/>
        <w:szCs w:val="24"/>
        <w:rFonts w:ascii="Times New Roman" w:hAnsi="Times New Roman" w:eastAsia="Times New Roman" w:cs="Times New Roman"/>
      </w:rPr>
    </w:lvl>
    <w:lvl w:ilvl="1">
      <w:start w:val="1"/>
      <w:numFmt w:val="decimal"/>
      <w:lvlText w:val="%1.%2."/>
      <w:lvlJc w:val="left"/>
      <w:pPr>
        <w:tabs>
          <w:tab w:val="num" w:pos="0"/>
        </w:tabs>
        <w:ind w:left="0" w:hanging="435"/>
      </w:pPr>
      <w:rPr>
        <w:b/>
        <w:rFonts w:ascii="Times New Roman" w:hAnsi="Times New Roman" w:eastAsia="Times New Roman" w:cs="Times New Roman"/>
      </w:rPr>
    </w:lvl>
    <w:lvl w:ilvl="2">
      <w:start w:val="1"/>
      <w:numFmt w:val="decimal"/>
      <w:lvlText w:val="%1.%2.%3."/>
      <w:lvlJc w:val="left"/>
      <w:pPr>
        <w:tabs>
          <w:tab w:val="num" w:pos="0"/>
        </w:tabs>
        <w:ind w:left="1224" w:hanging="504"/>
      </w:pPr>
      <w:rPr>
        <w:smallCaps w:val="false"/>
        <w:caps w:val="false"/>
        <w:dstrike w:val="false"/>
        <w:strike w:val="false"/>
        <w:vertAlign w:val="baseline"/>
        <w:position w:val="0"/>
        <w:sz w:val="24"/>
        <w:sz w:val="24"/>
        <w:i w:val="false"/>
        <w:b/>
        <w:szCs w:val="24"/>
      </w:rPr>
    </w:lvl>
    <w:lvl w:ilvl="3">
      <w:start w:val="1"/>
      <w:numFmt w:val="decimal"/>
      <w:lvlText w:val="%1.%2.%3.%4."/>
      <w:lvlJc w:val="left"/>
      <w:pPr>
        <w:tabs>
          <w:tab w:val="num" w:pos="0"/>
        </w:tabs>
        <w:ind w:left="1728" w:hanging="647"/>
      </w:pPr>
      <w:rPr>
        <w:smallCaps w:val="false"/>
        <w:caps w:val="false"/>
        <w:dstrike w:val="false"/>
        <w:strike w:val="false"/>
        <w:vertAlign w:val="baseline"/>
        <w:position w:val="0"/>
        <w:sz w:val="24"/>
        <w:sz w:val="24"/>
        <w:i w:val="false"/>
        <w:b/>
        <w:szCs w:val="24"/>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3"/>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PT Astra Serif" w:hAnsi="PT Astra Serif" w:eastAsia="PT Astra Serif" w:cs="PT Astra Serif"/>
        <w:sz w:val="24"/>
        <w:szCs w:val="24"/>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PT Astra Serif" w:hAnsi="PT Astra Serif" w:eastAsia="PT Astra Serif" w:cs="PT Astra Serif"/>
      <w:color w:val="auto"/>
      <w:kern w:val="0"/>
      <w:sz w:val="24"/>
      <w:szCs w:val="24"/>
      <w:lang w:val="ru-RU" w:eastAsia="ru-RU"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rPr>
  </w:style>
  <w:style w:type="paragraph" w:styleId="Heading5">
    <w:name w:val="Heading 5"/>
    <w:basedOn w:val="Normal"/>
    <w:next w:val="Normal"/>
    <w:uiPriority w:val="9"/>
    <w:semiHidden/>
    <w:unhideWhenUsed/>
    <w:qFormat/>
    <w:pPr>
      <w:keepNext w:val="true"/>
      <w:keepLines/>
      <w:spacing w:before="220" w:after="40"/>
      <w:outlineLvl w:val="4"/>
    </w:pPr>
    <w:rPr>
      <w:b/>
      <w:sz w:val="22"/>
      <w:szCs w:val="22"/>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Docdata" w:customStyle="1">
    <w:name w:val="docdata"/>
    <w:qFormat/>
    <w:rsid w:val="00b25c9b"/>
    <w:rPr/>
  </w:style>
  <w:style w:type="character" w:styleId="Main-grid-cell-content" w:customStyle="1">
    <w:name w:val="main-grid-cell-content"/>
    <w:qFormat/>
    <w:rsid w:val="00b25c9b"/>
    <w:rPr/>
  </w:style>
  <w:style w:type="character" w:styleId="Style8" w:customStyle="1">
    <w:name w:val="Верхний колонтитул Знак"/>
    <w:basedOn w:val="DefaultParagraphFont"/>
    <w:uiPriority w:val="99"/>
    <w:qFormat/>
    <w:rsid w:val="00e469db"/>
    <w:rPr/>
  </w:style>
  <w:style w:type="character" w:styleId="Style9" w:customStyle="1">
    <w:name w:val="Нижний колонтитул Знак"/>
    <w:basedOn w:val="DefaultParagraphFont"/>
    <w:uiPriority w:val="99"/>
    <w:qFormat/>
    <w:rsid w:val="00e469db"/>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Noto Sans Devanagari"/>
    </w:rPr>
  </w:style>
  <w:style w:type="paragraph" w:styleId="Style10" w:customStyle="1">
    <w:name w:val="Заголовок"/>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Style11" w:customStyle="1">
    <w:name w:val="Указатель"/>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rPr>
  </w:style>
  <w:style w:type="paragraph" w:styleId="Title">
    <w:name w:val="Title"/>
    <w:basedOn w:val="Normal"/>
    <w:next w:val="Normal"/>
    <w:uiPriority w:val="10"/>
    <w:qFormat/>
    <w:pPr>
      <w:jc w:val="center"/>
    </w:pPr>
    <w:rPr>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Style12" w:customStyle="1">
    <w:name w:val="Колонтитул"/>
    <w:basedOn w:val="Normal"/>
    <w:qFormat/>
    <w:pPr/>
    <w:rPr/>
  </w:style>
  <w:style w:type="paragraph" w:styleId="HeaderandFooter">
    <w:name w:val="Header and Footer"/>
    <w:basedOn w:val="Normal"/>
    <w:qFormat/>
    <w:pPr/>
    <w:rPr/>
  </w:style>
  <w:style w:type="paragraph" w:styleId="Header">
    <w:name w:val="Header"/>
    <w:basedOn w:val="Normal"/>
    <w:link w:val="Style8"/>
    <w:uiPriority w:val="99"/>
    <w:unhideWhenUsed/>
    <w:rsid w:val="00e469db"/>
    <w:pPr>
      <w:tabs>
        <w:tab w:val="clear" w:pos="720"/>
        <w:tab w:val="center" w:pos="4677" w:leader="none"/>
        <w:tab w:val="right" w:pos="9355" w:leader="none"/>
      </w:tabs>
    </w:pPr>
    <w:rPr/>
  </w:style>
  <w:style w:type="paragraph" w:styleId="Footer">
    <w:name w:val="Footer"/>
    <w:basedOn w:val="Normal"/>
    <w:link w:val="Style9"/>
    <w:uiPriority w:val="99"/>
    <w:unhideWhenUsed/>
    <w:rsid w:val="00e469db"/>
    <w:pPr>
      <w:tabs>
        <w:tab w:val="clear" w:pos="720"/>
        <w:tab w:val="center" w:pos="4677" w:leader="none"/>
        <w:tab w:val="right" w:pos="9355" w:leader="none"/>
      </w:tabs>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hyperlink" Target="mailto:t.pugachev@gmail.com"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WVRoZclX+Er/Du8mhGukBpzHHAg==">AMUW2mXUNoY5Kuis3FPGAF/CWSuV3KNwOM4e/VPLG/CgSI3Iims61p/PJ/tGBdDhD1+yj4btf3O6hHdQXazK9LteEs9XJSj5NhZKVFmwdZOAj3UxvzRD5iW4hTbETf5c+fICmX/Hq6rDXQo4CIcSOPXObkYrBzdZ+aNt5t4N6FylXHFEgtyK6w9RW/zMJG8vWRgpbBxXsk162EwQYW6drNbZho2HlIslOikQoR60HQyQvBCmf9AFsCibBoztwXmY/UMbzHJvNvBcJVFIA1JXGbQ8HfriISPTl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Application>LibreOffice/7.6.1.2$Linux_X86_64 LibreOffice_project/60$Build-2</Application>
  <AppVersion>15.0000</AppVersion>
  <Pages>5</Pages>
  <Words>1498</Words>
  <Characters>10385</Characters>
  <CharactersWithSpaces>11874</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2022-07-15T09:26:00Z</dcterms:created>
  <dc:creator/>
  <dc:description/>
  <dc:language>en-US</dc:language>
  <cp:lastModifiedBy/>
  <dcterms:modified xsi:type="dcterms:W3CDTF">2023-10-26T08:35:45Z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file>