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hanging="0" w:left="0"/>
        <w:jc w:val="center"/>
        <w:rPr>
          <w:highlight w:val="none"/>
          <w:shd w:fill="auto" w:val="clear"/>
        </w:rPr>
      </w:pPr>
      <w:r>
        <w:rPr>
          <w:shd w:fill="auto" w:val="clear"/>
          <w:lang w:val="ru-RU"/>
        </w:rPr>
        <w:t>ДОГОВОР ЦЕЛЕВОГО ЗАЙМА №@&lt;CONTRACT_NUM&gt;@</w:t>
      </w:r>
    </w:p>
    <w:p>
      <w:pPr>
        <w:pStyle w:val="Heading1"/>
        <w:numPr>
          <w:ilvl w:val="0"/>
          <w:numId w:val="0"/>
        </w:numPr>
        <w:spacing w:before="0" w:after="292"/>
        <w:ind w:hanging="0" w:left="-5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>@&lt;CITY&gt;@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@&lt;FIO_FULL&gt;@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Займодавец</w:t>
      </w:r>
      <w:r>
        <w:rPr>
          <w:shd w:fill="auto" w:val="clear"/>
          <w:lang w:val="ru-RU"/>
        </w:rPr>
        <w:t xml:space="preserve">», с одной стороны и </w:t>
      </w:r>
      <w:r>
        <w:rPr>
          <w:b/>
          <w:shd w:fill="auto" w:val="clear"/>
          <w:lang w:val="ru-RU"/>
        </w:rPr>
        <w:t>Пугачев Тимофей Валерьевич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Заёмщик</w:t>
      </w:r>
      <w:r>
        <w:rPr>
          <w:shd w:fill="auto" w:val="clear"/>
          <w:lang w:val="ru-RU"/>
        </w:rPr>
        <w:t>», а вместе именуемые «</w:t>
      </w:r>
      <w:r>
        <w:rPr>
          <w:b/>
          <w:shd w:fill="auto" w:val="clear"/>
          <w:lang w:val="ru-RU"/>
        </w:rPr>
        <w:t>Стороны</w:t>
      </w:r>
      <w:r>
        <w:rPr>
          <w:shd w:fill="auto" w:val="clear"/>
          <w:lang w:val="ru-RU"/>
        </w:rPr>
        <w:t xml:space="preserve">» заключили настоящий </w:t>
      </w:r>
      <w:r>
        <w:rPr>
          <w:b/>
          <w:shd w:fill="auto" w:val="clear"/>
          <w:lang w:val="ru-RU"/>
        </w:rPr>
        <w:t xml:space="preserve">договор </w:t>
      </w:r>
      <w:r>
        <w:rPr>
          <w:shd w:fill="auto" w:val="clear"/>
          <w:lang w:val="ru-RU"/>
        </w:rPr>
        <w:t xml:space="preserve">(далее – </w:t>
      </w:r>
      <w:r>
        <w:rPr>
          <w:b/>
          <w:shd w:fill="auto" w:val="clear"/>
          <w:lang w:val="ru-RU"/>
        </w:rPr>
        <w:t>Договор</w:t>
      </w:r>
      <w:r>
        <w:rPr>
          <w:shd w:fill="auto" w:val="clear"/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265"/>
        <w:ind w:hanging="220" w:left="220"/>
        <w:rPr>
          <w:highlight w:val="none"/>
          <w:shd w:fill="auto" w:val="clear"/>
        </w:rPr>
      </w:pPr>
      <w:r>
        <w:rPr>
          <w:shd w:fill="auto" w:val="clear"/>
          <w:lang w:val="ru-RU"/>
        </w:rPr>
        <w:t>ПРЕДМЕТ ДОГОВОРА И ОСНОВНЫЕ ПОЛОЖЕНИЯ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@&lt;SUMM_NUMBER&gt;@ (@&lt;SUMM_TEXT&gt;@) долларов США наличными</w:t>
      </w:r>
      <w:r>
        <w:rPr>
          <w:shd w:fill="auto" w:val="clear"/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shd w:fill="auto" w:val="clear"/>
          <w:lang w:val="ru-RU"/>
        </w:rPr>
        <w:t xml:space="preserve">ООО «Русский Тоннаж» ОГРН 1172375061891 </w:t>
      </w:r>
      <w:r>
        <w:rPr>
          <w:shd w:fill="auto" w:val="clear"/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shd w:fill="auto" w:val="clear"/>
          <w:lang w:val="ru-RU"/>
        </w:rPr>
        <w:t xml:space="preserve">ООО «Русский Тоннаж» </w:t>
      </w:r>
      <w:r>
        <w:rPr>
          <w:shd w:fill="auto" w:val="clear"/>
          <w:lang w:val="ru-RU"/>
        </w:rPr>
        <w:t>в течение 3-х календарных дней с момента получения.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shd w:fill="auto" w:val="clear"/>
          <w:lang w:val="ru-RU"/>
        </w:rPr>
        <w:t>@&lt;PERCENT_NUMBER&gt;@% годовых</w:t>
      </w:r>
      <w:r>
        <w:rPr>
          <w:shd w:fill="auto" w:val="clear"/>
          <w:lang w:val="ru-RU"/>
        </w:rPr>
        <w:t>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1.4. Проценты за пользование суммой займа выплачиваются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1.6. Заёмщик вправе досрочно вернуть Сумму займа.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292"/>
        <w:ind w:hanging="220" w:left="3261"/>
        <w:jc w:val="left"/>
        <w:rPr>
          <w:highlight w:val="none"/>
          <w:shd w:fill="auto" w:val="clear"/>
        </w:rPr>
      </w:pPr>
      <w:r>
        <w:rPr>
          <w:shd w:fill="auto" w:val="clear"/>
        </w:rPr>
        <w:t>ПЕРЕДАЧА И ВОЗВРАТ СУММЫ ЗАЙМА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Заёмщику, указанным в Разделе 8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долларах США либо в российских рублях по курсу ЦБ РФ на день возврата.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>
          <w:shd w:fill="auto" w:val="clear"/>
        </w:rPr>
        <w:t>Займодавца на расписке.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1"/>
        <w:spacing w:before="0" w:after="292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СРОК ДОГОВОРА</w:t>
      </w:r>
    </w:p>
    <w:p>
      <w:pPr>
        <w:pStyle w:val="Normal"/>
        <w:spacing w:lineRule="auto" w:line="276" w:before="0" w:after="1"/>
        <w:ind w:hanging="10" w:left="-5" w:right="-13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shd w:fill="auto" w:val="clear"/>
          <w:lang w:val="ru-RU"/>
        </w:rPr>
        <w:t>@&lt;CONTRACT_TERM&gt;@</w:t>
      </w:r>
      <w:r>
        <w:rPr>
          <w:shd w:fill="auto" w:val="clear"/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3.2. До завершения сторонами исполнения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ОТВЕТСТВЕННОСТЬ ЗАЁМЩИКА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ФОРС МАЖОР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292"/>
        <w:ind w:hanging="220" w:left="220"/>
        <w:rPr>
          <w:highlight w:val="none"/>
          <w:shd w:fill="auto" w:val="clear"/>
        </w:rPr>
      </w:pPr>
      <w:r>
        <w:rPr>
          <w:shd w:fill="auto" w:val="clear"/>
          <w:lang w:val="ru-RU"/>
        </w:rPr>
        <w:t>ИЗМЕНЕНИЕ И ДОСРОЧНОЕ РАСТОРЖЕНИЕ ДОГОВОРА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ЗАКЛЮЧИТЕЛЬНЫЕ ПОЛОЖЕНИЯ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>
          <w:shd w:fill="auto" w:val="clear"/>
        </w:rPr>
        <w:t>E</w:t>
      </w:r>
      <w:r>
        <w:rPr>
          <w:shd w:fill="auto" w:val="clear"/>
          <w:lang w:val="ru-RU"/>
        </w:rPr>
        <w:t>-</w:t>
      </w:r>
      <w:r>
        <w:rPr>
          <w:shd w:fill="auto" w:val="clear"/>
        </w:rPr>
        <w:t>mail</w:t>
      </w:r>
      <w:r>
        <w:rPr>
          <w:shd w:fill="auto" w:val="clear"/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7.4. В случае изменения телефона, места регистрации, почтового или </w:t>
      </w:r>
      <w:r>
        <w:rPr>
          <w:shd w:fill="auto" w:val="clear"/>
        </w:rPr>
        <w:t>E</w:t>
      </w:r>
      <w:r>
        <w:rPr>
          <w:shd w:fill="auto" w:val="clear"/>
          <w:lang w:val="ru-RU"/>
        </w:rPr>
        <w:t>-</w:t>
      </w:r>
      <w:r>
        <w:rPr>
          <w:shd w:fill="auto" w:val="clear"/>
        </w:rPr>
        <w:t>mail</w:t>
      </w:r>
      <w:r>
        <w:rPr>
          <w:shd w:fill="auto" w:val="clear"/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spacing w:lineRule="auto" w:line="259" w:before="0" w:after="54"/>
        <w:ind w:hanging="0" w:left="0"/>
        <w:jc w:val="righ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Приложение №1</w:t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к Договору целевого займа № @&lt;CONTRACT_NUM&gt;@</w:t>
      </w:r>
      <w:r>
        <w:rPr>
          <w:sz w:val="18"/>
          <w:shd w:fill="auto" w:val="clear"/>
          <w:lang w:val="ru-RU"/>
        </w:rPr>
        <w:t xml:space="preserve"> </w:t>
      </w:r>
      <w:r>
        <w:rPr>
          <w:b/>
          <w:sz w:val="18"/>
          <w:shd w:fill="auto" w:val="clear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firstLine="772" w:left="3402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hanging="10" w:left="-5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Заёмщик обязуется в рамках Договора целевого займа № @&lt;CONTRACT_NUM&gt;@ от @&lt;DATE&gt;@ выплачивать Займодавцу проценты на сумму займа согласно следующего графика:</w:t>
      </w:r>
    </w:p>
    <w:tbl>
      <w:tblPr>
        <w:tblStyle w:val="TableGrid"/>
        <w:tblW w:w="9740" w:type="dxa"/>
        <w:jc w:val="left"/>
        <w:tblInd w:w="-104" w:type="dxa"/>
        <w:tblLayout w:type="fixed"/>
        <w:tblCellMar>
          <w:top w:w="175" w:type="dxa"/>
          <w:left w:w="104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60"/>
        <w:gridCol w:w="2360"/>
        <w:gridCol w:w="6820"/>
      </w:tblGrid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№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24"/>
              <w:jc w:val="center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Дата платежа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"/>
              <w:jc w:val="center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Сумма платежа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1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</w:tbl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hanging="0" w:left="0"/>
        <w:jc w:val="left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173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РЕКВИЗИТЫ И ПОДПИСИ СТОРОН</w:t>
      </w:r>
    </w:p>
    <w:tbl>
      <w:tblPr>
        <w:tblStyle w:val="TableGrid"/>
        <w:tblW w:w="914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650"/>
        <w:gridCol w:w="4498"/>
      </w:tblGrid>
      <w:tr>
        <w:trPr>
          <w:trHeight w:val="428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270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Займодавец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59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Заёмщик</w:t>
            </w:r>
          </w:p>
        </w:tc>
      </w:tr>
      <w:tr>
        <w:trPr>
          <w:trHeight w:val="7063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Паспорт: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@&lt;PASSPORT_SERIA&gt;@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@&lt;PASSPORT_NUM&gt;@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Выдан: @&lt;PASSPORT_DATE&gt;@ @&lt;PASSPORT_WHOM&gt;@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@&lt;INN&gt;@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Получатель: @&lt;FIO_ACCOUNT_HOLDER&gt;@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Номер счета: @&lt;PAYMENT_ACCOUNT&gt;@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 получателя: @&lt;BANK_NAME&gt;@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@&lt;BIK&gt;@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Тел. @&lt;PHONE_NUMBER&gt;@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Электронная почта: @&lt;EMAIL&gt;@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1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Пугачев Тимофей 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73"/>
              <w:ind w:hanging="0" w:left="0" w:right="3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Паспорт серии 03 05, номер 437014, выдан: Отделом Внутренних Дел Приморского округа гор. Новороссийска Краснодарского края, дата выдачи 09.06.2004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Адрес регистрации: г. Новороссийск,</w:t>
              <w:tab/>
              <w:t>ул.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Майковская, 36.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261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Получатель:</w:t>
              <w:tab/>
              <w:t>ПУГАЧЕВ</w:t>
              <w:tab/>
              <w:t>ТИМОФЕЙ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Номер счёта: 40817810430005730076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539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</w:t>
              <w:tab/>
              <w:t>получателя:</w:t>
              <w:tab/>
              <w:t>КРАСНОДАРСКОЕ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 xml:space="preserve">ОТДЕЛЕНИЕ 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N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8619 ПАО СБЕРБАНК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040349602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Корр. счёт: 30101810100000000602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7707083893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6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КПП: 231043001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Телефон: +7 928 6637556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E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-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mail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 xml:space="preserve">: 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t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pugachev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gmail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com</w:t>
            </w:r>
            <w:bookmarkStart w:id="0" w:name="_GoBack"/>
          </w:p>
        </w:tc>
      </w:tr>
      <w:tr>
        <w:trPr>
          <w:trHeight w:val="655" w:hRule="atLeast"/>
        </w:trPr>
        <w:tc>
          <w:tcPr>
            <w:tcW w:w="465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313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bookmarkEnd w:id="0"/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______________________/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@&lt;FIO_SHORT&gt;@</w:t>
            </w:r>
          </w:p>
        </w:tc>
        <w:tc>
          <w:tcPr>
            <w:tcW w:w="4498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_________________________/Пугачев Т.В.</w:t>
            </w:r>
          </w:p>
        </w:tc>
      </w:tr>
    </w:tbl>
    <w:p>
      <w:pPr>
        <w:pStyle w:val="Normal"/>
        <w:spacing w:lineRule="auto" w:line="259" w:before="0" w:after="54"/>
        <w:ind w:hanging="0" w:left="0"/>
        <w:jc w:val="right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LibreOffice/7.6.1.2$Linux_X86_64 LibreOffice_project/60$Build-2</Application>
  <AppVersion>15.0000</AppVersion>
  <Pages>5</Pages>
  <Words>1251</Words>
  <Characters>8615</Characters>
  <CharactersWithSpaces>9892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2023-10-22T19:32:23Z</dcterms:modified>
  <cp:revision>15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