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lang w:val="ru-RU"/>
        </w:rPr>
      </w:pPr>
      <w:r>
        <w:rPr>
          <w:b/>
          <w:lang w:val="ru-RU"/>
        </w:rPr>
        <w:t>@&lt;SUMM_NUMBER&gt;@ (@&lt;SUMM_TEXT&gt;@) Евро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Евро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2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4"/>
        <w:gridCol w:w="1347"/>
        <w:gridCol w:w="4196"/>
        <w:gridCol w:w="3542"/>
      </w:tblGrid>
      <w:tr>
        <w:trPr>
          <w:trHeight w:val="420" w:hRule="atLeast"/>
        </w:trPr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hanging="0" w:left="47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3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89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7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hanging="10" w:left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040349602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LibreOffice/7.6.4.1$Linux_X86_64 LibreOffice_project/60$Build-1</Application>
  <AppVersion>15.0000</AppVersion>
  <Pages>5</Pages>
  <Words>1259</Words>
  <Characters>8616</Characters>
  <CharactersWithSpaces>9902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2023-12-18T19:14:21Z</dcterms:modified>
  <cp:revision>20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