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_rels/document.xml.rels" ContentType="application/vnd.openxmlformats-package.relationship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ind w:hanging="0" w:left="0"/>
        <w:rPr>
          <w:highlight w:val="none"/>
          <w:shd w:fill="auto" w:val="clear"/>
        </w:rPr>
      </w:pPr>
      <w:r>
        <w:rPr>
          <w:shd w:fill="auto" w:val="clear"/>
          <w:lang w:val="ru-RU"/>
        </w:rPr>
        <w:t>Договор поручительства №@&lt;</w:t>
      </w:r>
      <w:r>
        <w:rPr>
          <w:shd w:fill="auto" w:val="clear"/>
          <w:lang w:val="en-US"/>
        </w:rPr>
        <w:t>GUARANTEE_NUM</w:t>
      </w:r>
      <w:r>
        <w:rPr>
          <w:shd w:fill="auto" w:val="clear"/>
          <w:lang w:val="ru-RU"/>
        </w:rPr>
        <w:t>&gt;@</w:t>
      </w:r>
    </w:p>
    <w:p>
      <w:pPr>
        <w:pStyle w:val="Normal"/>
        <w:rPr>
          <w:highlight w:val="none"/>
          <w:shd w:fill="auto" w:val="clear"/>
          <w:lang w:val="ru-RU"/>
        </w:rPr>
      </w:pPr>
      <w:r>
        <w:rPr>
          <w:shd w:fill="auto" w:val="clear"/>
          <w:lang w:val="ru-RU"/>
        </w:rPr>
      </w:r>
    </w:p>
    <w:p>
      <w:pPr>
        <w:pStyle w:val="Normal"/>
        <w:rPr>
          <w:highlight w:val="none"/>
          <w:shd w:fill="auto" w:val="clear"/>
          <w:lang w:val="ru-RU"/>
        </w:rPr>
      </w:pPr>
      <w:r>
        <w:rPr>
          <w:shd w:fill="auto" w:val="clear"/>
          <w:lang w:val="ru-RU"/>
        </w:rPr>
      </w:r>
    </w:p>
    <w:p>
      <w:pPr>
        <w:pStyle w:val="Normal"/>
        <w:spacing w:lineRule="auto" w:line="259" w:before="0" w:after="261"/>
        <w:ind w:hanging="10" w:left="-5"/>
        <w:jc w:val="left"/>
        <w:rPr>
          <w:highlight w:val="none"/>
          <w:shd w:fill="auto" w:val="clear"/>
        </w:rPr>
      </w:pPr>
      <w:r>
        <w:rPr>
          <w:b/>
          <w:shd w:fill="auto" w:val="clear"/>
          <w:lang w:val="ru-RU"/>
        </w:rPr>
        <w:t>Новороссийск                                                                                                   @&lt;DATE&gt;@</w:t>
      </w:r>
    </w:p>
    <w:p>
      <w:pPr>
        <w:pStyle w:val="Normal"/>
        <w:spacing w:lineRule="auto" w:line="259" w:before="0" w:after="11"/>
        <w:ind w:hanging="10" w:left="-5"/>
        <w:jc w:val="left"/>
        <w:rPr>
          <w:highlight w:val="none"/>
          <w:shd w:fill="auto" w:val="clear"/>
        </w:rPr>
      </w:pPr>
      <w:r>
        <w:rPr>
          <w:b/>
          <w:shd w:fill="auto" w:val="clear"/>
          <w:lang w:val="ru-RU"/>
        </w:rPr>
        <w:t xml:space="preserve">Общество с ограниченной ответственностью «Русский Тоннаж» ОГРН 1172375061891 </w:t>
      </w:r>
      <w:r>
        <w:rPr>
          <w:shd w:fill="auto" w:val="clear"/>
          <w:lang w:val="ru-RU"/>
        </w:rPr>
        <w:t>в лице</w:t>
      </w:r>
    </w:p>
    <w:p>
      <w:pPr>
        <w:pStyle w:val="Normal"/>
        <w:ind w:hanging="10" w:left="-5"/>
        <w:rPr>
          <w:highlight w:val="none"/>
          <w:shd w:fill="auto" w:val="clear"/>
        </w:rPr>
      </w:pPr>
      <w:r>
        <w:rPr>
          <w:shd w:fill="auto" w:val="clear"/>
          <w:lang w:val="ru-RU"/>
        </w:rPr>
        <w:t>Директора Пугачева Тимофея Валерьевича (Паспорт серии 03 05, номер 437014, выдан: Отделом</w:t>
      </w:r>
    </w:p>
    <w:p>
      <w:pPr>
        <w:pStyle w:val="Normal"/>
        <w:spacing w:before="0" w:after="234"/>
        <w:ind w:hanging="10" w:left="-5"/>
        <w:rPr>
          <w:highlight w:val="none"/>
          <w:shd w:fill="auto" w:val="clear"/>
        </w:rPr>
      </w:pPr>
      <w:r>
        <w:rPr>
          <w:shd w:fill="auto" w:val="clear"/>
          <w:lang w:val="ru-RU"/>
        </w:rPr>
        <w:t>Внутренних Дел Приморского округа гор. Новороссийска Краснодарского края, дата выдачи 09.06.2004), именуемые в дальнейшем «</w:t>
      </w:r>
      <w:r>
        <w:rPr>
          <w:b/>
          <w:shd w:fill="auto" w:val="clear"/>
          <w:lang w:val="ru-RU"/>
        </w:rPr>
        <w:t>Поручитель</w:t>
      </w:r>
      <w:r>
        <w:rPr>
          <w:shd w:fill="auto" w:val="clear"/>
          <w:lang w:val="ru-RU"/>
        </w:rPr>
        <w:t xml:space="preserve">», с одной стороны и </w:t>
      </w:r>
      <w:r>
        <w:rPr>
          <w:b/>
          <w:shd w:fill="auto" w:val="clear"/>
          <w:lang w:val="ru-RU"/>
        </w:rPr>
        <w:t>@&lt;FIO_FULL&gt;@</w:t>
      </w:r>
      <w:r>
        <w:rPr>
          <w:shd w:fill="auto" w:val="clear"/>
          <w:lang w:val="ru-RU"/>
        </w:rPr>
        <w:t>, именуемый в дальнейшем «</w:t>
      </w:r>
      <w:r>
        <w:rPr>
          <w:b/>
          <w:shd w:fill="auto" w:val="clear"/>
          <w:lang w:val="ru-RU"/>
        </w:rPr>
        <w:t>Займодавец</w:t>
      </w:r>
      <w:r>
        <w:rPr>
          <w:shd w:fill="auto" w:val="clear"/>
          <w:lang w:val="ru-RU"/>
        </w:rPr>
        <w:t>», а совместно именуемые «</w:t>
      </w:r>
      <w:r>
        <w:rPr>
          <w:b/>
          <w:shd w:fill="auto" w:val="clear"/>
          <w:lang w:val="ru-RU"/>
        </w:rPr>
        <w:t>Стороны</w:t>
      </w:r>
      <w:r>
        <w:rPr>
          <w:shd w:fill="auto" w:val="clear"/>
          <w:lang w:val="ru-RU"/>
        </w:rPr>
        <w:t>», заключили настоящий договор поручительства (далее – Договор) о нижеследующем:</w:t>
      </w:r>
    </w:p>
    <w:p>
      <w:pPr>
        <w:pStyle w:val="Heading1"/>
        <w:numPr>
          <w:ilvl w:val="0"/>
          <w:numId w:val="3"/>
        </w:numPr>
        <w:spacing w:before="0" w:after="258"/>
        <w:ind w:hanging="220" w:left="220"/>
        <w:rPr>
          <w:highlight w:val="none"/>
          <w:shd w:fill="auto" w:val="clear"/>
        </w:rPr>
      </w:pPr>
      <w:r>
        <w:rPr>
          <w:shd w:fill="auto" w:val="clear"/>
        </w:rPr>
        <w:t>ПРЕДМЕТ ДОГОВОРА</w:t>
      </w:r>
    </w:p>
    <w:p>
      <w:pPr>
        <w:pStyle w:val="Normal"/>
        <w:ind w:hanging="420" w:left="405"/>
        <w:rPr>
          <w:highlight w:val="none"/>
          <w:shd w:fill="auto" w:val="clear"/>
        </w:rPr>
      </w:pPr>
      <w:r>
        <w:rPr>
          <w:shd w:fill="auto" w:val="clear"/>
          <w:lang w:val="ru-RU"/>
        </w:rPr>
        <w:t>1.1. По настоящему Договору Поручитель обязуется перед Займодавцем отвечать за своевременное исполнение Пугачевым Тимофеем Валерьевичем (Паспорт серии 03 05, номер 437014, выдан: Отделом Внутренних Дел Приморского округа гор. Новороссийска Краснодарского края, дата выдачи 09.06.2004), именуемый в дальнейшем «</w:t>
      </w:r>
      <w:r>
        <w:rPr>
          <w:b/>
          <w:shd w:fill="auto" w:val="clear"/>
          <w:lang w:val="ru-RU"/>
        </w:rPr>
        <w:t>Заемщик</w:t>
      </w:r>
      <w:r>
        <w:rPr>
          <w:shd w:fill="auto" w:val="clear"/>
          <w:lang w:val="ru-RU"/>
        </w:rPr>
        <w:t xml:space="preserve">» его обязательств по возврату основной суммы займа, что составляет </w:t>
      </w:r>
      <w:r>
        <w:rPr>
          <w:b/>
          <w:shd w:fill="auto" w:val="clear"/>
          <w:lang w:val="ru-RU"/>
        </w:rPr>
        <w:t>@&lt;SUMM_NUMBER&gt;@ (@&lt;SUMM_TEXT&gt;@) долларов США</w:t>
      </w:r>
      <w:r>
        <w:rPr>
          <w:shd w:fill="auto" w:val="clear"/>
          <w:lang w:val="ru-RU"/>
        </w:rPr>
        <w:t xml:space="preserve">, а также начисленных процентов, пеней и прочих санкций, возникших из Договора целевого займа </w:t>
      </w:r>
      <w:r>
        <w:rPr>
          <w:b/>
          <w:shd w:fill="auto" w:val="clear"/>
          <w:lang w:val="ru-RU"/>
        </w:rPr>
        <w:t xml:space="preserve">@&lt;CONTRACT_NUM&gt;@ </w:t>
      </w:r>
      <w:r>
        <w:rPr>
          <w:shd w:fill="auto" w:val="clear"/>
          <w:lang w:val="ru-RU"/>
        </w:rPr>
        <w:t xml:space="preserve">от @&lt;DATE&gt;@, заключённого между Заемщиком и Займодавцем (далее - </w:t>
      </w:r>
      <w:r>
        <w:rPr>
          <w:b/>
          <w:shd w:fill="auto" w:val="clear"/>
          <w:lang w:val="ru-RU"/>
        </w:rPr>
        <w:t>Основной договор</w:t>
      </w:r>
      <w:r>
        <w:rPr>
          <w:shd w:fill="auto" w:val="clear"/>
          <w:lang w:val="ru-RU"/>
        </w:rPr>
        <w:t>).</w:t>
      </w:r>
    </w:p>
    <w:p>
      <w:pPr>
        <w:pStyle w:val="Normal"/>
        <w:ind w:hanging="10" w:left="-5"/>
        <w:rPr>
          <w:highlight w:val="none"/>
          <w:shd w:fill="auto" w:val="clear"/>
        </w:rPr>
      </w:pPr>
      <w:r>
        <w:rPr>
          <w:shd w:fill="auto" w:val="clear"/>
          <w:lang w:val="ru-RU"/>
        </w:rPr>
        <w:t xml:space="preserve">1.2. Существенные условия Договора целевого займа № </w:t>
      </w:r>
      <w:r>
        <w:rPr>
          <w:b/>
          <w:shd w:fill="auto" w:val="clear"/>
          <w:lang w:val="ru-RU"/>
        </w:rPr>
        <w:t xml:space="preserve">@&lt;CONTRACT_NUM&gt;@ </w:t>
      </w:r>
      <w:r>
        <w:rPr>
          <w:shd w:fill="auto" w:val="clear"/>
          <w:lang w:val="ru-RU"/>
        </w:rPr>
        <w:t>от @&lt;DATE&gt;@:</w:t>
      </w:r>
    </w:p>
    <w:p>
      <w:pPr>
        <w:pStyle w:val="Normal"/>
        <w:numPr>
          <w:ilvl w:val="0"/>
          <w:numId w:val="1"/>
        </w:numPr>
        <w:ind w:hanging="128" w:left="548"/>
        <w:rPr>
          <w:highlight w:val="none"/>
          <w:shd w:fill="auto" w:val="clear"/>
        </w:rPr>
      </w:pPr>
      <w:r>
        <w:rPr>
          <w:shd w:fill="auto" w:val="clear"/>
          <w:lang w:val="ru-RU"/>
        </w:rPr>
        <w:t xml:space="preserve">срок действия Основного договора: </w:t>
      </w:r>
      <w:r>
        <w:rPr>
          <w:b/>
          <w:shd w:fill="auto" w:val="clear"/>
          <w:lang w:val="ru-RU"/>
        </w:rPr>
        <w:t>@&lt;MONTHS&gt;@.</w:t>
      </w:r>
    </w:p>
    <w:p>
      <w:pPr>
        <w:pStyle w:val="Normal"/>
        <w:numPr>
          <w:ilvl w:val="0"/>
          <w:numId w:val="1"/>
        </w:numPr>
        <w:spacing w:lineRule="auto" w:line="259" w:before="0" w:after="11"/>
        <w:ind w:hanging="128" w:left="548"/>
        <w:rPr>
          <w:highlight w:val="none"/>
          <w:shd w:fill="auto" w:val="clear"/>
        </w:rPr>
      </w:pPr>
      <w:r>
        <w:rPr>
          <w:shd w:fill="auto" w:val="clear"/>
          <w:lang w:val="ru-RU"/>
        </w:rPr>
        <w:t xml:space="preserve">сумма займа: </w:t>
      </w:r>
      <w:r>
        <w:rPr>
          <w:b/>
          <w:shd w:fill="auto" w:val="clear"/>
          <w:lang w:val="ru-RU"/>
        </w:rPr>
        <w:t>@&lt;SUMM_NUMBER&gt;@ (@&lt;SUMM_TEXT&gt;@) долларов США.</w:t>
      </w:r>
    </w:p>
    <w:p>
      <w:pPr>
        <w:pStyle w:val="Normal"/>
        <w:numPr>
          <w:ilvl w:val="0"/>
          <w:numId w:val="1"/>
        </w:numPr>
        <w:ind w:hanging="128" w:left="548"/>
        <w:rPr>
          <w:highlight w:val="none"/>
          <w:shd w:fill="auto" w:val="clear"/>
        </w:rPr>
      </w:pPr>
      <w:r>
        <w:rPr>
          <w:shd w:fill="auto" w:val="clear"/>
          <w:lang w:val="ru-RU"/>
        </w:rPr>
        <w:t xml:space="preserve">проценты на сумму займа: </w:t>
      </w:r>
      <w:r>
        <w:rPr>
          <w:b/>
          <w:shd w:fill="auto" w:val="clear"/>
          <w:lang w:val="ru-RU"/>
        </w:rPr>
        <w:t>@&lt;PERCENT_NUMBER&gt;@ % годовых</w:t>
      </w:r>
      <w:r>
        <w:rPr>
          <w:shd w:fill="auto" w:val="clear"/>
          <w:lang w:val="ru-RU"/>
        </w:rPr>
        <w:t>.</w:t>
      </w:r>
    </w:p>
    <w:p>
      <w:pPr>
        <w:pStyle w:val="Normal"/>
        <w:numPr>
          <w:ilvl w:val="0"/>
          <w:numId w:val="1"/>
        </w:numPr>
        <w:ind w:hanging="128" w:left="548"/>
        <w:rPr>
          <w:highlight w:val="none"/>
          <w:shd w:fill="auto" w:val="clear"/>
        </w:rPr>
      </w:pPr>
      <w:r>
        <w:rPr>
          <w:shd w:fill="auto" w:val="clear"/>
          <w:lang w:val="ru-RU"/>
        </w:rPr>
        <w:t xml:space="preserve">выплаты за пользование суммой займа: </w:t>
      </w:r>
      <w:r>
        <w:rPr>
          <w:b/>
          <w:shd w:fill="auto" w:val="clear"/>
          <w:lang w:val="ru-RU"/>
        </w:rPr>
        <w:t>ежемесячно</w:t>
      </w:r>
      <w:r>
        <w:rPr>
          <w:shd w:fill="auto" w:val="clear"/>
          <w:lang w:val="ru-RU"/>
        </w:rPr>
        <w:t>, согласно графику платежей Основного договора.</w:t>
      </w:r>
    </w:p>
    <w:p>
      <w:pPr>
        <w:pStyle w:val="Normal"/>
        <w:numPr>
          <w:ilvl w:val="1"/>
          <w:numId w:val="2"/>
        </w:numPr>
        <w:ind w:hanging="385" w:left="1105"/>
        <w:rPr>
          <w:highlight w:val="none"/>
          <w:shd w:fill="auto" w:val="clear"/>
        </w:rPr>
      </w:pPr>
      <w:r>
        <w:rPr>
          <w:shd w:fill="auto" w:val="clear"/>
          <w:lang w:val="ru-RU"/>
        </w:rPr>
        <w:t>В случае неисполнения или ненадлежащего исполнения Заемщиком обязательства по Основному договору, Поручитель и Заемщик несут перед Займодавцем солидарную ответственность.</w:t>
      </w:r>
    </w:p>
    <w:p>
      <w:pPr>
        <w:pStyle w:val="Normal"/>
        <w:numPr>
          <w:ilvl w:val="1"/>
          <w:numId w:val="2"/>
        </w:numPr>
        <w:ind w:hanging="385" w:left="1105"/>
        <w:rPr>
          <w:highlight w:val="none"/>
          <w:shd w:fill="auto" w:val="clear"/>
        </w:rPr>
      </w:pPr>
      <w:r>
        <w:rPr>
          <w:shd w:fill="auto" w:val="clear"/>
          <w:lang w:val="ru-RU"/>
        </w:rPr>
        <w:t>Поручитель отвечает перед Заимодавцем в том же объеме, что и Заемщик, в частности, за уплату основного долга, за уплату процентов, уплату комиссий, возмещение убытков, уплату неустоек, возмещение судебных издержек в соответствии с законодательством Российской Федерации вызванных неисполнением или ненадлежащим исполнением обязательств Заемщиком.</w:t>
      </w:r>
    </w:p>
    <w:p>
      <w:pPr>
        <w:pStyle w:val="Normal"/>
        <w:numPr>
          <w:ilvl w:val="1"/>
          <w:numId w:val="2"/>
        </w:numPr>
        <w:spacing w:before="0" w:after="102"/>
        <w:ind w:hanging="385" w:left="1105"/>
        <w:rPr>
          <w:highlight w:val="none"/>
          <w:shd w:fill="auto" w:val="clear"/>
        </w:rPr>
      </w:pPr>
      <w:r>
        <w:rPr>
          <w:shd w:fill="auto" w:val="clear"/>
          <w:lang w:val="ru-RU"/>
        </w:rPr>
        <w:t>Основаниями для наступления ответственности Поручителя являются:</w:t>
      </w:r>
    </w:p>
    <w:p>
      <w:pPr>
        <w:pStyle w:val="Normal"/>
        <w:numPr>
          <w:ilvl w:val="0"/>
          <w:numId w:val="1"/>
        </w:numPr>
        <w:spacing w:before="0" w:after="102"/>
        <w:ind w:hanging="128" w:left="548"/>
        <w:rPr>
          <w:highlight w:val="none"/>
          <w:shd w:fill="auto" w:val="clear"/>
        </w:rPr>
      </w:pPr>
      <w:r>
        <w:rPr>
          <w:shd w:fill="auto" w:val="clear"/>
          <w:lang w:val="ru-RU"/>
        </w:rPr>
        <w:t>невозвращение Заемщиком суммы займа или его части в установленный в Договоре срок;</w:t>
      </w:r>
    </w:p>
    <w:p>
      <w:pPr>
        <w:pStyle w:val="Normal"/>
        <w:numPr>
          <w:ilvl w:val="0"/>
          <w:numId w:val="1"/>
        </w:numPr>
        <w:spacing w:before="0" w:after="129"/>
        <w:ind w:hanging="128" w:left="548"/>
        <w:rPr>
          <w:highlight w:val="none"/>
          <w:shd w:fill="auto" w:val="clear"/>
        </w:rPr>
      </w:pPr>
      <w:r>
        <w:rPr>
          <w:shd w:fill="auto" w:val="clear"/>
          <w:lang w:val="ru-RU"/>
        </w:rPr>
        <w:t>невыплата Заемщиком процентов за пользование суммой займа в соответствии с графиком платежей.</w:t>
      </w:r>
    </w:p>
    <w:p>
      <w:pPr>
        <w:pStyle w:val="Normal"/>
        <w:spacing w:before="0" w:after="235"/>
        <w:ind w:hanging="10" w:left="-5"/>
        <w:rPr>
          <w:highlight w:val="none"/>
          <w:shd w:fill="auto" w:val="clear"/>
        </w:rPr>
      </w:pPr>
      <w:r>
        <w:rPr>
          <w:shd w:fill="auto" w:val="clear"/>
          <w:lang w:val="ru-RU"/>
        </w:rPr>
        <w:t>1.6. Поручительство выдано для обеспечения обязательства, возникающего исключительно из Основного договора, не затрагивает иных обязательств сторон и действует до исполнения Заемщиком своих обязательств по Основному договору.</w:t>
      </w:r>
    </w:p>
    <w:p>
      <w:pPr>
        <w:pStyle w:val="Heading1"/>
        <w:numPr>
          <w:ilvl w:val="0"/>
          <w:numId w:val="3"/>
        </w:numPr>
        <w:spacing w:before="0" w:after="258"/>
        <w:ind w:hanging="220" w:left="220"/>
        <w:rPr>
          <w:highlight w:val="none"/>
          <w:shd w:fill="auto" w:val="clear"/>
        </w:rPr>
      </w:pPr>
      <w:r>
        <w:rPr>
          <w:shd w:fill="auto" w:val="clear"/>
        </w:rPr>
        <w:t>ПРАВА ПОРУЧИТЕЛЯ</w:t>
      </w:r>
    </w:p>
    <w:p>
      <w:pPr>
        <w:pStyle w:val="Normal"/>
        <w:ind w:hanging="10" w:left="-5"/>
        <w:rPr>
          <w:highlight w:val="none"/>
          <w:shd w:fill="auto" w:val="clear"/>
        </w:rPr>
      </w:pPr>
      <w:r>
        <w:rPr>
          <w:shd w:fill="auto" w:val="clear"/>
          <w:lang w:val="ru-RU"/>
        </w:rPr>
        <w:t>2.1. Поручитель вправе выдвигать против требования Займодавца возражения, которые мог бы представить Заемщик. Поручитель не теряет право на эти возражения даже в том случае, если Заемщик от них откажется или признает свой долг в досудебном или судебном порядке. К таким возражениям в частности относятся:</w:t>
      </w:r>
    </w:p>
    <w:p>
      <w:pPr>
        <w:pStyle w:val="Normal"/>
        <w:ind w:hanging="285" w:left="270"/>
        <w:rPr>
          <w:highlight w:val="none"/>
          <w:shd w:fill="auto" w:val="clear"/>
        </w:rPr>
      </w:pPr>
      <w:r>
        <w:rPr>
          <w:shd w:fill="auto" w:val="clear"/>
          <w:lang w:val="ru-RU"/>
        </w:rPr>
        <w:t xml:space="preserve"> </w:t>
      </w:r>
      <w:r>
        <w:rPr>
          <w:shd w:fill="auto" w:val="clear"/>
          <w:lang w:val="ru-RU"/>
        </w:rPr>
        <w:t>о ничтожности сделки, из которой возникло обеспеченное поручительством обязательство, либо о недействительности оспоримой сделки, признанной таковой судом;</w:t>
      </w:r>
    </w:p>
    <w:p>
      <w:pPr>
        <w:pStyle w:val="Normal"/>
        <w:ind w:hanging="285" w:left="270"/>
        <w:rPr>
          <w:highlight w:val="none"/>
          <w:shd w:fill="auto" w:val="clear"/>
        </w:rPr>
      </w:pPr>
      <w:r>
        <w:rPr>
          <w:shd w:fill="auto" w:val="clear"/>
          <w:lang w:val="ru-RU"/>
        </w:rPr>
        <w:t xml:space="preserve"> </w:t>
      </w:r>
      <w:r>
        <w:rPr>
          <w:shd w:fill="auto" w:val="clear"/>
          <w:lang w:val="ru-RU"/>
        </w:rPr>
        <w:t>о неисполнении либо ненадлежащем исполнении Займодавцем по обеспеченному обязательству обязанностей, установленных законом или Основным договором;</w:t>
      </w:r>
    </w:p>
    <w:p>
      <w:pPr>
        <w:pStyle w:val="Normal"/>
        <w:tabs>
          <w:tab w:val="clear" w:pos="720"/>
          <w:tab w:val="center" w:pos="3103" w:leader="none"/>
        </w:tabs>
        <w:ind w:hanging="0" w:left="-15"/>
        <w:jc w:val="left"/>
        <w:rPr>
          <w:highlight w:val="none"/>
          <w:shd w:fill="auto" w:val="clear"/>
        </w:rPr>
      </w:pPr>
      <w:r>
        <w:rPr>
          <w:shd w:fill="auto" w:val="clear"/>
          <w:lang w:val="ru-RU"/>
        </w:rPr>
        <w:t xml:space="preserve"> </w:t>
      </w:r>
      <w:r>
        <w:rPr>
          <w:shd w:fill="auto" w:val="clear"/>
          <w:lang w:val="ru-RU"/>
        </w:rPr>
        <w:tab/>
        <w:t xml:space="preserve">об истечении исковой давности по требованию </w:t>
      </w:r>
      <w:r>
        <w:rPr>
          <w:shd w:fill="auto" w:val="clear"/>
        </w:rPr>
        <w:t>Займодавца;</w:t>
      </w:r>
    </w:p>
    <w:p>
      <w:pPr>
        <w:pStyle w:val="Normal"/>
        <w:tabs>
          <w:tab w:val="clear" w:pos="720"/>
          <w:tab w:val="right" w:pos="10006" w:leader="none"/>
        </w:tabs>
        <w:ind w:hanging="0" w:left="-15"/>
        <w:jc w:val="left"/>
        <w:rPr>
          <w:highlight w:val="none"/>
          <w:shd w:fill="auto" w:val="clear"/>
        </w:rPr>
      </w:pPr>
      <w:r>
        <w:rPr>
          <w:shd w:fill="auto" w:val="clear"/>
        </w:rPr>
        <w:t xml:space="preserve"> </w:t>
      </w:r>
      <w:r>
        <w:rPr>
          <w:shd w:fill="auto" w:val="clear"/>
        </w:rPr>
        <w:tab/>
      </w:r>
      <w:r>
        <w:rPr>
          <w:shd w:fill="auto" w:val="clear"/>
          <w:lang w:val="ru-RU"/>
        </w:rPr>
        <w:t>о прекращении обеспеченного обязательства по основаниям, установленным законом или договором</w:t>
      </w:r>
    </w:p>
    <w:p>
      <w:pPr>
        <w:pStyle w:val="Normal"/>
        <w:ind w:firstLine="285" w:left="-15" w:right="745"/>
        <w:rPr>
          <w:highlight w:val="none"/>
          <w:shd w:fill="auto" w:val="clear"/>
        </w:rPr>
      </w:pPr>
      <w:r>
        <w:rPr>
          <w:shd w:fill="auto" w:val="clear"/>
          <w:lang w:val="ru-RU"/>
        </w:rPr>
        <w:t xml:space="preserve">(статья 407 Гражданского кодекса Российской Федерации, далее – ГК РФ);  </w:t>
        <w:tab/>
        <w:t>о снижении суммы неустойки, подлежащей уплате Заемщиком на основании статьи 333 ГК РФ.</w:t>
      </w:r>
    </w:p>
    <w:p>
      <w:pPr>
        <w:pStyle w:val="Normal"/>
        <w:ind w:hanging="10" w:left="-5"/>
        <w:rPr>
          <w:highlight w:val="none"/>
          <w:shd w:fill="auto" w:val="clear"/>
        </w:rPr>
      </w:pPr>
      <w:r>
        <w:rPr>
          <w:shd w:fill="auto" w:val="clear"/>
          <w:lang w:val="ru-RU"/>
        </w:rPr>
        <w:t>2.2. К Поручителю, исполнившему обязательство, переходят права Займодавца по Основному договору, в том объёме, в котором Поручитель удовлетворит требование Займодавца.</w:t>
      </w:r>
    </w:p>
    <w:p>
      <w:pPr>
        <w:pStyle w:val="Normal"/>
        <w:ind w:hanging="10" w:left="-5"/>
        <w:rPr>
          <w:highlight w:val="none"/>
          <w:shd w:fill="auto" w:val="clear"/>
        </w:rPr>
      </w:pPr>
      <w:r>
        <w:rPr>
          <w:shd w:fill="auto" w:val="clear"/>
          <w:lang w:val="ru-RU"/>
        </w:rPr>
        <w:t>2.3. В случае если обеспеченное поручительством обязательство было изменено без согласия Поручителя, что повлекло за собой увеличение ответственности или иные неблагоприятные последствия, Поручитель отвечает на прежних условиях.</w:t>
      </w:r>
    </w:p>
    <w:p>
      <w:pPr>
        <w:pStyle w:val="Normal"/>
        <w:spacing w:before="0" w:after="234"/>
        <w:ind w:hanging="10" w:left="-5"/>
        <w:rPr>
          <w:highlight w:val="none"/>
          <w:shd w:fill="auto" w:val="clear"/>
        </w:rPr>
      </w:pPr>
      <w:r>
        <w:rPr>
          <w:shd w:fill="auto" w:val="clear"/>
          <w:lang w:val="ru-RU"/>
        </w:rPr>
        <w:t>2.5. При утрате существовавшего на момент возникновения поручительства обеспечения основного обязательства или ухудшении условий его обеспечения по обстоятельствам, зависящим от Займодавца, Поручитель освобождается от ответственности в той мере, в какой он мог потребовать возмещения за счёт утраченного обеспечения, если докажет, что в момент заключения настоящего Договора он был вправе разумно рассчитывать на такое возмещение.</w:t>
      </w:r>
    </w:p>
    <w:p>
      <w:pPr>
        <w:pStyle w:val="Heading1"/>
        <w:numPr>
          <w:ilvl w:val="0"/>
          <w:numId w:val="3"/>
        </w:numPr>
        <w:spacing w:before="0" w:after="231"/>
        <w:ind w:hanging="220" w:left="220"/>
        <w:rPr>
          <w:highlight w:val="none"/>
          <w:shd w:fill="auto" w:val="clear"/>
        </w:rPr>
      </w:pPr>
      <w:r>
        <w:rPr>
          <w:shd w:fill="auto" w:val="clear"/>
        </w:rPr>
        <w:t>ПРЕКРАЩЕНИЕ ПОРУЧИТЕЛЬСТВА</w:t>
      </w:r>
    </w:p>
    <w:p>
      <w:pPr>
        <w:pStyle w:val="Normal"/>
        <w:ind w:hanging="10" w:left="-5"/>
        <w:rPr>
          <w:highlight w:val="none"/>
          <w:shd w:fill="auto" w:val="clear"/>
        </w:rPr>
      </w:pPr>
      <w:r>
        <w:rPr>
          <w:shd w:fill="auto" w:val="clear"/>
          <w:lang w:val="ru-RU"/>
        </w:rPr>
        <w:t>3.1. Поручительство прекращается в следующих случаях:</w:t>
      </w:r>
    </w:p>
    <w:p>
      <w:pPr>
        <w:pStyle w:val="Normal"/>
        <w:ind w:hanging="10" w:left="-5"/>
        <w:rPr>
          <w:highlight w:val="none"/>
          <w:shd w:fill="auto" w:val="clear"/>
        </w:rPr>
      </w:pPr>
      <w:r>
        <w:rPr>
          <w:shd w:fill="auto" w:val="clear"/>
          <w:lang w:val="ru-RU"/>
        </w:rPr>
        <w:t>3.1.1. с прекращением обеспеченного им обязательства Заемщика по Основному договору;</w:t>
      </w:r>
    </w:p>
    <w:p>
      <w:pPr>
        <w:pStyle w:val="Normal"/>
        <w:ind w:hanging="10" w:left="-5"/>
        <w:rPr>
          <w:highlight w:val="none"/>
          <w:shd w:fill="auto" w:val="clear"/>
        </w:rPr>
      </w:pPr>
      <w:r>
        <w:rPr>
          <w:shd w:fill="auto" w:val="clear"/>
          <w:lang w:val="ru-RU"/>
        </w:rPr>
        <w:t>3.1.2. с переводом на другое лицо долга по обеспеченному поручительством обязательству, если Поручитель в разумный срок после направления ему уведомления о переводе долга не согласился отвечать за нового Заемщика;</w:t>
      </w:r>
    </w:p>
    <w:p>
      <w:pPr>
        <w:pStyle w:val="Normal"/>
        <w:ind w:hanging="10" w:left="-5"/>
        <w:rPr>
          <w:highlight w:val="none"/>
          <w:shd w:fill="auto" w:val="clear"/>
        </w:rPr>
      </w:pPr>
      <w:r>
        <w:rPr>
          <w:shd w:fill="auto" w:val="clear"/>
          <w:lang w:val="ru-RU"/>
        </w:rPr>
        <w:t>3.1.3. если Займодавец отказался принять надлежащее исполнение, предложенное Заемщиком или Поручителем;</w:t>
      </w:r>
    </w:p>
    <w:p>
      <w:pPr>
        <w:pStyle w:val="Normal"/>
        <w:spacing w:before="0" w:after="237"/>
        <w:ind w:hanging="10" w:left="-5"/>
        <w:rPr>
          <w:highlight w:val="none"/>
          <w:shd w:fill="auto" w:val="clear"/>
        </w:rPr>
      </w:pPr>
      <w:r>
        <w:rPr>
          <w:shd w:fill="auto" w:val="clear"/>
          <w:lang w:val="ru-RU"/>
        </w:rPr>
        <w:t>3.2. Смерть Заемщика или банкротство не прекращает поручительство, оно продолжает действовать на прежних условиях, обеспечивая исполнение обязательств правопреемником Заемщика.</w:t>
      </w:r>
    </w:p>
    <w:p>
      <w:pPr>
        <w:pStyle w:val="Heading1"/>
        <w:numPr>
          <w:ilvl w:val="0"/>
          <w:numId w:val="3"/>
        </w:numPr>
        <w:spacing w:before="0" w:after="258"/>
        <w:ind w:hanging="220" w:left="220"/>
        <w:rPr>
          <w:highlight w:val="none"/>
          <w:shd w:fill="auto" w:val="clear"/>
        </w:rPr>
      </w:pPr>
      <w:r>
        <w:rPr>
          <w:shd w:fill="auto" w:val="clear"/>
        </w:rPr>
        <w:t>ПОРЯДОК РАЗРЕШЕНИЯ СПОРОВ</w:t>
      </w:r>
    </w:p>
    <w:p>
      <w:pPr>
        <w:pStyle w:val="Normal"/>
        <w:ind w:hanging="10" w:left="-5"/>
        <w:rPr>
          <w:highlight w:val="none"/>
          <w:shd w:fill="auto" w:val="clear"/>
        </w:rPr>
      </w:pPr>
      <w:r>
        <w:rPr>
          <w:shd w:fill="auto" w:val="clear"/>
          <w:lang w:val="ru-RU"/>
        </w:rPr>
        <w:t>4.1. Споры и разногласия, которые могут возникнуть при исполнении Договора, Стороны будут стремиться разрешить в досудебном (претензионном) порядке, но в суд любая сторона может обратиться без подтверждения попытки урегулирования разногласий и споров в досудебном порядке.</w:t>
      </w:r>
    </w:p>
    <w:p>
      <w:pPr>
        <w:pStyle w:val="Normal"/>
        <w:ind w:hanging="10" w:left="-5"/>
        <w:rPr>
          <w:highlight w:val="none"/>
          <w:shd w:fill="auto" w:val="clear"/>
        </w:rPr>
      </w:pPr>
      <w:r>
        <w:rPr>
          <w:shd w:fill="auto" w:val="clear"/>
          <w:lang w:val="ru-RU"/>
        </w:rPr>
        <w:t>4.2. Сторона Договора, право которой нарушено, до обращения в суд обязана предъявить другой стороне претензию с изложением своих требований.</w:t>
      </w:r>
    </w:p>
    <w:p>
      <w:pPr>
        <w:pStyle w:val="Normal"/>
        <w:ind w:hanging="10" w:left="-5"/>
        <w:rPr>
          <w:highlight w:val="none"/>
          <w:shd w:fill="auto" w:val="clear"/>
        </w:rPr>
      </w:pPr>
      <w:r>
        <w:rPr>
          <w:shd w:fill="auto" w:val="clear"/>
          <w:lang w:val="ru-RU"/>
        </w:rPr>
        <w:t>4.3. Претензия направляется по электронной почте, указанной в Разделе 7 Договора, с уведомлением о вручении, либо вручается нарочно под расписку.</w:t>
      </w:r>
    </w:p>
    <w:p>
      <w:pPr>
        <w:pStyle w:val="Normal"/>
        <w:ind w:hanging="10" w:left="-5"/>
        <w:rPr>
          <w:highlight w:val="none"/>
          <w:shd w:fill="auto" w:val="clear"/>
        </w:rPr>
      </w:pPr>
      <w:r>
        <w:rPr>
          <w:shd w:fill="auto" w:val="clear"/>
          <w:lang w:val="ru-RU"/>
        </w:rPr>
        <w:t>4.4. Срок для ответа на претензию устанавливается в 10 календарных дней со дня её получения. При этом датой получения считается дата доставки письма по электронной почте или подпись уполномоченного лица одном из экземпляров претензии.</w:t>
      </w:r>
    </w:p>
    <w:p>
      <w:pPr>
        <w:pStyle w:val="Normal"/>
        <w:ind w:hanging="10" w:left="-5"/>
        <w:rPr>
          <w:highlight w:val="none"/>
          <w:shd w:fill="auto" w:val="clear"/>
        </w:rPr>
      </w:pPr>
      <w:r>
        <w:rPr>
          <w:shd w:fill="auto" w:val="clear"/>
          <w:lang w:val="ru-RU"/>
        </w:rPr>
        <w:t>4.5. Ответ на претензию направляется по электронной почте, по адресу стороны, указанному в Разделе 7 Договора или вручается нарочно уполномоченному представителю стороны, заявившей претензию.</w:t>
      </w:r>
    </w:p>
    <w:p>
      <w:pPr>
        <w:pStyle w:val="Normal"/>
        <w:ind w:hanging="10" w:left="-5"/>
        <w:rPr>
          <w:highlight w:val="none"/>
          <w:shd w:fill="auto" w:val="clear"/>
        </w:rPr>
      </w:pPr>
      <w:r>
        <w:rPr>
          <w:shd w:fill="auto" w:val="clear"/>
          <w:lang w:val="ru-RU"/>
        </w:rPr>
        <w:t>4.6. В случае, если в указанный в претензии срок требования не будут удовлетворены (полностью или частично), либо претензия будет оставлена без ответа, сторона, право которой нарушено, вправе обратиться с исковым заявлением в суд. Любая сторона имеет право обратиться в срок и без соблюдения указанного выше досудебного порядка.</w:t>
      </w:r>
    </w:p>
    <w:p>
      <w:pPr>
        <w:pStyle w:val="Heading1"/>
        <w:numPr>
          <w:ilvl w:val="0"/>
          <w:numId w:val="3"/>
        </w:numPr>
        <w:ind w:hanging="220" w:left="220"/>
        <w:rPr>
          <w:highlight w:val="none"/>
          <w:shd w:fill="auto" w:val="clear"/>
        </w:rPr>
      </w:pPr>
      <w:r>
        <w:rPr>
          <w:shd w:fill="auto" w:val="clear"/>
        </w:rPr>
        <w:t>ФОРС-МАЖОР</w:t>
      </w:r>
    </w:p>
    <w:p>
      <w:pPr>
        <w:pStyle w:val="Normal"/>
        <w:rPr>
          <w:highlight w:val="none"/>
          <w:shd w:fill="auto" w:val="clear"/>
        </w:rPr>
      </w:pPr>
      <w:r>
        <w:rPr>
          <w:shd w:fill="auto" w:val="clear"/>
        </w:rPr>
      </w:r>
    </w:p>
    <w:p>
      <w:pPr>
        <w:pStyle w:val="Normal"/>
        <w:ind w:hanging="10" w:left="-5"/>
        <w:rPr>
          <w:highlight w:val="none"/>
          <w:shd w:fill="auto" w:val="clear"/>
        </w:rPr>
      </w:pPr>
      <w:r>
        <w:rPr>
          <w:shd w:fill="auto" w:val="clear"/>
          <w:lang w:val="ru-RU"/>
        </w:rPr>
        <w:t>5.1. Стороны освобождаются от ответственности за неисполнение или ненадлежащее исполнение обязательств по Договору, если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 под которыми понимаются в том числе: запретные действия властей, гражданские волнения, эпидемии (если они повлияли непосредственно на деятельность стороны негативным образом), землетрясения, наводнения, пожары или другие стихийные бедствия.</w:t>
      </w:r>
    </w:p>
    <w:p>
      <w:pPr>
        <w:pStyle w:val="Normal"/>
        <w:ind w:hanging="10" w:left="-5"/>
        <w:rPr>
          <w:highlight w:val="none"/>
          <w:shd w:fill="auto" w:val="clear"/>
        </w:rPr>
      </w:pPr>
      <w:r>
        <w:rPr>
          <w:shd w:fill="auto" w:val="clear"/>
          <w:lang w:val="ru-RU"/>
        </w:rPr>
        <w:t>5.2. В случае наступления данных обстоятельств, сторона Договора, для которой его исполнение стало невозможным или затруднительным, обязана в течение 3-х календарных дней уведомить об этом другую сторону.</w:t>
      </w:r>
    </w:p>
    <w:p>
      <w:pPr>
        <w:pStyle w:val="Normal"/>
        <w:ind w:hanging="10" w:left="-5"/>
        <w:rPr>
          <w:highlight w:val="none"/>
          <w:shd w:fill="auto" w:val="clear"/>
        </w:rPr>
      </w:pPr>
      <w:r>
        <w:rPr>
          <w:shd w:fill="auto" w:val="clear"/>
          <w:lang w:val="ru-RU"/>
        </w:rPr>
        <w:t>5.3. В случае если обстоятельства непреодолимой силы продолжают действовать более 30-ти календарных дней, каждая из сторон Договора приобретает право расторгнуть Договор в одностороннем порядке, при условии уведомления другой стороны не позднее, чем за 7 календарных дней до предполагаемой даты расторжения Договора.</w:t>
      </w:r>
    </w:p>
    <w:p>
      <w:pPr>
        <w:pStyle w:val="Heading1"/>
        <w:numPr>
          <w:ilvl w:val="0"/>
          <w:numId w:val="3"/>
        </w:numPr>
        <w:ind w:hanging="220" w:left="220"/>
        <w:rPr>
          <w:highlight w:val="none"/>
          <w:shd w:fill="auto" w:val="clear"/>
        </w:rPr>
      </w:pPr>
      <w:r>
        <w:rPr>
          <w:shd w:fill="auto" w:val="clear"/>
        </w:rPr>
        <w:t>ЗАКЛЮЧИТЕЛЬНЫЕ ПОЛОЖЕНИЯ</w:t>
      </w:r>
    </w:p>
    <w:p>
      <w:pPr>
        <w:pStyle w:val="Normal"/>
        <w:ind w:hanging="10" w:left="-5"/>
        <w:rPr>
          <w:highlight w:val="none"/>
          <w:shd w:fill="auto" w:val="clear"/>
        </w:rPr>
      </w:pPr>
      <w:r>
        <w:rPr>
          <w:shd w:fill="auto" w:val="clear"/>
          <w:lang w:val="ru-RU"/>
        </w:rPr>
        <w:t>6.1. После исполнения Поручителем обеспеченных настоящим Договором обязательств, Займодавец обязан вручить Поручителю документы, удостоверяющие требование к Заемщику, и передать права, обеспечивающие это требование.</w:t>
      </w:r>
    </w:p>
    <w:p>
      <w:pPr>
        <w:pStyle w:val="Normal"/>
        <w:ind w:hanging="10" w:left="-5"/>
        <w:rPr>
          <w:highlight w:val="none"/>
          <w:shd w:fill="auto" w:val="clear"/>
        </w:rPr>
      </w:pPr>
      <w:r>
        <w:rPr>
          <w:shd w:fill="auto" w:val="clear"/>
          <w:lang w:val="ru-RU"/>
        </w:rPr>
        <w:t>6.2. Договор составлен в двух экземплярах, имеющих одинаковую юридическую силу, по одному экземпляру для каждой из сторон.</w:t>
      </w:r>
    </w:p>
    <w:p>
      <w:pPr>
        <w:pStyle w:val="Normal"/>
        <w:ind w:hanging="10" w:left="-5"/>
        <w:rPr>
          <w:highlight w:val="none"/>
          <w:shd w:fill="auto" w:val="clear"/>
        </w:rPr>
      </w:pPr>
      <w:r>
        <w:rPr>
          <w:shd w:fill="auto" w:val="clear"/>
          <w:lang w:val="ru-RU"/>
        </w:rPr>
        <w:t>6.3. Договор составлен как единое целое со всеми его приложениями и дополнительными соглашениями. Договор не может рассматриваться и/или толковаться без учёта содержания приложений к нему.</w:t>
      </w:r>
    </w:p>
    <w:p>
      <w:pPr>
        <w:pStyle w:val="Normal"/>
        <w:ind w:hanging="10" w:left="-5"/>
        <w:rPr>
          <w:highlight w:val="none"/>
          <w:shd w:fill="auto" w:val="clear"/>
        </w:rPr>
      </w:pPr>
      <w:r>
        <w:rPr>
          <w:shd w:fill="auto" w:val="clear"/>
          <w:lang w:val="ru-RU"/>
        </w:rPr>
        <w:t>6.4. 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w:t>
      </w:r>
      <w:r>
        <w:rPr>
          <w:shd w:fill="auto" w:val="clear"/>
        </w:rPr>
        <w:t>Telegram</w:t>
      </w:r>
      <w:r>
        <w:rPr>
          <w:shd w:fill="auto" w:val="clear"/>
          <w:lang w:val="ru-RU"/>
        </w:rPr>
        <w:t>) по номерам телефонов, а также по адресам электронной почты, указанным в Разделе 7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 неполучение явилось результатом неисправности систем связи, действия или бездействия провайдеров получающей стороны.</w:t>
      </w:r>
    </w:p>
    <w:p>
      <w:pPr>
        <w:pStyle w:val="Normal"/>
        <w:ind w:hanging="10" w:left="-5"/>
        <w:rPr>
          <w:highlight w:val="none"/>
          <w:shd w:fill="auto" w:val="clear"/>
        </w:rPr>
      </w:pPr>
      <w:r>
        <w:rPr>
          <w:shd w:fill="auto" w:val="clear"/>
          <w:lang w:val="ru-RU"/>
        </w:rPr>
        <w:t>6.5. В соответствии со ст. 431.2 ГК РФ каждая из сторон гарантирует и заверяет другую сторону об отсутствии возможности отправки электронных сообщений с указанных в Разделе 7 Договора адресов электронной почты и номеров телефона неуполномоченными лицами. При исполнении Договора Стороны будут руководствоваться исключительно таким заверением, и считать любое лицо, отправляющее указанным образом информацию или документы, уполномоченным на получение и отправку от имени соответствующей стороны Договора. В случае изменения адресов электронной почты, номера телефона или нарушения указанного выше заверения, данная сторона обязуется незамедлительно уведомить другую сторону об этом и несёт все риски, возникшие до получения такого уведомления другой стороной.</w:t>
      </w:r>
    </w:p>
    <w:p>
      <w:pPr>
        <w:pStyle w:val="Normal"/>
        <w:spacing w:before="0" w:after="342"/>
        <w:ind w:hanging="10" w:left="-5"/>
        <w:rPr>
          <w:highlight w:val="none"/>
          <w:shd w:fill="auto" w:val="clear"/>
        </w:rPr>
      </w:pPr>
      <w:r>
        <w:rPr>
          <w:shd w:fill="auto" w:val="clear"/>
          <w:lang w:val="ru-RU"/>
        </w:rPr>
        <w:t xml:space="preserve">6.6. Договор действует с момента его заключения и до </w:t>
      </w:r>
      <w:r>
        <w:rPr>
          <w:b/>
          <w:sz w:val="23"/>
          <w:shd w:fill="auto" w:val="clear"/>
          <w:lang w:val="ru-RU"/>
        </w:rPr>
        <w:t>@&lt;CONTRACT_TERM&gt;@</w:t>
      </w:r>
      <w:r>
        <w:rPr>
          <w:shd w:fill="auto" w:val="clear"/>
          <w:lang w:val="ru-RU"/>
        </w:rPr>
        <w:t>, то есть продолжает действовать в течение 3 лет с даты, когда сумма долга по Основному договору должна быть возвращена. В случае досрочного прекращения Основного договора настоящий Договор действует еще в течение 3 лет с даты такого досрочного прекращения.</w:t>
      </w:r>
    </w:p>
    <w:p>
      <w:pPr>
        <w:pStyle w:val="Heading1"/>
        <w:numPr>
          <w:ilvl w:val="0"/>
          <w:numId w:val="3"/>
        </w:numPr>
        <w:ind w:hanging="220" w:left="220"/>
        <w:rPr>
          <w:highlight w:val="none"/>
          <w:shd w:fill="auto" w:val="clear"/>
        </w:rPr>
      </w:pPr>
      <w:r>
        <w:rPr>
          <w:shd w:fill="auto" w:val="clear"/>
        </w:rPr>
        <w:t>РЕКВИЗИТЫ И ПОДПИСИ СТОРОН</w:t>
      </w:r>
    </w:p>
    <w:tbl>
      <w:tblPr>
        <w:tblStyle w:val="TableGrid"/>
        <w:tblW w:w="10220" w:type="dxa"/>
        <w:jc w:val="left"/>
        <w:tblInd w:w="-110" w:type="dxa"/>
        <w:tblLayout w:type="fixed"/>
        <w:tblCellMar>
          <w:top w:w="71" w:type="dxa"/>
          <w:left w:w="110" w:type="dxa"/>
          <w:bottom w:w="0" w:type="dxa"/>
          <w:right w:w="100" w:type="dxa"/>
        </w:tblCellMar>
        <w:tblLook w:val="04a0" w:noHBand="0" w:noVBand="1" w:firstColumn="1" w:lastRow="0" w:lastColumn="0" w:firstRow="1"/>
      </w:tblPr>
      <w:tblGrid>
        <w:gridCol w:w="5040"/>
        <w:gridCol w:w="5179"/>
      </w:tblGrid>
      <w:tr>
        <w:trPr>
          <w:trHeight w:val="6740" w:hRule="atLeast"/>
        </w:trPr>
        <w:tc>
          <w:tcPr>
            <w:tcW w:w="504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0"/>
              <w:ind w:hanging="0" w:left="0"/>
              <w:jc w:val="center"/>
              <w:rPr>
                <w:kern w:val="0"/>
                <w:sz w:val="22"/>
                <w:szCs w:val="22"/>
                <w:highlight w:val="none"/>
                <w:shd w:fill="auto" w:val="clear"/>
                <w:lang w:val="en-US" w:eastAsia="en-US" w:bidi="ar-SA"/>
              </w:rPr>
            </w:pPr>
            <w:r>
              <w:rPr>
                <w:kern w:val="0"/>
                <w:sz w:val="22"/>
                <w:szCs w:val="22"/>
                <w:shd w:fill="auto" w:val="clear"/>
                <w:lang w:val="en-US" w:eastAsia="en-US" w:bidi="ar-SA"/>
              </w:rPr>
              <w:t>ПОРУЧИТЕЛЬ</w:t>
            </w:r>
          </w:p>
          <w:p>
            <w:pPr>
              <w:pStyle w:val="Normal"/>
              <w:widowControl w:val="false"/>
              <w:suppressAutoHyphens w:val="true"/>
              <w:spacing w:lineRule="auto" w:line="259" w:before="0" w:after="43"/>
              <w:ind w:hanging="0" w:left="0"/>
              <w:jc w:val="left"/>
              <w:rPr>
                <w:kern w:val="0"/>
                <w:sz w:val="22"/>
                <w:szCs w:val="22"/>
                <w:highlight w:val="none"/>
                <w:shd w:fill="auto" w:val="clear"/>
                <w:lang w:val="en-US" w:eastAsia="en-US" w:bidi="ar-SA"/>
              </w:rPr>
            </w:pPr>
            <w:r>
              <w:rPr>
                <w:b/>
                <w:kern w:val="0"/>
                <w:sz w:val="22"/>
                <w:szCs w:val="22"/>
                <w:shd w:fill="auto" w:val="clear"/>
                <w:lang w:val="en-US" w:eastAsia="en-US" w:bidi="ar-SA"/>
              </w:rPr>
              <w:t>ООО «Русский Тоннаж»</w:t>
            </w:r>
          </w:p>
          <w:p>
            <w:pPr>
              <w:pStyle w:val="Normal"/>
              <w:widowControl w:val="false"/>
              <w:suppressAutoHyphens w:val="true"/>
              <w:spacing w:lineRule="auto" w:line="259" w:before="0" w:after="22"/>
              <w:ind w:hanging="0" w:left="0"/>
              <w:jc w:val="left"/>
              <w:rPr>
                <w:kern w:val="0"/>
                <w:sz w:val="22"/>
                <w:szCs w:val="22"/>
                <w:highlight w:val="none"/>
                <w:shd w:fill="auto" w:val="clear"/>
                <w:lang w:val="en-US" w:eastAsia="en-US" w:bidi="ar-SA"/>
              </w:rPr>
            </w:pPr>
            <w:r>
              <w:rPr>
                <w:b/>
                <w:kern w:val="0"/>
                <w:sz w:val="22"/>
                <w:szCs w:val="22"/>
                <w:shd w:fill="auto" w:val="clear"/>
                <w:lang w:val="en-US" w:eastAsia="en-US" w:bidi="ar-SA"/>
              </w:rPr>
              <w:t xml:space="preserve">Юр.адрес: </w:t>
            </w:r>
            <w:r>
              <w:rPr>
                <w:kern w:val="0"/>
                <w:sz w:val="22"/>
                <w:szCs w:val="22"/>
                <w:shd w:fill="auto" w:val="clear"/>
                <w:lang w:val="en-US" w:eastAsia="en-US" w:bidi="ar-SA"/>
              </w:rPr>
              <w:t>353907, Краснодарский край, город</w:t>
            </w:r>
          </w:p>
          <w:p>
            <w:pPr>
              <w:pStyle w:val="Normal"/>
              <w:widowControl w:val="false"/>
              <w:suppressAutoHyphens w:val="true"/>
              <w:spacing w:lineRule="auto" w:line="259" w:before="0" w:after="44"/>
              <w:ind w:hanging="0" w:left="0"/>
              <w:jc w:val="left"/>
              <w:rPr>
                <w:kern w:val="0"/>
                <w:sz w:val="22"/>
                <w:szCs w:val="22"/>
                <w:highlight w:val="none"/>
                <w:shd w:fill="auto" w:val="clear"/>
                <w:lang w:eastAsia="en-US" w:bidi="ar-SA"/>
              </w:rPr>
            </w:pPr>
            <w:r>
              <w:rPr>
                <w:kern w:val="0"/>
                <w:sz w:val="22"/>
                <w:szCs w:val="22"/>
                <w:shd w:fill="auto" w:val="clear"/>
                <w:lang w:val="ru-RU" w:eastAsia="en-US" w:bidi="ar-SA"/>
              </w:rPr>
              <w:t>Новороссийск, улица Чкалова, дом 48, оф. 16</w:t>
            </w:r>
          </w:p>
          <w:p>
            <w:pPr>
              <w:pStyle w:val="Normal"/>
              <w:widowControl w:val="false"/>
              <w:suppressAutoHyphens w:val="true"/>
              <w:spacing w:lineRule="auto" w:line="259" w:before="0" w:after="50"/>
              <w:ind w:hanging="0" w:left="0"/>
              <w:jc w:val="left"/>
              <w:rPr>
                <w:kern w:val="0"/>
                <w:sz w:val="22"/>
                <w:szCs w:val="22"/>
                <w:highlight w:val="none"/>
                <w:shd w:fill="auto" w:val="clear"/>
                <w:lang w:eastAsia="en-US" w:bidi="ar-SA"/>
              </w:rPr>
            </w:pPr>
            <w:r>
              <w:rPr>
                <w:b/>
                <w:kern w:val="0"/>
                <w:sz w:val="22"/>
                <w:szCs w:val="22"/>
                <w:shd w:fill="auto" w:val="clear"/>
                <w:lang w:val="ru-RU" w:eastAsia="en-US" w:bidi="ar-SA"/>
              </w:rPr>
              <w:t xml:space="preserve">ОГРН </w:t>
            </w:r>
            <w:r>
              <w:rPr>
                <w:kern w:val="0"/>
                <w:sz w:val="22"/>
                <w:szCs w:val="22"/>
                <w:shd w:fill="auto" w:val="clear"/>
                <w:lang w:val="ru-RU" w:eastAsia="en-US" w:bidi="ar-SA"/>
              </w:rPr>
              <w:t>1172375061891</w:t>
            </w:r>
          </w:p>
          <w:p>
            <w:pPr>
              <w:pStyle w:val="Normal"/>
              <w:widowControl w:val="false"/>
              <w:suppressAutoHyphens w:val="true"/>
              <w:spacing w:lineRule="auto" w:line="259" w:before="0" w:after="50"/>
              <w:ind w:hanging="0" w:left="0"/>
              <w:jc w:val="left"/>
              <w:rPr>
                <w:kern w:val="0"/>
                <w:sz w:val="22"/>
                <w:szCs w:val="22"/>
                <w:highlight w:val="none"/>
                <w:shd w:fill="auto" w:val="clear"/>
                <w:lang w:eastAsia="en-US" w:bidi="ar-SA"/>
              </w:rPr>
            </w:pPr>
            <w:r>
              <w:rPr>
                <w:b/>
                <w:kern w:val="0"/>
                <w:sz w:val="22"/>
                <w:szCs w:val="22"/>
                <w:shd w:fill="auto" w:val="clear"/>
                <w:lang w:val="ru-RU" w:eastAsia="en-US" w:bidi="ar-SA"/>
              </w:rPr>
              <w:t xml:space="preserve">ИНН </w:t>
            </w:r>
            <w:r>
              <w:rPr>
                <w:kern w:val="0"/>
                <w:sz w:val="22"/>
                <w:szCs w:val="22"/>
                <w:shd w:fill="auto" w:val="clear"/>
                <w:lang w:val="ru-RU" w:eastAsia="en-US" w:bidi="ar-SA"/>
              </w:rPr>
              <w:t>2315996766</w:t>
            </w:r>
          </w:p>
          <w:p>
            <w:pPr>
              <w:pStyle w:val="Normal"/>
              <w:widowControl w:val="false"/>
              <w:suppressAutoHyphens w:val="true"/>
              <w:spacing w:lineRule="auto" w:line="259" w:before="0" w:after="22"/>
              <w:ind w:hanging="0" w:left="0"/>
              <w:jc w:val="left"/>
              <w:rPr>
                <w:kern w:val="0"/>
                <w:sz w:val="22"/>
                <w:szCs w:val="22"/>
                <w:highlight w:val="none"/>
                <w:shd w:fill="auto" w:val="clear"/>
                <w:lang w:eastAsia="en-US" w:bidi="ar-SA"/>
              </w:rPr>
            </w:pPr>
            <w:r>
              <w:rPr>
                <w:b/>
                <w:kern w:val="0"/>
                <w:sz w:val="22"/>
                <w:szCs w:val="22"/>
                <w:shd w:fill="auto" w:val="clear"/>
                <w:lang w:val="ru-RU" w:eastAsia="en-US" w:bidi="ar-SA"/>
              </w:rPr>
              <w:t xml:space="preserve">КПП </w:t>
            </w:r>
            <w:r>
              <w:rPr>
                <w:kern w:val="0"/>
                <w:sz w:val="22"/>
                <w:szCs w:val="22"/>
                <w:shd w:fill="auto" w:val="clear"/>
                <w:lang w:val="ru-RU" w:eastAsia="en-US" w:bidi="ar-SA"/>
              </w:rPr>
              <w:t>231501001</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b/>
                <w:kern w:val="0"/>
                <w:sz w:val="22"/>
                <w:szCs w:val="22"/>
                <w:shd w:fill="auto" w:val="clear"/>
                <w:lang w:val="ru-RU" w:eastAsia="en-US" w:bidi="ar-SA"/>
              </w:rPr>
              <w:t>Банковские реквизиты:</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ООО "РУСТОНН"</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Расчётный счёт: 40702810830000030444</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 xml:space="preserve">Банк: КРАСНОДАРСКОЕ ОТДЕЛЕНИЕ </w:t>
            </w:r>
            <w:r>
              <w:rPr>
                <w:kern w:val="0"/>
                <w:sz w:val="22"/>
                <w:szCs w:val="22"/>
                <w:shd w:fill="auto" w:val="clear"/>
                <w:lang w:val="en-US" w:eastAsia="en-US" w:bidi="ar-SA"/>
              </w:rPr>
              <w:t>N</w:t>
            </w:r>
            <w:r>
              <w:rPr>
                <w:kern w:val="0"/>
                <w:sz w:val="22"/>
                <w:szCs w:val="22"/>
                <w:shd w:fill="auto" w:val="clear"/>
                <w:lang w:val="ru-RU" w:eastAsia="en-US" w:bidi="ar-SA"/>
              </w:rPr>
              <w:t>8619</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ПАО СБЕРБАНК</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БИК: 040349602</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 xml:space="preserve">Кор. </w:t>
            </w:r>
            <w:r>
              <w:rPr>
                <w:kern w:val="0"/>
                <w:sz w:val="22"/>
                <w:szCs w:val="22"/>
                <w:shd w:fill="auto" w:val="clear"/>
                <w:lang w:val="en-US" w:eastAsia="en-US" w:bidi="ar-SA"/>
              </w:rPr>
              <w:t>C</w:t>
            </w:r>
            <w:r>
              <w:rPr>
                <w:kern w:val="0"/>
                <w:sz w:val="22"/>
                <w:szCs w:val="22"/>
                <w:shd w:fill="auto" w:val="clear"/>
                <w:lang w:val="ru-RU" w:eastAsia="en-US" w:bidi="ar-SA"/>
              </w:rPr>
              <w:t>чёт: 30101810100000000602</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ОГРН: 1172375061891</w:t>
            </w:r>
          </w:p>
          <w:p>
            <w:pPr>
              <w:pStyle w:val="Normal"/>
              <w:widowControl w:val="false"/>
              <w:suppressAutoHyphens w:val="true"/>
              <w:spacing w:lineRule="auto" w:line="259" w:before="0" w:after="17"/>
              <w:ind w:hanging="0" w:left="0"/>
              <w:jc w:val="left"/>
              <w:rPr>
                <w:kern w:val="0"/>
                <w:sz w:val="22"/>
                <w:szCs w:val="22"/>
                <w:highlight w:val="none"/>
                <w:shd w:fill="auto" w:val="clear"/>
                <w:lang w:eastAsia="en-US" w:bidi="ar-SA"/>
              </w:rPr>
            </w:pPr>
            <w:r>
              <w:rPr>
                <w:kern w:val="0"/>
                <w:sz w:val="22"/>
                <w:szCs w:val="22"/>
                <w:shd w:fill="auto" w:val="clear"/>
                <w:lang w:val="ru-RU" w:eastAsia="en-US" w:bidi="ar-SA"/>
              </w:rPr>
              <w:t>ИНН: 2315996766/КПП: 231501001</w:t>
            </w:r>
          </w:p>
          <w:p>
            <w:pPr>
              <w:pStyle w:val="Normal"/>
              <w:widowControl w:val="false"/>
              <w:suppressAutoHyphens w:val="true"/>
              <w:spacing w:lineRule="auto" w:line="259" w:before="0" w:after="44"/>
              <w:ind w:hanging="0" w:left="0"/>
              <w:jc w:val="left"/>
              <w:rPr>
                <w:kern w:val="0"/>
                <w:sz w:val="22"/>
                <w:szCs w:val="22"/>
                <w:highlight w:val="none"/>
                <w:shd w:fill="auto" w:val="clear"/>
                <w:lang w:eastAsia="en-US" w:bidi="ar-SA"/>
              </w:rPr>
            </w:pPr>
            <w:r>
              <w:rPr>
                <w:b/>
                <w:kern w:val="0"/>
                <w:sz w:val="22"/>
                <w:szCs w:val="22"/>
                <w:shd w:fill="auto" w:val="clear"/>
                <w:lang w:val="ru-RU" w:eastAsia="en-US" w:bidi="ar-SA"/>
              </w:rPr>
              <w:t>Телефон</w:t>
            </w:r>
            <w:r>
              <w:rPr>
                <w:kern w:val="0"/>
                <w:sz w:val="22"/>
                <w:szCs w:val="22"/>
                <w:shd w:fill="auto" w:val="clear"/>
                <w:lang w:val="ru-RU" w:eastAsia="en-US" w:bidi="ar-SA"/>
              </w:rPr>
              <w:t>: +7(928)6637556</w:t>
            </w:r>
          </w:p>
          <w:p>
            <w:pPr>
              <w:pStyle w:val="Normal"/>
              <w:widowControl w:val="false"/>
              <w:suppressAutoHyphens w:val="true"/>
              <w:spacing w:lineRule="auto" w:line="259" w:before="0" w:after="557"/>
              <w:ind w:hanging="0" w:left="0"/>
              <w:jc w:val="left"/>
              <w:rPr>
                <w:kern w:val="0"/>
                <w:sz w:val="22"/>
                <w:szCs w:val="22"/>
                <w:highlight w:val="none"/>
                <w:shd w:fill="auto" w:val="clear"/>
                <w:lang w:eastAsia="en-US" w:bidi="ar-SA"/>
              </w:rPr>
            </w:pPr>
            <w:r>
              <w:rPr>
                <w:b/>
                <w:kern w:val="0"/>
                <w:sz w:val="22"/>
                <w:szCs w:val="22"/>
                <w:shd w:fill="auto" w:val="clear"/>
                <w:lang w:val="ru-RU" w:eastAsia="en-US" w:bidi="ar-SA"/>
              </w:rPr>
              <w:t xml:space="preserve">Эл. почта: </w:t>
            </w:r>
            <w:r>
              <w:rPr>
                <w:kern w:val="0"/>
                <w:sz w:val="22"/>
                <w:szCs w:val="22"/>
                <w:shd w:fill="auto" w:val="clear"/>
                <w:lang w:val="en-US" w:eastAsia="en-US" w:bidi="ar-SA"/>
              </w:rPr>
              <w:t>t</w:t>
            </w:r>
            <w:r>
              <w:rPr>
                <w:kern w:val="0"/>
                <w:sz w:val="22"/>
                <w:szCs w:val="22"/>
                <w:shd w:fill="auto" w:val="clear"/>
                <w:lang w:val="ru-RU" w:eastAsia="en-US" w:bidi="ar-SA"/>
              </w:rPr>
              <w:t>.</w:t>
            </w:r>
            <w:r>
              <w:rPr>
                <w:kern w:val="0"/>
                <w:sz w:val="22"/>
                <w:szCs w:val="22"/>
                <w:shd w:fill="auto" w:val="clear"/>
                <w:lang w:val="en-US" w:eastAsia="en-US" w:bidi="ar-SA"/>
              </w:rPr>
              <w:t>pugachev</w:t>
            </w:r>
            <w:r>
              <w:rPr>
                <w:kern w:val="0"/>
                <w:sz w:val="22"/>
                <w:szCs w:val="22"/>
                <w:shd w:fill="auto" w:val="clear"/>
                <w:lang w:val="ru-RU" w:eastAsia="en-US" w:bidi="ar-SA"/>
              </w:rPr>
              <w:t>@</w:t>
            </w:r>
            <w:r>
              <w:rPr>
                <w:kern w:val="0"/>
                <w:sz w:val="22"/>
                <w:szCs w:val="22"/>
                <w:shd w:fill="auto" w:val="clear"/>
                <w:lang w:val="en-US" w:eastAsia="en-US" w:bidi="ar-SA"/>
              </w:rPr>
              <w:t>gmail</w:t>
            </w:r>
            <w:r>
              <w:rPr>
                <w:kern w:val="0"/>
                <w:sz w:val="22"/>
                <w:szCs w:val="22"/>
                <w:shd w:fill="auto" w:val="clear"/>
                <w:lang w:val="ru-RU" w:eastAsia="en-US" w:bidi="ar-SA"/>
              </w:rPr>
              <w:t>.</w:t>
            </w:r>
            <w:r>
              <w:rPr>
                <w:kern w:val="0"/>
                <w:sz w:val="22"/>
                <w:szCs w:val="22"/>
                <w:shd w:fill="auto" w:val="clear"/>
                <w:lang w:val="en-US" w:eastAsia="en-US" w:bidi="ar-SA"/>
              </w:rPr>
              <w:t>com</w:t>
            </w:r>
          </w:p>
          <w:p>
            <w:pPr>
              <w:pStyle w:val="Normal"/>
              <w:widowControl w:val="false"/>
              <w:suppressAutoHyphens w:val="true"/>
              <w:spacing w:lineRule="auto" w:line="259" w:before="0" w:after="0"/>
              <w:ind w:hanging="0" w:left="0"/>
              <w:jc w:val="right"/>
              <w:rPr>
                <w:kern w:val="0"/>
                <w:sz w:val="22"/>
                <w:szCs w:val="22"/>
                <w:highlight w:val="none"/>
                <w:shd w:fill="auto" w:val="clear"/>
                <w:lang w:val="en-US" w:eastAsia="en-US" w:bidi="ar-SA"/>
              </w:rPr>
            </w:pPr>
            <w:r>
              <w:rPr>
                <w:b/>
                <w:kern w:val="0"/>
                <w:sz w:val="22"/>
                <w:szCs w:val="22"/>
                <w:shd w:fill="auto" w:val="clear"/>
                <w:lang w:val="en-US" w:eastAsia="en-US" w:bidi="ar-SA"/>
              </w:rPr>
              <w:t xml:space="preserve">________________________/ </w:t>
            </w:r>
            <w:r>
              <w:rPr>
                <w:kern w:val="0"/>
                <w:sz w:val="22"/>
                <w:szCs w:val="22"/>
                <w:shd w:fill="auto" w:val="clear"/>
                <w:lang w:val="en-US" w:eastAsia="en-US" w:bidi="ar-SA"/>
              </w:rPr>
              <w:t>Пугачев Т.В.</w:t>
            </w:r>
          </w:p>
        </w:tc>
        <w:tc>
          <w:tcPr>
            <w:tcW w:w="517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9" w:before="0" w:after="16"/>
              <w:ind w:hanging="0" w:left="0" w:right="5"/>
              <w:jc w:val="center"/>
              <w:rPr>
                <w:kern w:val="0"/>
                <w:sz w:val="22"/>
                <w:szCs w:val="22"/>
                <w:highlight w:val="none"/>
                <w:shd w:fill="auto" w:val="clear"/>
                <w:lang w:eastAsia="en-US" w:bidi="ar-SA"/>
              </w:rPr>
            </w:pPr>
            <w:r>
              <w:rPr>
                <w:kern w:val="0"/>
                <w:sz w:val="22"/>
                <w:szCs w:val="22"/>
                <w:shd w:fill="auto" w:val="clear"/>
                <w:lang w:val="ru-RU" w:eastAsia="en-US" w:bidi="ar-SA"/>
              </w:rPr>
              <w:t>ЗАЙМОДАВЕЦ</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b/>
                <w:kern w:val="0"/>
                <w:sz w:val="22"/>
                <w:szCs w:val="22"/>
                <w:shd w:fill="auto" w:val="clear"/>
                <w:lang w:val="ru-RU" w:eastAsia="en-US" w:bidi="ar-SA"/>
              </w:rPr>
              <w:t>@&lt;FIO_FULL&gt;@</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Паспорт: @&lt;PASSPORT_SERIA&gt;@ @&lt;PASSPORT_NUM&gt;@</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Выдан: @&lt;PASSPORT_DATE&gt;@ @&lt;PASSPORT_WHOM&gt;@</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ИНН: @&lt;INN&gt;@</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Номер счета: @&lt;PAYMENT_ACCOUNT&gt;@</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Банк получателя: @&lt;BANK_NAME&gt;@</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БИК: @&lt;BIK&gt;@</w:t>
            </w:r>
          </w:p>
          <w:p>
            <w:pPr>
              <w:pStyle w:val="Normal"/>
              <w:widowControl w:val="false"/>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Тел. @&lt;PHONE_NUMBER&gt;@</w:t>
            </w:r>
          </w:p>
          <w:p>
            <w:pPr>
              <w:pStyle w:val="Normal"/>
              <w:widowControl w:val="false"/>
              <w:suppressAutoHyphens w:val="true"/>
              <w:spacing w:lineRule="auto" w:line="259" w:before="0" w:after="1281"/>
              <w:ind w:hanging="0" w:left="0"/>
              <w:jc w:val="left"/>
              <w:rPr>
                <w:kern w:val="0"/>
                <w:sz w:val="22"/>
                <w:szCs w:val="22"/>
                <w:highlight w:val="none"/>
                <w:shd w:fill="auto" w:val="clear"/>
                <w:lang w:eastAsia="en-US" w:bidi="ar-SA"/>
              </w:rPr>
            </w:pPr>
            <w:r>
              <w:rPr>
                <w:kern w:val="0"/>
                <w:sz w:val="22"/>
                <w:szCs w:val="22"/>
                <w:shd w:fill="auto" w:val="clear"/>
                <w:lang w:val="ru-RU" w:eastAsia="en-US" w:bidi="ar-SA"/>
              </w:rPr>
              <w:t>Электронная почта: @&lt;EMAIL&gt;@</w:t>
            </w:r>
          </w:p>
          <w:p>
            <w:pPr>
              <w:pStyle w:val="Normal"/>
              <w:widowControl w:val="false"/>
              <w:suppressAutoHyphens w:val="true"/>
              <w:spacing w:lineRule="auto" w:line="259" w:before="0" w:after="0"/>
              <w:ind w:hanging="0" w:left="0" w:right="5"/>
              <w:jc w:val="center"/>
              <w:rPr>
                <w:kern w:val="0"/>
                <w:sz w:val="22"/>
                <w:szCs w:val="22"/>
                <w:highlight w:val="none"/>
                <w:shd w:fill="auto" w:val="clear"/>
                <w:lang w:eastAsia="en-US" w:bidi="ar-SA"/>
              </w:rPr>
            </w:pPr>
            <w:r>
              <w:rPr>
                <w:kern w:val="0"/>
                <w:sz w:val="22"/>
                <w:szCs w:val="22"/>
                <w:shd w:fill="auto" w:val="clear"/>
                <w:lang w:val="en-US" w:eastAsia="en-US" w:bidi="ar-SA"/>
              </w:rPr>
              <w:t xml:space="preserve">_________________________/ </w:t>
            </w:r>
            <w:bookmarkStart w:id="0" w:name="_GoBack"/>
            <w:bookmarkEnd w:id="0"/>
            <w:r>
              <w:rPr>
                <w:kern w:val="0"/>
                <w:sz w:val="22"/>
                <w:szCs w:val="22"/>
                <w:shd w:fill="auto" w:val="clear"/>
                <w:lang w:val="ru-RU" w:eastAsia="en-US" w:bidi="ar-SA"/>
              </w:rPr>
              <w:t>@&lt;FIO_SHORT&gt;@</w:t>
            </w:r>
          </w:p>
        </w:tc>
      </w:tr>
    </w:tbl>
    <w:p>
      <w:pPr>
        <w:pStyle w:val="Normal"/>
        <w:spacing w:before="0" w:after="10"/>
        <w:rPr>
          <w:highlight w:val="none"/>
          <w:shd w:fill="auto" w:val="clear"/>
        </w:rPr>
      </w:pPr>
      <w:r>
        <w:rPr>
          <w:shd w:fill="auto" w:val="clear"/>
        </w:rPr>
      </w:r>
    </w:p>
    <w:sectPr>
      <w:footerReference w:type="even" r:id="rId2"/>
      <w:footerReference w:type="default" r:id="rId3"/>
      <w:footerReference w:type="first" r:id="rId4"/>
      <w:type w:val="nextPage"/>
      <w:pgSz w:w="11906" w:h="16838"/>
      <w:pgMar w:left="1100" w:right="814" w:gutter="0" w:header="0" w:top="762" w:footer="991" w:bottom="171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FreeSerif">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10006" w:leader="none"/>
      </w:tabs>
      <w:spacing w:lineRule="auto" w:line="259" w:before="0" w:after="0"/>
      <w:ind w:hanging="0" w:left="0"/>
      <w:jc w:val="left"/>
      <w:rPr/>
    </w:pPr>
    <w:r>
      <w:rPr>
        <w:rFonts w:eastAsia="Arial" w:cs="Arial" w:ascii="Arial" w:hAnsi="Arial"/>
        <w:color w:val="4F81BD"/>
        <w:sz w:val="18"/>
      </w:rPr>
      <w:t>ПОРУЧИТЕЛЬ _______________       ______________</w:t>
      <w:tab/>
      <w:t>ЗАЙМОДАВЕЦ_______________</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548"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36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08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0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52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24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496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68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0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abstractNum>
  <w:abstractNum w:abstractNumId="2">
    <w:lvl w:ilvl="0">
      <w:start w:val="1"/>
      <w:numFmt w:val="decimal"/>
      <w:lvlText w:val="%1"/>
      <w:lvlJc w:val="left"/>
      <w:pPr>
        <w:tabs>
          <w:tab w:val="num" w:pos="0"/>
        </w:tabs>
        <w:ind w:left="3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3"/>
      <w:numFmt w:val="decimal"/>
      <w:lvlText w:val="%1.%2."/>
      <w:lvlJc w:val="left"/>
      <w:pPr>
        <w:tabs>
          <w:tab w:val="num" w:pos="0"/>
        </w:tabs>
        <w:ind w:left="1105"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3">
    <w:lvl w:ilvl="0">
      <w:start w:val="1"/>
      <w:numFmt w:val="decimal"/>
      <w:lvlText w:val="%1."/>
      <w:lvlJc w:val="left"/>
      <w:pPr>
        <w:tabs>
          <w:tab w:val="num" w:pos="0"/>
        </w:tabs>
        <w:ind w:left="0"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1">
      <w:start w:val="1"/>
      <w:numFmt w:val="lowerLetter"/>
      <w:lvlText w:val="%2"/>
      <w:lvlJc w:val="left"/>
      <w:pPr>
        <w:tabs>
          <w:tab w:val="num" w:pos="0"/>
        </w:tabs>
        <w:ind w:left="441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2">
      <w:start w:val="1"/>
      <w:numFmt w:val="lowerRoman"/>
      <w:lvlText w:val="%3"/>
      <w:lvlJc w:val="left"/>
      <w:pPr>
        <w:tabs>
          <w:tab w:val="num" w:pos="0"/>
        </w:tabs>
        <w:ind w:left="513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3">
      <w:start w:val="1"/>
      <w:numFmt w:val="decimal"/>
      <w:lvlText w:val="%4"/>
      <w:lvlJc w:val="left"/>
      <w:pPr>
        <w:tabs>
          <w:tab w:val="num" w:pos="0"/>
        </w:tabs>
        <w:ind w:left="585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4">
      <w:start w:val="1"/>
      <w:numFmt w:val="lowerLetter"/>
      <w:lvlText w:val="%5"/>
      <w:lvlJc w:val="left"/>
      <w:pPr>
        <w:tabs>
          <w:tab w:val="num" w:pos="0"/>
        </w:tabs>
        <w:ind w:left="657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5">
      <w:start w:val="1"/>
      <w:numFmt w:val="lowerRoman"/>
      <w:lvlText w:val="%6"/>
      <w:lvlJc w:val="left"/>
      <w:pPr>
        <w:tabs>
          <w:tab w:val="num" w:pos="0"/>
        </w:tabs>
        <w:ind w:left="729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6">
      <w:start w:val="1"/>
      <w:numFmt w:val="decimal"/>
      <w:lvlText w:val="%7"/>
      <w:lvlJc w:val="left"/>
      <w:pPr>
        <w:tabs>
          <w:tab w:val="num" w:pos="0"/>
        </w:tabs>
        <w:ind w:left="801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7">
      <w:start w:val="1"/>
      <w:numFmt w:val="lowerLetter"/>
      <w:lvlText w:val="%8"/>
      <w:lvlJc w:val="left"/>
      <w:pPr>
        <w:tabs>
          <w:tab w:val="num" w:pos="0"/>
        </w:tabs>
        <w:ind w:left="873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8">
      <w:start w:val="1"/>
      <w:numFmt w:val="lowerRoman"/>
      <w:lvlText w:val="%9"/>
      <w:lvlJc w:val="left"/>
      <w:pPr>
        <w:tabs>
          <w:tab w:val="num" w:pos="0"/>
        </w:tabs>
        <w:ind w:left="945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2" w:before="0" w:after="10"/>
      <w:ind w:hanging="10" w:left="10"/>
      <w:jc w:val="both"/>
    </w:pPr>
    <w:rPr>
      <w:rFonts w:ascii="Times New Roman" w:hAnsi="Times New Roman" w:eastAsia="Times New Roman" w:cs="Times New Roman"/>
      <w:color w:val="000000"/>
      <w:kern w:val="0"/>
      <w:sz w:val="22"/>
      <w:szCs w:val="22"/>
      <w:lang w:val="en-US" w:eastAsia="en-US" w:bidi="ar-SA"/>
    </w:rPr>
  </w:style>
  <w:style w:type="paragraph" w:styleId="Heading1">
    <w:name w:val="Heading 1"/>
    <w:next w:val="Normal"/>
    <w:link w:val="1"/>
    <w:uiPriority w:val="9"/>
    <w:unhideWhenUsed/>
    <w:qFormat/>
    <w:pPr>
      <w:keepNext w:val="true"/>
      <w:keepLines/>
      <w:widowControl/>
      <w:numPr>
        <w:ilvl w:val="0"/>
        <w:numId w:val="3"/>
      </w:numPr>
      <w:suppressAutoHyphens w:val="true"/>
      <w:bidi w:val="0"/>
      <w:spacing w:lineRule="auto" w:line="259" w:before="0" w:after="2"/>
      <w:ind w:hanging="10" w:left="10"/>
      <w:jc w:val="center"/>
      <w:outlineLvl w:val="0"/>
    </w:pPr>
    <w:rPr>
      <w:rFonts w:ascii="Times New Roman" w:hAnsi="Times New Roman" w:eastAsia="Times New Roman" w:cs="Times New Roman"/>
      <w:b/>
      <w:color w:val="000000"/>
      <w:kern w:val="0"/>
      <w:sz w:val="22"/>
      <w:szCs w:val="22"/>
      <w:lang w:val="en-US" w:eastAsia="en-US" w:bidi="ar-SA"/>
    </w:rPr>
  </w:style>
  <w:style w:type="character" w:styleId="DefaultParagraphFont" w:default="1">
    <w:name w:val="Default Paragraph Font"/>
    <w:uiPriority w:val="1"/>
    <w:semiHidden/>
    <w:unhideWhenUsed/>
    <w:qFormat/>
    <w:rPr/>
  </w:style>
  <w:style w:type="character" w:styleId="1" w:customStyle="1">
    <w:name w:val="Заголовок 1 Знак"/>
    <w:qFormat/>
    <w:rPr>
      <w:rFonts w:ascii="Times New Roman" w:hAnsi="Times New Roman" w:eastAsia="Times New Roman" w:cs="Times New Roman"/>
      <w:b/>
      <w:color w:val="000000"/>
      <w:sz w:val="22"/>
    </w:rPr>
  </w:style>
  <w:style w:type="character" w:styleId="Style13" w:customStyle="1">
    <w:name w:val="Верхний колонтитул Знак"/>
    <w:basedOn w:val="DefaultParagraphFont"/>
    <w:uiPriority w:val="99"/>
    <w:qFormat/>
    <w:rsid w:val="003145a8"/>
    <w:rPr>
      <w:rFonts w:ascii="Times New Roman" w:hAnsi="Times New Roman" w:eastAsia="Times New Roman" w:cs="Times New Roman"/>
      <w:color w:val="000000"/>
    </w:rPr>
  </w:style>
  <w:style w:type="character" w:styleId="Style14" w:customStyle="1">
    <w:name w:val="Нижний колонтитул Знак"/>
    <w:basedOn w:val="DefaultParagraphFont"/>
    <w:uiPriority w:val="99"/>
    <w:semiHidden/>
    <w:qFormat/>
    <w:rsid w:val="003145a8"/>
    <w:rPr>
      <w:rFonts w:ascii="Times New Roman" w:hAnsi="Times New Roman" w:eastAsia="Times New Roman" w:cs="Times New Roman"/>
      <w:color w:val="000000"/>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Заголовок"/>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Style16">
    <w:name w:val="Указатель"/>
    <w:basedOn w:val="Normal"/>
    <w:qFormat/>
    <w:pPr>
      <w:suppressLineNumbers/>
    </w:pPr>
    <w:rPr>
      <w:rFonts w:cs="Noto Sans Devanagari"/>
    </w:rPr>
  </w:style>
  <w:style w:type="paragraph" w:styleId="Style17">
    <w:name w:val="Колонтитул"/>
    <w:basedOn w:val="Normal"/>
    <w:qFormat/>
    <w:pPr/>
    <w:rPr/>
  </w:style>
  <w:style w:type="paragraph" w:styleId="HeaderandFooter">
    <w:name w:val="Header and Footer"/>
    <w:basedOn w:val="Normal"/>
    <w:qFormat/>
    <w:pPr/>
    <w:rPr/>
  </w:style>
  <w:style w:type="paragraph" w:styleId="Header">
    <w:name w:val="Header"/>
    <w:basedOn w:val="Normal"/>
    <w:link w:val="Style13"/>
    <w:uiPriority w:val="99"/>
    <w:unhideWhenUsed/>
    <w:rsid w:val="003145a8"/>
    <w:pPr>
      <w:tabs>
        <w:tab w:val="clear" w:pos="720"/>
        <w:tab w:val="center" w:pos="4677" w:leader="none"/>
        <w:tab w:val="right" w:pos="9355" w:leader="none"/>
      </w:tabs>
      <w:spacing w:lineRule="auto" w:line="240" w:before="0" w:after="0"/>
    </w:pPr>
    <w:rPr/>
  </w:style>
  <w:style w:type="paragraph" w:styleId="Footer">
    <w:name w:val="Footer"/>
    <w:basedOn w:val="Normal"/>
    <w:link w:val="Style14"/>
    <w:uiPriority w:val="99"/>
    <w:semiHidden/>
    <w:unhideWhenUsed/>
    <w:rsid w:val="003145a8"/>
    <w:pPr>
      <w:tabs>
        <w:tab w:val="clear" w:pos="720"/>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31</TotalTime>
  <Application>LibreOffice/7.6.2.1$Linux_X86_64 LibreOffice_project/60$Build-1</Application>
  <AppVersion>15.0000</AppVersion>
  <Pages>4</Pages>
  <Words>1330</Words>
  <Characters>9452</Characters>
  <CharactersWithSpaces>10796</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2023-02-16T10:31:00Z</dcterms:created>
  <dc:creator>word</dc:creator>
  <dc:description/>
  <dc:language>en-US</dc:language>
  <cp:lastModifiedBy/>
  <dcterms:modified xsi:type="dcterms:W3CDTF">2023-11-21T22:05:53Z</dcterms:modified>
  <cp:revision>16</cp:revision>
  <dc:subject/>
  <dc:title>Договор поручительства Муратов С.И. валюта</dc:title>
</cp:coreProperties>
</file>

<file path=docProps/custom.xml><?xml version="1.0" encoding="utf-8"?>
<Properties xmlns="http://schemas.openxmlformats.org/officeDocument/2006/custom-properties" xmlns:vt="http://schemas.openxmlformats.org/officeDocument/2006/docPropsVTypes"/>
</file>