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Financial Policy Document</w:t>
      </w:r>
    </w:p>
    <w:p/>
    <w:p>
      <w:pPr>
        <w:pStyle w:val="Heading2"/>
      </w:pPr>
      <w:r>
        <w:t>Expense Reimbursement</w:t>
      </w:r>
    </w:p>
    <w:p>
      <w:r>
        <w:t>Employees may be reimbursed for business-related expenses incurred while performing their job duties. All expense reports must be submitted within 30 days of the expense and must include:</w:t>
      </w:r>
    </w:p>
    <w:p>
      <w:pPr>
        <w:pStyle w:val="ListBullet"/>
      </w:pPr>
      <w:r>
        <w:t>Original receipts</w:t>
      </w:r>
    </w:p>
    <w:p>
      <w:pPr>
        <w:pStyle w:val="ListBullet"/>
      </w:pPr>
      <w:r>
        <w:t>Business purpose description</w:t>
      </w:r>
    </w:p>
    <w:p>
      <w:pPr>
        <w:pStyle w:val="ListBullet"/>
      </w:pPr>
      <w:r>
        <w:t>Date and location of expense</w:t>
      </w:r>
    </w:p>
    <w:p>
      <w:pPr>
        <w:pStyle w:val="ListBullet"/>
      </w:pPr>
      <w:r>
        <w:t>Amount and currency</w:t>
      </w:r>
    </w:p>
    <w:p/>
    <w:p>
      <w:pPr>
        <w:pStyle w:val="Heading3"/>
      </w:pPr>
      <w:r>
        <w:t>Travel Expenses</w:t>
      </w:r>
    </w:p>
    <w:p>
      <w:pPr>
        <w:pStyle w:val="ListBullet"/>
      </w:pPr>
      <w:r>
        <w:t>Airfare: Economy class unless business class is approved in advance</w:t>
      </w:r>
    </w:p>
    <w:p>
      <w:pPr>
        <w:pStyle w:val="ListBullet"/>
      </w:pPr>
      <w:r>
        <w:t>Accommodation: Up to $150 per night for domestic travel, $200 for international</w:t>
      </w:r>
    </w:p>
    <w:p>
      <w:pPr>
        <w:pStyle w:val="ListBullet"/>
      </w:pPr>
      <w:r>
        <w:t>Meals: Up to $50 per day for domestic travel, $75 for international</w:t>
      </w:r>
    </w:p>
    <w:p>
      <w:pPr>
        <w:pStyle w:val="ListBullet"/>
      </w:pPr>
      <w:r>
        <w:t>Ground transportation: Actual cost up to $30 per day</w:t>
      </w:r>
    </w:p>
    <w:p/>
    <w:p>
      <w:pPr>
        <w:pStyle w:val="Heading3"/>
      </w:pPr>
      <w:r>
        <w:t>Client Entertainment</w:t>
      </w:r>
    </w:p>
    <w:p>
      <w:r>
        <w:t>Client entertainment expenses must be pre-approved and are limited to $100 per person per event.</w:t>
      </w:r>
    </w:p>
    <w:p/>
    <w:p>
      <w:pPr>
        <w:pStyle w:val="Heading2"/>
      </w:pPr>
      <w:r>
        <w:t>Budget Approval Process</w:t>
      </w:r>
    </w:p>
    <w:p>
      <w:r>
        <w:t>All departmental budgets must be approved by the Finance Department. Budget requests should include:</w:t>
      </w:r>
    </w:p>
    <w:p>
      <w:pPr>
        <w:pStyle w:val="ListBullet"/>
      </w:pPr>
      <w:r>
        <w:t>Detailed breakdown of expenses</w:t>
      </w:r>
    </w:p>
    <w:p>
      <w:pPr>
        <w:pStyle w:val="ListBullet"/>
      </w:pPr>
      <w:r>
        <w:t>Justification for each expense</w:t>
      </w:r>
    </w:p>
    <w:p>
      <w:pPr>
        <w:pStyle w:val="ListBullet"/>
      </w:pPr>
      <w:r>
        <w:t>Timeline for expenditure</w:t>
      </w:r>
    </w:p>
    <w:p>
      <w:pPr>
        <w:pStyle w:val="ListBullet"/>
      </w:pPr>
      <w:r>
        <w:t>Expected return on investment</w:t>
      </w:r>
    </w:p>
    <w:p/>
    <w:p>
      <w:pPr>
        <w:pStyle w:val="Heading2"/>
      </w:pPr>
      <w:r>
        <w:t>Procurement Policy</w:t>
      </w:r>
    </w:p>
    <w:p>
      <w:r>
        <w:t>All purchases over $500 require at least three competitive quotes. Purchases over $5,000 require formal approval from the Finance Department.</w:t>
      </w:r>
    </w:p>
    <w:p/>
    <w:p>
      <w:pPr>
        <w:pStyle w:val="Heading2"/>
      </w:pPr>
      <w:r>
        <w:t>Invoice Processing</w:t>
      </w:r>
    </w:p>
    <w:p>
      <w:r>
        <w:t>Invoices should be submitted to the Finance Department with the following information:</w:t>
      </w:r>
    </w:p>
    <w:p>
      <w:pPr>
        <w:pStyle w:val="ListBullet"/>
      </w:pPr>
      <w:r>
        <w:t>Vendor name and contact information</w:t>
      </w:r>
    </w:p>
    <w:p>
      <w:pPr>
        <w:pStyle w:val="ListBullet"/>
      </w:pPr>
      <w:r>
        <w:t>Invoice number and date</w:t>
      </w:r>
    </w:p>
    <w:p>
      <w:pPr>
        <w:pStyle w:val="ListBullet"/>
      </w:pPr>
      <w:r>
        <w:t>Detailed description of goods or services</w:t>
      </w:r>
    </w:p>
    <w:p>
      <w:pPr>
        <w:pStyle w:val="ListBullet"/>
      </w:pPr>
      <w:r>
        <w:t>Total amount and payment terms</w:t>
      </w:r>
    </w:p>
    <w:p>
      <w:pPr>
        <w:pStyle w:val="ListBullet"/>
      </w:pPr>
      <w:r>
        <w:t>Purchase order number (if applicable)</w:t>
      </w:r>
    </w:p>
    <w:p/>
    <w:p>
      <w:pPr>
        <w:pStyle w:val="Heading2"/>
      </w:pPr>
      <w:r>
        <w:t>Financial Reporting</w:t>
      </w:r>
    </w:p>
    <w:p>
      <w:r>
        <w:t>Monthly financial reports are due on the 15th of each month for the previous month. Department managers are responsible for reviewing and approving their department's financial reports.</w:t>
      </w:r>
    </w:p>
    <w:p/>
    <w:p>
      <w:pPr>
        <w:pStyle w:val="Heading2"/>
      </w:pPr>
      <w:r>
        <w:t>Contact Information</w:t>
      </w:r>
    </w:p>
    <w:p>
      <w:r>
        <w:t>For finance-related questions, please contact the Finance Department at finance@company.com or extension 5678.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