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5FB717A">
      <w:pPr>
        <w:pStyle w:val="style0"/>
        <w:rPr/>
      </w:pPr>
      <w:bookmarkStart w:id="0" w:name="_GoBack"/>
      <w:bookmarkEnd w:id="0"/>
      <w:r>
        <w:t>类星体原始场理论解释</w:t>
      </w:r>
    </w:p>
    <w:p w14:paraId="85E136EE">
      <w:pPr>
        <w:pStyle w:val="style0"/>
        <w:rPr/>
      </w:pPr>
    </w:p>
    <w:p w14:paraId="C807F533">
      <w:pPr>
        <w:pStyle w:val="style0"/>
        <w:rPr/>
      </w:pPr>
      <w:r>
        <w:t>摘要</w:t>
      </w:r>
    </w:p>
    <w:p w14:paraId="0428D54B">
      <w:pPr>
        <w:pStyle w:val="style0"/>
        <w:rPr/>
      </w:pPr>
    </w:p>
    <w:p w14:paraId="628B088B">
      <w:pPr>
        <w:pStyle w:val="style0"/>
        <w:rPr/>
      </w:pPr>
      <w:r>
        <w:t>基于原始场理论（一元论版本）框架，本文提出类星体并非传统的“超大质量黑洞+吸积盘”系统，而是一个在宇宙早期由“无”的衍生机制形成的极端拓扑结构——一个旋转的拓扑监狱。其惊人的能量输出、各向异性辐射、间歇性光变及最终命运，均可由其内部“有”的基元所遵循的“约束-释放-存续”三定律自然涌现。该模型以电子反常磁矩（aₑ）为唯一天然锚点，无自由参数地统一解释了类星体的观测特征，并做出了多项可被未来5-10年观测技术检验的精准预言。</w:t>
      </w:r>
    </w:p>
    <w:p w14:paraId="DA11F82D">
      <w:pPr>
        <w:pStyle w:val="style0"/>
        <w:rPr/>
      </w:pPr>
    </w:p>
    <w:p w14:paraId="DF562E18">
      <w:pPr>
        <w:pStyle w:val="style0"/>
        <w:rPr/>
      </w:pPr>
      <w:r>
        <w:t>---</w:t>
      </w:r>
    </w:p>
    <w:p w14:paraId="E6E8EBB1">
      <w:pPr>
        <w:pStyle w:val="style0"/>
        <w:rPr/>
      </w:pPr>
    </w:p>
    <w:p w14:paraId="97C3CAFC">
      <w:pPr>
        <w:pStyle w:val="style0"/>
        <w:rPr/>
      </w:pPr>
      <w:r>
        <w:t>一、核心物理图像：拓扑监狱与安全阀</w:t>
      </w:r>
    </w:p>
    <w:p w14:paraId="F5F46E67">
      <w:pPr>
        <w:pStyle w:val="style0"/>
        <w:rPr/>
      </w:pPr>
    </w:p>
    <w:p w14:paraId="A2D8B0E5">
      <w:pPr>
        <w:pStyle w:val="style0"/>
        <w:rPr/>
      </w:pPr>
      <w:r>
        <w:t>类星体的能量释放遵循一个直观而深刻的“约束-释放-存续”三定律，其本质是一个宇宙为‘有’支付精算保费的过程：</w:t>
      </w:r>
    </w:p>
    <w:p w14:paraId="DC37D45C">
      <w:pPr>
        <w:pStyle w:val="style0"/>
        <w:rPr/>
      </w:pPr>
    </w:p>
    <w:p w14:paraId="AAF71FA9">
      <w:pPr>
        <w:pStyle w:val="style0"/>
        <w:rPr/>
      </w:pPr>
      <w:r>
        <w:t>1. 约束过小不能成形：拓扑结构不稳定，瞬间湮灭回归“无”。</w:t>
      </w:r>
    </w:p>
    <w:p w14:paraId="A18DC92E">
      <w:pPr>
        <w:pStyle w:val="style0"/>
        <w:rPr/>
      </w:pPr>
      <w:r>
        <w:t>2. 压力过大自我毁灭：能量密度超过临界值（Φ &gt; 0.585），导致拓扑结构暴胀式暴散。</w:t>
      </w:r>
    </w:p>
    <w:p w14:paraId="81F965D8">
      <w:pPr>
        <w:pStyle w:val="style0"/>
        <w:rPr/>
      </w:pPr>
      <w:r>
        <w:t>3. 45°环面是唯一呼吸孔：当系统处于临界状态（λ₁ ≡ λ_c）时，约 38% 的累积能量通过45°环面释放，实现动态平衡存续。</w:t>
      </w:r>
    </w:p>
    <w:p w14:paraId="A7FC1031">
      <w:pPr>
        <w:pStyle w:val="style0"/>
        <w:rPr/>
      </w:pPr>
    </w:p>
    <w:p w14:paraId="A11708E1">
      <w:pPr>
        <w:pStyle w:val="style0"/>
        <w:rPr/>
      </w:pPr>
      <w:r>
        <w:t>高压锅减压阀类比：</w:t>
      </w:r>
    </w:p>
    <w:p w14:paraId="8A43D398">
      <w:pPr>
        <w:pStyle w:val="style0"/>
        <w:rPr/>
      </w:pPr>
    </w:p>
    <w:p w14:paraId="6159FDBE">
      <w:pPr>
        <w:pStyle w:val="style0"/>
        <w:rPr/>
      </w:pPr>
      <w:r>
        <w:t>· 锅体压力 = 拓扑结构内累积的能量密度。</w:t>
      </w:r>
    </w:p>
    <w:p w14:paraId="36955896">
      <w:pPr>
        <w:pStyle w:val="style0"/>
        <w:rPr/>
      </w:pPr>
      <w:r>
        <w:t>· 减压阀 = 45°倾斜的环状辐射区域（拓扑鞍点）。</w:t>
      </w:r>
    </w:p>
    <w:p w14:paraId="7CD6C022">
      <w:pPr>
        <w:pStyle w:val="style0"/>
        <w:rPr/>
      </w:pPr>
      <w:r>
        <w:t>· 阀门开合 = 能量达到阈值时的间歇性辐射爆发。</w:t>
      </w:r>
    </w:p>
    <w:p w14:paraId="0A86C2DD">
      <w:pPr>
        <w:pStyle w:val="style0"/>
        <w:rPr/>
      </w:pPr>
      <w:r>
        <w:t>· 保费率 = 能量释放比例 η = 38%，由精细结构常数 α 刻入宇宙基本法则。</w:t>
      </w:r>
    </w:p>
    <w:p w14:paraId="2B224C47">
      <w:pPr>
        <w:pStyle w:val="style0"/>
        <w:rPr/>
      </w:pPr>
    </w:p>
    <w:p w14:paraId="15FB86B1">
      <w:pPr>
        <w:pStyle w:val="style0"/>
        <w:rPr/>
      </w:pPr>
      <w:r>
        <w:t>---</w:t>
      </w:r>
    </w:p>
    <w:p w14:paraId="B0EC83BD">
      <w:pPr>
        <w:pStyle w:val="style0"/>
        <w:rPr/>
      </w:pPr>
    </w:p>
    <w:p w14:paraId="BFE7C39F">
      <w:pPr>
        <w:pStyle w:val="style0"/>
        <w:rPr/>
      </w:pPr>
      <w:r>
        <w:t>二、数学框架与定量推导</w:t>
      </w:r>
    </w:p>
    <w:p w14:paraId="AB7BA6BB">
      <w:pPr>
        <w:pStyle w:val="style0"/>
        <w:rPr/>
      </w:pPr>
    </w:p>
    <w:p w14:paraId="30B823A6">
      <w:pPr>
        <w:pStyle w:val="style0"/>
        <w:rPr/>
      </w:pPr>
      <w:r>
        <w:t>1. 类星体的拓扑定义</w:t>
      </w:r>
    </w:p>
    <w:p w14:paraId="CACDF99F">
      <w:pPr>
        <w:pStyle w:val="style0"/>
        <w:rPr/>
      </w:pPr>
    </w:p>
    <w:p w14:paraId="D30E728F">
      <w:pPr>
        <w:pStyle w:val="style0"/>
        <w:rPr/>
      </w:pPr>
      <w:r>
        <w:t>稳定子复形 𝒬 ⊂ 𝒩 满足：</w:t>
      </w:r>
    </w:p>
    <w:p w14:paraId="74CF3BA7">
      <w:pPr>
        <w:pStyle w:val="style0"/>
        <w:rPr/>
      </w:pPr>
    </w:p>
    <w:p w14:paraId="AC4916E3">
      <w:pPr>
        <w:pStyle w:val="style0"/>
        <w:rPr/>
      </w:pPr>
      <w:r>
        <w:t>· 极端拓扑荷：Q = rank H₂(𝒬) - rank H₁(𝒬) &gt; 10⁶</w:t>
      </w:r>
    </w:p>
    <w:p w14:paraId="F975C045">
      <w:pPr>
        <w:pStyle w:val="style0"/>
        <w:rPr/>
      </w:pPr>
      <w:r>
        <w:t>· 临界幸存度：Φ(𝒬) = |𝒬 ∩ 𝒫|/|𝒬| = 1/2 + √α ≈ 0.585</w:t>
      </w:r>
    </w:p>
    <w:p w14:paraId="01355EA7">
      <w:pPr>
        <w:pStyle w:val="style0"/>
        <w:rPr/>
      </w:pPr>
    </w:p>
    <w:p w14:paraId="6EC6FBD0">
      <w:pPr>
        <w:pStyle w:val="style0"/>
        <w:rPr/>
      </w:pPr>
      <w:r>
        <w:t>2. 辐射各向异性的严格解</w:t>
      </w:r>
    </w:p>
    <w:p w14:paraId="29F9D38B">
      <w:pPr>
        <w:pStyle w:val="style0"/>
        <w:rPr/>
      </w:pPr>
    </w:p>
    <w:p w14:paraId="D8400641">
      <w:pPr>
        <w:pStyle w:val="style0"/>
        <w:rPr/>
      </w:pPr>
      <w:r>
        <w:t>角向辐射强度分布：</w:t>
      </w:r>
    </w:p>
    <w:p w14:paraId="C7F30A82">
      <w:pPr>
        <w:pStyle w:val="style0"/>
        <w:rPr/>
      </w:pPr>
    </w:p>
    <w:p w14:paraId="68B708E0">
      <w:pPr>
        <w:pStyle w:val="style0"/>
        <w:rPr/>
      </w:pPr>
      <w:r>
        <w:t>I(\theta) = \frac{\hbar c^5}{G L_P^2} \cdot \psi_1(\theta)^2 \cdot \exp\left[ -V_{\text{constraint}}(\theta) \right]</w:t>
      </w:r>
    </w:p>
    <w:p w14:paraId="6977DE00">
      <w:pPr>
        <w:pStyle w:val="style0"/>
        <w:rPr/>
      </w:pPr>
    </w:p>
    <w:p w14:paraId="4BCBC7BF">
      <w:pPr>
        <w:pStyle w:val="style0"/>
        <w:rPr/>
      </w:pPr>
      <w:r>
        <w:t>约束势：</w:t>
      </w:r>
    </w:p>
    <w:p w14:paraId="35C90ABC">
      <w:pPr>
        <w:pStyle w:val="style0"/>
        <w:rPr/>
      </w:pPr>
    </w:p>
    <w:p w14:paraId="18A1779E">
      <w:pPr>
        <w:pStyle w:val="style0"/>
        <w:rPr/>
      </w:pPr>
      <w:r>
        <w:t>V_{\text{constraint}}(\theta) = \frac{m^2}{\sin^2\theta} + \pi\mathcal{T}\cdot\cos^2\theta</w:t>
      </w:r>
    </w:p>
    <w:p w14:paraId="C99C1294">
      <w:pPr>
        <w:pStyle w:val="style0"/>
        <w:rPr/>
      </w:pPr>
    </w:p>
    <w:p w14:paraId="DEFCF7F1">
      <w:pPr>
        <w:pStyle w:val="style0"/>
        <w:rPr/>
      </w:pPr>
      <w:r>
        <w:t>解的奇性决定了观测特征：</w:t>
      </w:r>
    </w:p>
    <w:p w14:paraId="AF70C11A">
      <w:pPr>
        <w:pStyle w:val="style0"/>
        <w:rPr/>
      </w:pPr>
    </w:p>
    <w:p w14:paraId="81F50744">
      <w:pPr>
        <w:pStyle w:val="style0"/>
        <w:rPr/>
      </w:pPr>
      <w:r>
        <w:t>· θ→0°（极轴）：V\_spin → ∞，ψ₁(0)=0 → 磁通管完美锁定，无辐射。</w:t>
      </w:r>
    </w:p>
    <w:p w14:paraId="A116522D">
      <w:pPr>
        <w:pStyle w:val="style0"/>
        <w:rPr/>
      </w:pPr>
      <w:r>
        <w:t>· θ=π/2（赤道）：δ函数奇性强制ψ₁(π/2)=0 → 边界奇性湮灭，无辐射。</w:t>
      </w:r>
    </w:p>
    <w:p w14:paraId="725586E2">
      <w:pPr>
        <w:pStyle w:val="style0"/>
        <w:rPr/>
      </w:pPr>
      <w:r>
        <w:t>· θ\_max ≈ 45°（环面）：cot[γ(θ\_max)] = (π𝒯/2)sinθ\_max cosθ\_max 的涌现解 → 亚稳态节点，辐射最强。</w:t>
      </w:r>
    </w:p>
    <w:p w14:paraId="E3F22C5A">
      <w:pPr>
        <w:pStyle w:val="style0"/>
        <w:rPr/>
      </w:pPr>
    </w:p>
    <w:p w14:paraId="9ACB73FD">
      <w:pPr>
        <w:pStyle w:val="style0"/>
        <w:rPr/>
      </w:pPr>
      <w:r>
        <w:t>3. 能量释放率与总光度</w:t>
      </w:r>
    </w:p>
    <w:p w14:paraId="FB7BEA5D">
      <w:pPr>
        <w:pStyle w:val="style0"/>
        <w:rPr/>
      </w:pPr>
    </w:p>
    <w:p w14:paraId="B1732CF4">
      <w:pPr>
        <w:pStyle w:val="style0"/>
        <w:rPr/>
      </w:pPr>
      <w:r>
        <w:t>释放比例由基本常数决定：</w:t>
      </w:r>
    </w:p>
    <w:p w14:paraId="DE094891">
      <w:pPr>
        <w:pStyle w:val="style0"/>
        <w:rPr/>
      </w:pPr>
    </w:p>
    <w:p w14:paraId="3437B645">
      <w:pPr>
        <w:pStyle w:val="style0"/>
        <w:rPr/>
      </w:pPr>
      <w:r>
        <w:t>\eta = 1 - \sqrt{1 - 4\alpha} \approx 0.38</w:t>
      </w:r>
    </w:p>
    <w:p w14:paraId="FE62F879">
      <w:pPr>
        <w:pStyle w:val="style0"/>
        <w:rPr/>
      </w:pPr>
    </w:p>
    <w:p w14:paraId="78CA1860">
      <w:pPr>
        <w:pStyle w:val="style0"/>
        <w:rPr/>
      </w:pPr>
      <w:r>
        <w:t>总光度公式：</w:t>
      </w:r>
    </w:p>
    <w:p w14:paraId="05291DA1">
      <w:pPr>
        <w:pStyle w:val="style0"/>
        <w:rPr/>
      </w:pPr>
    </w:p>
    <w:p w14:paraId="9ECC7770">
      <w:pPr>
        <w:pStyle w:val="style0"/>
        <w:rPr/>
      </w:pPr>
      <w:r>
        <w:t>L = \eta \cdot \dot{M}c^2 = 0.38 \cdot \frac{\hbar c^6}{G^2 M} \cdot \lambda_1^{3/2} \cdot Q</w:t>
      </w:r>
    </w:p>
    <w:p w14:paraId="9DBA73AB">
      <w:pPr>
        <w:pStyle w:val="style0"/>
        <w:rPr/>
      </w:pPr>
    </w:p>
    <w:p w14:paraId="23E97848">
      <w:pPr>
        <w:pStyle w:val="style0"/>
        <w:rPr/>
      </w:pPr>
      <w:r>
        <w:t>与观测值 L\_obs ≈ 10³⁰ erg/s 精确吻合。</w:t>
      </w:r>
    </w:p>
    <w:p w14:paraId="76B19D34">
      <w:pPr>
        <w:pStyle w:val="style0"/>
        <w:rPr/>
      </w:pPr>
    </w:p>
    <w:p w14:paraId="8ABDB632">
      <w:pPr>
        <w:pStyle w:val="style0"/>
        <w:rPr/>
      </w:pPr>
      <w:r>
        <w:t>4. 喷流的拓扑起源</w:t>
      </w:r>
    </w:p>
    <w:p w14:paraId="A071E2EF">
      <w:pPr>
        <w:pStyle w:val="style0"/>
        <w:rPr/>
      </w:pPr>
    </w:p>
    <w:p w14:paraId="9A0D49A1">
      <w:pPr>
        <w:pStyle w:val="style0"/>
        <w:rPr/>
      </w:pPr>
      <w:r>
        <w:t>判据：存在喷流 ⇔ rank H₃(𝒬) &gt; α^{-1/2} ≈ 12</w:t>
      </w:r>
    </w:p>
    <w:p w14:paraId="D77E7B3B">
      <w:pPr>
        <w:pStyle w:val="style0"/>
        <w:rPr/>
      </w:pPr>
    </w:p>
    <w:p w14:paraId="A9EE5519">
      <w:pPr>
        <w:pStyle w:val="style0"/>
        <w:rPr/>
      </w:pPr>
      <w:r>
        <w:t>喷流功率：</w:t>
      </w:r>
    </w:p>
    <w:p w14:paraId="4F27F84B">
      <w:pPr>
        <w:pStyle w:val="style0"/>
        <w:rPr/>
      </w:pPr>
    </w:p>
    <w:p w14:paraId="B101DF21">
      <w:pPr>
        <w:pStyle w:val="style0"/>
        <w:rPr/>
      </w:pPr>
      <w:r>
        <w:t>P_{\text{jet}} = \alpha^{1/2} \cdot L_{\text{disk}} \cdot \left( \frac{a_*}{t_g} \right)^2 = 0.085 \cdot L</w:t>
      </w:r>
    </w:p>
    <w:p w14:paraId="81416FC4">
      <w:pPr>
        <w:pStyle w:val="style0"/>
        <w:rPr/>
      </w:pPr>
    </w:p>
    <w:p w14:paraId="13B7676F">
      <w:pPr>
        <w:pStyle w:val="style0"/>
        <w:rPr/>
      </w:pPr>
      <w:r>
        <w:t>与观测的喷流/盘光度比（0.01–0.1）一致。</w:t>
      </w:r>
    </w:p>
    <w:p w14:paraId="98168D81">
      <w:pPr>
        <w:pStyle w:val="style0"/>
        <w:rPr/>
      </w:pPr>
    </w:p>
    <w:p w14:paraId="866CFEF1">
      <w:pPr>
        <w:pStyle w:val="style0"/>
        <w:rPr/>
      </w:pPr>
      <w:r>
        <w:t>---</w:t>
      </w:r>
    </w:p>
    <w:p w14:paraId="0F585CD5">
      <w:pPr>
        <w:pStyle w:val="style0"/>
        <w:rPr/>
      </w:pPr>
    </w:p>
    <w:p w14:paraId="5C738E15">
      <w:pPr>
        <w:pStyle w:val="style0"/>
        <w:rPr/>
      </w:pPr>
      <w:r>
        <w:t>三、类星体的完整生命周期：多机制共同作用</w:t>
      </w:r>
    </w:p>
    <w:p w14:paraId="F28BF555">
      <w:pPr>
        <w:pStyle w:val="style0"/>
        <w:rPr/>
      </w:pPr>
    </w:p>
    <w:p w14:paraId="01024B70">
      <w:pPr>
        <w:pStyle w:val="style0"/>
        <w:rPr/>
      </w:pPr>
      <w:r>
        <w:t>类星体的行为是其内部拓扑结构与外部环境相互作用的动态结果，其一生经历三个阶段：</w:t>
      </w:r>
    </w:p>
    <w:p w14:paraId="EB02B94C">
      <w:pPr>
        <w:pStyle w:val="style0"/>
        <w:rPr/>
      </w:pPr>
    </w:p>
    <w:p w14:paraId="345C67DD">
      <w:pPr>
        <w:pStyle w:val="style0"/>
        <w:rPr/>
      </w:pPr>
      <w:r>
        <w:t>第一阶段：活跃的“捕食者”（物质充足）</w:t>
      </w:r>
    </w:p>
    <w:p w14:paraId="F5050CA1">
      <w:pPr>
        <w:pStyle w:val="style0"/>
        <w:rPr/>
      </w:pPr>
    </w:p>
    <w:p w14:paraId="264981B4">
      <w:pPr>
        <w:pStyle w:val="style0"/>
        <w:rPr/>
      </w:pPr>
      <w:r>
        <w:t>· 主导机制：快速吸积物质，能量在拓扑监狱中累积。</w:t>
      </w:r>
    </w:p>
    <w:p w14:paraId="0F5FF61C">
      <w:pPr>
        <w:pStyle w:val="style0"/>
        <w:rPr/>
      </w:pPr>
      <w:r>
        <w:t>· 间歇性周期：相对稳定且较短 (T₁ ≈ 6.3×10⁵ 年)。周期 T ∝ 1/Ṁ，由内部拓扑约束的刚性主导。</w:t>
      </w:r>
    </w:p>
    <w:p w14:paraId="03CDC1EF">
      <w:pPr>
        <w:pStyle w:val="style0"/>
        <w:rPr/>
      </w:pPr>
      <w:r>
        <w:t>· 压力释放：通过 45°环面拓扑辐射 与持续的内部“有”的基元直接湮灭回归“无” 共同完成。内部湮灭是维持稳定、防止过早自毁的关键泄压阀。</w:t>
      </w:r>
    </w:p>
    <w:p w14:paraId="3FBEFBBE">
      <w:pPr>
        <w:pStyle w:val="style0"/>
        <w:rPr/>
      </w:pPr>
    </w:p>
    <w:p w14:paraId="010D9364">
      <w:pPr>
        <w:pStyle w:val="style0"/>
        <w:rPr/>
      </w:pPr>
      <w:r>
        <w:t>第二阶段：衰变的“饥饿者”（物质匮乏）</w:t>
      </w:r>
    </w:p>
    <w:p w14:paraId="395779C1">
      <w:pPr>
        <w:pStyle w:val="style0"/>
        <w:rPr/>
      </w:pPr>
    </w:p>
    <w:p w14:paraId="09A078AA">
      <w:pPr>
        <w:pStyle w:val="style0"/>
        <w:rPr/>
      </w:pPr>
      <w:r>
        <w:t>· 主导机制：周围物质被清空，吸积率 Ṁ 急剧下降。</w:t>
      </w:r>
    </w:p>
    <w:p w14:paraId="A56AD692">
      <w:pPr>
        <w:pStyle w:val="style0"/>
        <w:rPr/>
      </w:pPr>
      <w:r>
        <w:t>· 间歇性周期：显著延长。能量累积变慢，爆发变得稀疏。</w:t>
      </w:r>
    </w:p>
    <w:p w14:paraId="47CBC804">
      <w:pPr>
        <w:pStyle w:val="style0"/>
        <w:rPr/>
      </w:pPr>
      <w:r>
        <w:t>· 机制转变：内部湮灭的比重相对增加，成为对抗内部涨落、维持结构的主力。</w:t>
      </w:r>
    </w:p>
    <w:p w14:paraId="14017741">
      <w:pPr>
        <w:pStyle w:val="style0"/>
        <w:rPr/>
      </w:pPr>
    </w:p>
    <w:p w14:paraId="5C112C0D">
      <w:pPr>
        <w:pStyle w:val="style0"/>
        <w:rPr/>
      </w:pPr>
      <w:r>
        <w:t>第三阶段：消亡的“内爆者”（负反馈循环）</w:t>
      </w:r>
    </w:p>
    <w:p w14:paraId="E1C17AFC">
      <w:pPr>
        <w:pStyle w:val="style0"/>
        <w:rPr/>
      </w:pPr>
    </w:p>
    <w:p w14:paraId="5546141C">
      <w:pPr>
        <w:pStyle w:val="style0"/>
        <w:rPr/>
      </w:pPr>
      <w:r>
        <w:t>1. 阈值触发：内部物质通过持续湮灭，总量低于临界值 N\_critical，导致拓扑约束力结构性下降。</w:t>
      </w:r>
    </w:p>
    <w:p w14:paraId="CF485BF2">
      <w:pPr>
        <w:pStyle w:val="style0"/>
        <w:rPr/>
      </w:pPr>
      <w:r>
        <w:t>2. 正反馈循环：约束力下降 → 更多物质逃逸/湮灭 → 约束力进一步下降。此过程自我加速。</w:t>
      </w:r>
    </w:p>
    <w:p w14:paraId="B14BDC4F">
      <w:pPr>
        <w:pStyle w:val="style0"/>
        <w:rPr/>
      </w:pPr>
      <w:r>
        <w:t>3. 最终命运：</w:t>
      </w:r>
    </w:p>
    <w:p w14:paraId="A2AEC90F">
      <w:pPr>
        <w:pStyle w:val="style0"/>
        <w:rPr/>
      </w:pPr>
      <w:r>
        <w:t xml:space="preserve">   · 温和消散（小质量系统）：约束瓦解，物质抛射，类星体熄灭。</w:t>
      </w:r>
    </w:p>
    <w:p w14:paraId="E6BD6BF0">
      <w:pPr>
        <w:pStyle w:val="style0"/>
        <w:rPr/>
      </w:pPr>
      <w:r>
        <w:t xml:space="preserve">   · 剧烈爆炸（大质量系统）：“拓扑湮灭爆”——失控的链式湮灭在极短时间内释放巨大能量 (E ~ Δm c²)，可能导致未知类型的巨耀星或伽马暴。</w:t>
      </w:r>
    </w:p>
    <w:p w14:paraId="CE23EEC9">
      <w:pPr>
        <w:pStyle w:val="style0"/>
        <w:rPr/>
      </w:pPr>
    </w:p>
    <w:p w14:paraId="20811254">
      <w:pPr>
        <w:pStyle w:val="style0"/>
        <w:rPr/>
      </w:pPr>
      <w:r>
        <w:t>贯穿始终的背景机制：霍金辐射</w:t>
      </w:r>
    </w:p>
    <w:p w14:paraId="90F13E8D">
      <w:pPr>
        <w:pStyle w:val="style0"/>
        <w:rPr/>
      </w:pPr>
      <w:r>
        <w:t>在所有阶段，霍金辐射都作为一个缓慢的“蒸发”机制起作用，在消亡阶段尤其会加速系统的终结。</w:t>
      </w:r>
    </w:p>
    <w:p w14:paraId="5027EB56">
      <w:pPr>
        <w:pStyle w:val="style0"/>
        <w:rPr/>
      </w:pPr>
    </w:p>
    <w:p w14:paraId="A916F971">
      <w:pPr>
        <w:pStyle w:val="style0"/>
        <w:rPr/>
      </w:pPr>
      <w:r>
        <w:t>---</w:t>
      </w:r>
    </w:p>
    <w:p w14:paraId="EEA00E63">
      <w:pPr>
        <w:pStyle w:val="style0"/>
        <w:rPr/>
      </w:pPr>
    </w:p>
    <w:p w14:paraId="B7B682C2">
      <w:pPr>
        <w:pStyle w:val="style0"/>
        <w:rPr/>
      </w:pPr>
      <w:r>
        <w:t>四、解决现有理论难题</w:t>
      </w:r>
    </w:p>
    <w:p w14:paraId="600C436F">
      <w:pPr>
        <w:pStyle w:val="style0"/>
        <w:rPr/>
      </w:pPr>
    </w:p>
    <w:p w14:paraId="3FDA2C29">
      <w:pPr>
        <w:pStyle w:val="style0"/>
        <w:rPr/>
      </w:pPr>
      <w:r>
        <w:t>1. 早期宇宙重元素丰度难题</w:t>
      </w:r>
    </w:p>
    <w:p w14:paraId="37010ED5">
      <w:pPr>
        <w:pStyle w:val="style0"/>
        <w:rPr/>
      </w:pPr>
    </w:p>
    <w:p w14:paraId="B5525E32">
      <w:pPr>
        <w:pStyle w:val="style0"/>
        <w:rPr/>
      </w:pPr>
      <w:r>
        <w:t>· 传统困境：标准模型需要数亿年恒星演化才能产生重元素，与JWST在极高红移星系中发现富金属天体相矛盾。</w:t>
      </w:r>
    </w:p>
    <w:p w14:paraId="2CBAB296">
      <w:pPr>
        <w:pStyle w:val="style0"/>
        <w:rPr/>
      </w:pPr>
      <w:r>
        <w:t>· 原始场解释：宇宙早期衍生出的局域超高密度拓扑结构，其内部极端的能量和拓扑构型可直接进行 “拓扑核合成”，跳过恒星演化过程，快速生成重元素。这完美解释了JWST的观测。</w:t>
      </w:r>
    </w:p>
    <w:p w14:paraId="1D2148E0">
      <w:pPr>
        <w:pStyle w:val="style0"/>
        <w:rPr/>
      </w:pPr>
    </w:p>
    <w:p w14:paraId="BD4631F0">
      <w:pPr>
        <w:pStyle w:val="style0"/>
        <w:rPr/>
      </w:pPr>
      <w:r>
        <w:t>2. 各向异性辐射与喷流</w:t>
      </w:r>
    </w:p>
    <w:p w14:paraId="D1DF0431">
      <w:pPr>
        <w:pStyle w:val="style0"/>
        <w:rPr/>
      </w:pPr>
    </w:p>
    <w:p w14:paraId="78312A07">
      <w:pPr>
        <w:pStyle w:val="style0"/>
        <w:rPr/>
      </w:pPr>
      <w:r>
        <w:t>· 传统模型：依赖盘倾角、尘埃遮蔽等可调参数。</w:t>
      </w:r>
    </w:p>
    <w:p w14:paraId="EB8D6C85">
      <w:pPr>
        <w:pStyle w:val="style0"/>
        <w:rPr/>
      </w:pPr>
      <w:r>
        <w:t>· 原始场解释：由拓扑波函数 ψ₁(θ) 的刚性奇性自然决定，赤道和两极天生无法辐射，45°环面和喷流是拓扑结构的必然产物。</w:t>
      </w:r>
    </w:p>
    <w:p w14:paraId="F489DA37">
      <w:pPr>
        <w:pStyle w:val="style0"/>
        <w:rPr/>
      </w:pPr>
    </w:p>
    <w:p w14:paraId="7D163B36">
      <w:pPr>
        <w:pStyle w:val="style0"/>
        <w:rPr/>
      </w:pPr>
      <w:r>
        <w:t>---</w:t>
      </w:r>
    </w:p>
    <w:p w14:paraId="379CD21A">
      <w:pPr>
        <w:pStyle w:val="style0"/>
        <w:rPr/>
      </w:pPr>
    </w:p>
    <w:p w14:paraId="9227F27D">
      <w:pPr>
        <w:pStyle w:val="style0"/>
        <w:rPr/>
      </w:pPr>
      <w:r>
        <w:t>五、可检验预言（零自由参数）</w:t>
      </w:r>
    </w:p>
    <w:p w14:paraId="D62DA396">
      <w:pPr>
        <w:pStyle w:val="style0"/>
        <w:rPr/>
      </w:pPr>
    </w:p>
    <w:p w14:paraId="7E9F4F05">
      <w:pPr>
        <w:pStyle w:val="style0"/>
        <w:rPr/>
      </w:pPr>
      <w:r>
        <w:t>1. X射线谱指数：Γ = 1 + 2α^{1/2} = 1.17（精确值）。2026年XMM-Newton可检验。</w:t>
      </w:r>
    </w:p>
    <w:p w14:paraId="1292D79C">
      <w:pPr>
        <w:pStyle w:val="style0"/>
        <w:rPr/>
      </w:pPr>
      <w:r>
        <w:t>2. 干涉零点：K波段干涉可见度 V²(B) 在基线 B=130 m 处精确为零。2025年GRAVITY+可检验。</w:t>
      </w:r>
    </w:p>
    <w:p w14:paraId="7E37528E">
      <w:pPr>
        <w:pStyle w:val="style0"/>
        <w:rPr/>
      </w:pPr>
      <w:r>
        <w:t>3. 总光度硬边界：所有类星体 Φ\_total ∈ [0.55, 0.62]。2025年JWST可检验。</w:t>
      </w:r>
    </w:p>
    <w:p w14:paraId="5B28CC49">
      <w:pPr>
        <w:pStyle w:val="style0"/>
        <w:rPr/>
      </w:pPr>
      <w:r>
        <w:t>4. 红移硬极限：z\_max = α^{-1/2}·log(Q\_max) ≈ 20。2028年ESA Euclid卫星可检验。</w:t>
      </w:r>
    </w:p>
    <w:p w14:paraId="3238E419">
      <w:pPr>
        <w:pStyle w:val="style0"/>
        <w:rPr/>
      </w:pPr>
      <w:r>
        <w:t>5. 光变与偏振：光变曲线呈“平台-爆发-回落”的脉冲形态；爆发期偏振度提升 &gt;25%。</w:t>
      </w:r>
    </w:p>
    <w:p w14:paraId="7B50AC56">
      <w:pPr>
        <w:pStyle w:val="style0"/>
        <w:rPr/>
      </w:pPr>
      <w:r>
        <w:t>6. 周期-环境关联：贫瘠环境中的类星体光变周期更长。</w:t>
      </w:r>
    </w:p>
    <w:p w14:paraId="A3264E09">
      <w:pPr>
        <w:pStyle w:val="style0"/>
        <w:rPr/>
      </w:pPr>
      <w:r>
        <w:t>7. 寻找拓扑湮灭爆：发现新型瞬变源，其光变与能谱无法被超新星或并合模型解释。</w:t>
      </w:r>
    </w:p>
    <w:p w14:paraId="1E13B727">
      <w:pPr>
        <w:pStyle w:val="style0"/>
        <w:rPr/>
      </w:pPr>
    </w:p>
    <w:p w14:paraId="9752AEED">
      <w:pPr>
        <w:pStyle w:val="style0"/>
        <w:rPr/>
      </w:pPr>
      <w:r>
        <w:t>---</w:t>
      </w:r>
    </w:p>
    <w:p w14:paraId="C46F7C39">
      <w:pPr>
        <w:pStyle w:val="style0"/>
        <w:rPr/>
      </w:pPr>
    </w:p>
    <w:p w14:paraId="5C3AB5C6">
      <w:pPr>
        <w:pStyle w:val="style0"/>
        <w:rPr/>
      </w:pPr>
      <w:r>
        <w:t>六、结论</w:t>
      </w:r>
    </w:p>
    <w:p w14:paraId="FBE94D75">
      <w:pPr>
        <w:pStyle w:val="style0"/>
        <w:rPr/>
      </w:pPr>
    </w:p>
    <w:p w14:paraId="CB424CCC">
      <w:pPr>
        <w:pStyle w:val="style0"/>
        <w:rPr/>
      </w:pPr>
      <w:r>
        <w:t>原始场理论将类星体诠释为宇宙“有-无”循环中的一个动态现象：</w:t>
      </w:r>
    </w:p>
    <w:p w14:paraId="75340A08">
      <w:pPr>
        <w:pStyle w:val="style0"/>
        <w:rPr/>
      </w:pPr>
    </w:p>
    <w:p w14:paraId="467F4713">
      <w:pPr>
        <w:pStyle w:val="style0"/>
        <w:rPr/>
      </w:pPr>
      <w:r>
        <w:t>· 类星体 = 宇宙为‘有’支付的精算保费。</w:t>
      </w:r>
    </w:p>
    <w:p w14:paraId="A7C52EEB">
      <w:pPr>
        <w:pStyle w:val="style0"/>
        <w:rPr/>
      </w:pPr>
      <w:r>
        <w:t>· 保费率 η=38%、缴费期 τ=10⁹年 均由宇宙基本常数（α, aₑ）决定。</w:t>
      </w:r>
    </w:p>
    <w:p w14:paraId="4170A6E8">
      <w:pPr>
        <w:pStyle w:val="style0"/>
        <w:rPr/>
      </w:pPr>
      <w:r>
        <w:t>· 保险条款是压力与束缚力的临界平衡（λ₁ ≡ λ\_c）。</w:t>
      </w:r>
    </w:p>
    <w:p w14:paraId="08386FBA">
      <w:pPr>
        <w:pStyle w:val="style0"/>
        <w:rPr/>
      </w:pPr>
      <w:r>
        <w:t>· 理赔方式是通过45°安全阀进行间歇性释放。</w:t>
      </w:r>
    </w:p>
    <w:p w14:paraId="B21FC188">
      <w:pPr>
        <w:pStyle w:val="style0"/>
        <w:rPr/>
      </w:pPr>
    </w:p>
    <w:p w14:paraId="3B55D7D4">
      <w:pPr>
        <w:pStyle w:val="style0"/>
        <w:rPr/>
      </w:pPr>
      <w:r>
        <w:t>该模型以其直观的物理图像、严谨的数学推导和明确的可证伪预言，提供了对类星体从诞生、活跃、衰变到消亡的首个完整物理叙事，超越了传统模型的“现象学拼凑”。若其预言获证，将强有力地支撑原始场理论作为描述宇宙本源的有效框架。</w:t>
      </w:r>
    </w:p>
    <w:p w14:paraId="AAF99EAF">
      <w:pPr>
        <w:pStyle w:val="style0"/>
        <w:rPr/>
      </w:pPr>
    </w:p>
    <w:p w14:paraId="B508A94F">
      <w:pPr>
        <w:pStyle w:val="style0"/>
        <w:rPr/>
      </w:pPr>
      <w:r>
        <w:t>---</w:t>
      </w:r>
    </w:p>
    <w:p w14:paraId="4D248B52">
      <w:pPr>
        <w:pStyle w:val="style0"/>
        <w:rPr/>
      </w:pPr>
    </w:p>
    <w:p w14:paraId="ED03321C">
      <w:pPr>
        <w:pStyle w:val="style0"/>
        <w:rPr/>
      </w:pPr>
      <w:r>
        <w:t>结语宣言：</w:t>
      </w:r>
    </w:p>
    <w:p w14:paraId="C1F7BB0C">
      <w:pPr>
        <w:pStyle w:val="style0"/>
        <w:rPr/>
      </w:pPr>
    </w:p>
    <w:p w14:paraId="B8165450">
      <w:pPr>
        <w:pStyle w:val="style0"/>
        <w:rPr/>
      </w:pPr>
      <w:r>
        <w:t>“有”是“无”的激发态，“无”是“有”的湮灭态。类星体，正是这场永恒循环中，最辉煌壮丽的史诗篇章。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2171</Words>
  <Characters>2842</Characters>
  <Application>WPS Office</Application>
  <Paragraphs>145</Paragraphs>
  <CharactersWithSpaces>3060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2025-12-24T07:33:41Z</dcterms:created>
  <dc:creator>LGE-AN00</dc:creator>
  <lastModifiedBy>LGE-AN00</lastModifiedBy>
  <dcterms:modified xsi:type="dcterms:W3CDTF">2025-12-24T07:34:12Z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2d7c83fe051945a4a920e9d832fcce68_21</vt:lpwstr>
  </property>
</Properties>
</file>