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6264A4C">
      <w:pPr>
        <w:pStyle w:val="style0"/>
        <w:rPr/>
      </w:pPr>
      <w:bookmarkStart w:id="0" w:name="_GoBack"/>
      <w:bookmarkEnd w:id="0"/>
      <w:r>
        <w:t>多乐动态数学体系 (DIM) - 金山文档兼容版</w:t>
      </w:r>
    </w:p>
    <w:p w14:paraId="3CEAB6E9">
      <w:pPr>
        <w:pStyle w:val="style0"/>
        <w:rPr/>
      </w:pPr>
    </w:p>
    <w:p w14:paraId="C657D24E">
      <w:pPr>
        <w:pStyle w:val="style0"/>
        <w:rPr/>
      </w:pPr>
      <w:r>
        <w:t>【体系定位】</w:t>
      </w:r>
    </w:p>
    <w:p w14:paraId="C5ECE5F2">
      <w:pPr>
        <w:pStyle w:val="style0"/>
        <w:rPr/>
      </w:pPr>
      <w:r>
        <w:t>多乐动态数学体系(Dynamic Interval Mathematics, DIM)是一套不依赖物理背景的纯数学工具，通过"符号源跟踪"解决传统区间算术的区间膨胀问题，实现不确定性的代数抵消。</w:t>
      </w:r>
    </w:p>
    <w:p w14:paraId="66F9B4DB">
      <w:pPr>
        <w:pStyle w:val="style0"/>
        <w:rPr/>
      </w:pPr>
    </w:p>
    <w:p w14:paraId="BC49C7AC">
      <w:pPr>
        <w:pStyle w:val="style0"/>
        <w:rPr/>
      </w:pPr>
      <w:r>
        <w:t>核心创新：</w:t>
      </w:r>
    </w:p>
    <w:p w14:paraId="B939A389">
      <w:pPr>
        <w:pStyle w:val="style0"/>
        <w:rPr/>
      </w:pPr>
      <w:r>
        <w:t>• 动态区间数的完整数学定义</w:t>
      </w:r>
    </w:p>
    <w:p w14:paraId="AF09AB7C">
      <w:pPr>
        <w:pStyle w:val="style0"/>
        <w:rPr/>
      </w:pPr>
      <w:r>
        <w:t xml:space="preserve">• 符号源跟踪的数学方法论  </w:t>
      </w:r>
    </w:p>
    <w:p w14:paraId="ECF040F5">
      <w:pPr>
        <w:pStyle w:val="style0"/>
        <w:rPr/>
      </w:pPr>
      <w:r>
        <w:t>• 多乐零膨胀定理</w:t>
      </w:r>
    </w:p>
    <w:p w14:paraId="C71BDC6C">
      <w:pPr>
        <w:pStyle w:val="style0"/>
        <w:rPr/>
      </w:pPr>
      <w:r>
        <w:t>• 一阶包络运算规则及微积分框架</w:t>
      </w:r>
    </w:p>
    <w:p w14:paraId="D2EA3862">
      <w:pPr>
        <w:pStyle w:val="style0"/>
        <w:rPr/>
      </w:pPr>
    </w:p>
    <w:p w14:paraId="C1A6842E">
      <w:pPr>
        <w:pStyle w:val="style0"/>
        <w:rPr/>
      </w:pPr>
      <w:r>
        <w:t>【符号约定】</w:t>
      </w:r>
    </w:p>
    <w:p w14:paraId="E6AD5239">
      <w:pPr>
        <w:pStyle w:val="style0"/>
        <w:rPr/>
      </w:pPr>
    </w:p>
    <w:p w14:paraId="61AEFC32">
      <w:pPr>
        <w:pStyle w:val="style0"/>
        <w:rPr/>
      </w:pPr>
      <w:r>
        <w:t>对象        符号        说明</w:t>
      </w:r>
    </w:p>
    <w:p w14:paraId="0E19DDA6">
      <w:pPr>
        <w:pStyle w:val="style0"/>
        <w:rPr/>
      </w:pPr>
      <w:r>
        <w:t>实数标量    a, b, x    经典算术中的确定值</w:t>
      </w:r>
    </w:p>
    <w:p w14:paraId="724D3016">
      <w:pPr>
        <w:pStyle w:val="style0"/>
        <w:rPr/>
      </w:pPr>
      <w:r>
        <w:t>动态区间数  A, B, N    含有不确定性的数学对象</w:t>
      </w:r>
    </w:p>
    <w:p w14:paraId="A7111E46">
      <w:pPr>
        <w:pStyle w:val="style0"/>
        <w:rPr/>
      </w:pPr>
      <w:r>
        <w:t>基准值      b ∈ ℝ      中心参考值</w:t>
      </w:r>
    </w:p>
    <w:p w14:paraId="068DBBBF">
      <w:pPr>
        <w:pStyle w:val="style0"/>
        <w:rPr/>
      </w:pPr>
      <w:r>
        <w:t>下偏差      δ⁻ ≥ 0     左半长（负向不确定性幅度）</w:t>
      </w:r>
    </w:p>
    <w:p w14:paraId="ACB4D914">
      <w:pPr>
        <w:pStyle w:val="style0"/>
        <w:rPr/>
      </w:pPr>
      <w:r>
        <w:t>上偏差      δ⁺ ≥ 0     右半长（正向不确定性幅度）</w:t>
      </w:r>
    </w:p>
    <w:p w14:paraId="CCF53C9C">
      <w:pPr>
        <w:pStyle w:val="style0"/>
        <w:rPr/>
      </w:pPr>
      <w:r>
        <w:t>符号源      ε_j ∈ [-1,1] 独立抽象变量，标记不确定性来源</w:t>
      </w:r>
    </w:p>
    <w:p w14:paraId="6AB3C8AE">
      <w:pPr>
        <w:pStyle w:val="style0"/>
        <w:rPr/>
      </w:pPr>
    </w:p>
    <w:p w14:paraId="A35947F9">
      <w:pPr>
        <w:pStyle w:val="style0"/>
        <w:rPr/>
      </w:pPr>
      <w:r>
        <w:t>手写三行格式：</w:t>
      </w:r>
    </w:p>
    <w:p w14:paraId="A819FE1D">
      <w:pPr>
        <w:pStyle w:val="style0"/>
        <w:rPr/>
      </w:pPr>
      <w:r>
        <w:t>基准值</w:t>
      </w:r>
    </w:p>
    <w:p w14:paraId="91A0517C">
      <w:pPr>
        <w:pStyle w:val="style0"/>
        <w:rPr/>
      </w:pPr>
      <w:r>
        <w:t xml:space="preserve">下偏差半径  </w:t>
      </w:r>
    </w:p>
    <w:p w14:paraId="60ED11C3">
      <w:pPr>
        <w:pStyle w:val="style0"/>
        <w:rPr/>
      </w:pPr>
      <w:r>
        <w:t>上偏差半径</w:t>
      </w:r>
    </w:p>
    <w:p w14:paraId="164FEA42">
      <w:pPr>
        <w:pStyle w:val="style0"/>
        <w:rPr/>
      </w:pPr>
    </w:p>
    <w:p w14:paraId="59D00EB6">
      <w:pPr>
        <w:pStyle w:val="style0"/>
        <w:rPr/>
      </w:pPr>
      <w:r>
        <w:t>【核心定义】</w:t>
      </w:r>
    </w:p>
    <w:p w14:paraId="73AA79BA">
      <w:pPr>
        <w:pStyle w:val="style0"/>
        <w:rPr/>
      </w:pPr>
    </w:p>
    <w:p w14:paraId="FBC81036">
      <w:pPr>
        <w:pStyle w:val="style0"/>
        <w:rPr/>
      </w:pPr>
      <w:r>
        <w:t>1. 动态区间数</w:t>
      </w:r>
    </w:p>
    <w:p w14:paraId="DC9C20AE">
      <w:pPr>
        <w:pStyle w:val="style0"/>
        <w:rPr/>
      </w:pPr>
      <w:r>
        <w:t>N(t) = (b(t); δ⁻(t), δ⁺(t))</w:t>
      </w:r>
    </w:p>
    <w:p w14:paraId="137E4EDF">
      <w:pPr>
        <w:pStyle w:val="style0"/>
        <w:rPr/>
      </w:pPr>
    </w:p>
    <w:p w14:paraId="5003D1CA">
      <w:pPr>
        <w:pStyle w:val="style0"/>
        <w:rPr/>
      </w:pPr>
      <w:r>
        <w:t>等价区间表示：[b(t) - δ⁻(t), b(t) + δ⁺(t)]</w:t>
      </w:r>
    </w:p>
    <w:p w14:paraId="6C71F3FB">
      <w:pPr>
        <w:pStyle w:val="style0"/>
        <w:rPr/>
      </w:pPr>
    </w:p>
    <w:p w14:paraId="090090FF">
      <w:pPr>
        <w:pStyle w:val="style0"/>
        <w:rPr/>
      </w:pPr>
      <w:r>
        <w:t>2. 符号源展开形</w:t>
      </w:r>
    </w:p>
    <w:p w14:paraId="00AF5E67">
      <w:pPr>
        <w:pStyle w:val="style0"/>
        <w:rPr/>
      </w:pPr>
      <w:r>
        <w:t>N = b + Σ(α_j⁻ ε_j⁻ + α_j⁺ ε_j⁺)</w:t>
      </w:r>
    </w:p>
    <w:p w14:paraId="57A2DF88">
      <w:pPr>
        <w:pStyle w:val="style0"/>
        <w:rPr/>
      </w:pPr>
      <w:r>
        <w:t>其中：δ⁻ = Σα_j⁻, δ⁺ = Σα_j⁺</w:t>
      </w:r>
    </w:p>
    <w:p w14:paraId="77E3E498">
      <w:pPr>
        <w:pStyle w:val="style0"/>
        <w:rPr/>
      </w:pPr>
    </w:p>
    <w:p w14:paraId="28706D84">
      <w:pPr>
        <w:pStyle w:val="style0"/>
        <w:rPr/>
      </w:pPr>
      <w:r>
        <w:t>【运算规则（一阶包络）】</w:t>
      </w:r>
    </w:p>
    <w:p w14:paraId="B2C79DE6">
      <w:pPr>
        <w:pStyle w:val="style0"/>
        <w:rPr/>
      </w:pPr>
    </w:p>
    <w:p w14:paraId="9B744A1D">
      <w:pPr>
        <w:pStyle w:val="style0"/>
        <w:rPr/>
      </w:pPr>
      <w:r>
        <w:t>1. 加法</w:t>
      </w:r>
    </w:p>
    <w:p w14:paraId="FFF11C28">
      <w:pPr>
        <w:pStyle w:val="style0"/>
        <w:rPr/>
      </w:pPr>
      <w:r>
        <w:t xml:space="preserve">A + B = </w:t>
      </w:r>
    </w:p>
    <w:p w14:paraId="A2BCC3A4">
      <w:pPr>
        <w:pStyle w:val="style0"/>
        <w:rPr/>
      </w:pPr>
      <w:r>
        <w:t xml:space="preserve">  基准值：a + b</w:t>
      </w:r>
    </w:p>
    <w:p w14:paraId="0343039A">
      <w:pPr>
        <w:pStyle w:val="style0"/>
        <w:rPr/>
      </w:pPr>
      <w:r>
        <w:t xml:space="preserve">  下偏差：δ_A⁻ + δ_B⁻</w:t>
      </w:r>
    </w:p>
    <w:p w14:paraId="9F66912E">
      <w:pPr>
        <w:pStyle w:val="style0"/>
        <w:rPr/>
      </w:pPr>
      <w:r>
        <w:t xml:space="preserve">  上偏差：δ_A⁺ + δ_B⁺</w:t>
      </w:r>
    </w:p>
    <w:p w14:paraId="F2ABD4A0">
      <w:pPr>
        <w:pStyle w:val="style0"/>
        <w:rPr/>
      </w:pPr>
    </w:p>
    <w:p w14:paraId="0A8BDCC2">
      <w:pPr>
        <w:pStyle w:val="style0"/>
        <w:rPr/>
      </w:pPr>
      <w:r>
        <w:t>2. 减法</w:t>
      </w:r>
    </w:p>
    <w:p w14:paraId="6B41B736">
      <w:pPr>
        <w:pStyle w:val="style0"/>
        <w:rPr/>
      </w:pPr>
      <w:r>
        <w:t>保守参数形：</w:t>
      </w:r>
    </w:p>
    <w:p w14:paraId="EC8B7BB8">
      <w:pPr>
        <w:pStyle w:val="style0"/>
        <w:rPr/>
      </w:pPr>
      <w:r>
        <w:t xml:space="preserve">A - B = </w:t>
      </w:r>
    </w:p>
    <w:p w14:paraId="6A4DB8B5">
      <w:pPr>
        <w:pStyle w:val="style0"/>
        <w:rPr/>
      </w:pPr>
      <w:r>
        <w:t xml:space="preserve">  基准值：a - b</w:t>
      </w:r>
    </w:p>
    <w:p w14:paraId="A54FB651">
      <w:pPr>
        <w:pStyle w:val="style0"/>
        <w:rPr/>
      </w:pPr>
      <w:r>
        <w:t xml:space="preserve">  下偏差：δ_A⁻ + δ_B⁺</w:t>
      </w:r>
    </w:p>
    <w:p w14:paraId="68347F26">
      <w:pPr>
        <w:pStyle w:val="style0"/>
        <w:rPr/>
      </w:pPr>
      <w:r>
        <w:t xml:space="preserve">  上偏差：δ_A⁺ + δ_B⁻</w:t>
      </w:r>
    </w:p>
    <w:p w14:paraId="11DFF8D7">
      <w:pPr>
        <w:pStyle w:val="style0"/>
        <w:rPr/>
      </w:pPr>
    </w:p>
    <w:p w14:paraId="B1C07F55">
      <w:pPr>
        <w:pStyle w:val="style0"/>
        <w:rPr/>
      </w:pPr>
      <w:r>
        <w:t>符号源展开形（精确）：</w:t>
      </w:r>
    </w:p>
    <w:p w14:paraId="3589685F">
      <w:pPr>
        <w:pStyle w:val="style0"/>
        <w:rPr/>
      </w:pPr>
      <w:r>
        <w:t>A - B = (a - b) + Σ[(α_Aj⁻ - α_Bj⁺)ε_j⁻ + (α_Aj⁺ - α_Bj⁻)ε_j⁺]</w:t>
      </w:r>
    </w:p>
    <w:p w14:paraId="186F8EDB">
      <w:pPr>
        <w:pStyle w:val="style0"/>
        <w:rPr/>
      </w:pPr>
    </w:p>
    <w:p w14:paraId="0AEC5381">
      <w:pPr>
        <w:pStyle w:val="style0"/>
        <w:rPr/>
      </w:pPr>
      <w:r>
        <w:t>3. 乘法</w:t>
      </w:r>
    </w:p>
    <w:p w14:paraId="0DB23B21">
      <w:pPr>
        <w:pStyle w:val="style0"/>
        <w:rPr/>
      </w:pPr>
      <w:r>
        <w:t xml:space="preserve">A × B = </w:t>
      </w:r>
    </w:p>
    <w:p w14:paraId="0CE0B758">
      <w:pPr>
        <w:pStyle w:val="style0"/>
        <w:rPr/>
      </w:pPr>
      <w:r>
        <w:t xml:space="preserve">  基准值：a × b</w:t>
      </w:r>
    </w:p>
    <w:p w14:paraId="510F2BF5">
      <w:pPr>
        <w:pStyle w:val="style0"/>
        <w:rPr/>
      </w:pPr>
      <w:r>
        <w:t xml:space="preserve">  下偏差：max(0, |a|δ_B⁻ + |b|δ_A⁻ - δ_A⁻δ_B⁻)</w:t>
      </w:r>
    </w:p>
    <w:p w14:paraId="AD760872">
      <w:pPr>
        <w:pStyle w:val="style0"/>
        <w:rPr/>
      </w:pPr>
      <w:r>
        <w:t xml:space="preserve">  上偏差：|a|δ_B⁺ + |b|δ_A⁺ + δ_A⁺δ_B⁺</w:t>
      </w:r>
    </w:p>
    <w:p w14:paraId="9E624441">
      <w:pPr>
        <w:pStyle w:val="style0"/>
        <w:rPr/>
      </w:pPr>
    </w:p>
    <w:p w14:paraId="6332DAFB">
      <w:pPr>
        <w:pStyle w:val="style0"/>
        <w:rPr/>
      </w:pPr>
      <w:r>
        <w:t>4. 除法（分母区间不包含零）</w:t>
      </w:r>
    </w:p>
    <w:p w14:paraId="01ACA2EA">
      <w:pPr>
        <w:pStyle w:val="style0"/>
        <w:rPr/>
      </w:pPr>
      <w:r>
        <w:t xml:space="preserve">A ÷ B = </w:t>
      </w:r>
    </w:p>
    <w:p w14:paraId="09C6F681">
      <w:pPr>
        <w:pStyle w:val="style0"/>
        <w:rPr/>
      </w:pPr>
      <w:r>
        <w:t xml:space="preserve">  基准值：a / b</w:t>
      </w:r>
    </w:p>
    <w:p w14:paraId="B256FD3C">
      <w:pPr>
        <w:pStyle w:val="style0"/>
        <w:rPr/>
      </w:pPr>
      <w:r>
        <w:t xml:space="preserve">  下偏差：(|a|δ_B⁺ + |b|δ_A⁻) / (b² - δ_B⁻|b|)</w:t>
      </w:r>
    </w:p>
    <w:p w14:paraId="BBDD55C8">
      <w:pPr>
        <w:pStyle w:val="style0"/>
        <w:rPr/>
      </w:pPr>
      <w:r>
        <w:t xml:space="preserve">  上偏差：(|a|δ_B⁻ + |b|δ_A⁺) / (b² - δ_B⁺|b|)</w:t>
      </w:r>
    </w:p>
    <w:p w14:paraId="BC52F46C">
      <w:pPr>
        <w:pStyle w:val="style0"/>
        <w:rPr/>
      </w:pPr>
    </w:p>
    <w:p w14:paraId="D7B8E8A5">
      <w:pPr>
        <w:pStyle w:val="style0"/>
        <w:rPr/>
      </w:pPr>
      <w:r>
        <w:t>5. 标量乘法（k ∈ ℝ）</w:t>
      </w:r>
    </w:p>
    <w:p w14:paraId="5A42D4F2">
      <w:pPr>
        <w:pStyle w:val="style0"/>
        <w:rPr/>
      </w:pPr>
      <w:r>
        <w:t xml:space="preserve">k · A = </w:t>
      </w:r>
    </w:p>
    <w:p w14:paraId="961E8B0C">
      <w:pPr>
        <w:pStyle w:val="style0"/>
        <w:rPr/>
      </w:pPr>
      <w:r>
        <w:t xml:space="preserve">  基准值：k × a</w:t>
      </w:r>
    </w:p>
    <w:p w14:paraId="5E76A69A">
      <w:pPr>
        <w:pStyle w:val="style0"/>
        <w:rPr/>
      </w:pPr>
      <w:r>
        <w:t xml:space="preserve">  下偏差：|k| × δ_A⁻</w:t>
      </w:r>
    </w:p>
    <w:p w14:paraId="71CC9456">
      <w:pPr>
        <w:pStyle w:val="style0"/>
        <w:rPr/>
      </w:pPr>
      <w:r>
        <w:t xml:space="preserve">  上偏差：|k| × δ_A⁺</w:t>
      </w:r>
    </w:p>
    <w:p w14:paraId="90E6E01F">
      <w:pPr>
        <w:pStyle w:val="style0"/>
        <w:rPr/>
      </w:pPr>
    </w:p>
    <w:p w14:paraId="B2DA7BF8">
      <w:pPr>
        <w:pStyle w:val="style0"/>
        <w:rPr/>
      </w:pPr>
      <w:r>
        <w:t>【微积分运算】</w:t>
      </w:r>
    </w:p>
    <w:p w14:paraId="99509E2F">
      <w:pPr>
        <w:pStyle w:val="style0"/>
        <w:rPr/>
      </w:pPr>
    </w:p>
    <w:p w14:paraId="5DB2B772">
      <w:pPr>
        <w:pStyle w:val="style0"/>
        <w:rPr/>
      </w:pPr>
      <w:r>
        <w:t>1. 导数</w:t>
      </w:r>
    </w:p>
    <w:p w14:paraId="313FE161">
      <w:pPr>
        <w:pStyle w:val="style0"/>
        <w:rPr/>
      </w:pPr>
      <w:r>
        <w:t xml:space="preserve">dN/dt = </w:t>
      </w:r>
    </w:p>
    <w:p w14:paraId="4BEDA84F">
      <w:pPr>
        <w:pStyle w:val="style0"/>
        <w:rPr/>
      </w:pPr>
      <w:r>
        <w:t xml:space="preserve">  基准值导数：db/dt</w:t>
      </w:r>
    </w:p>
    <w:p w14:paraId="3E9AFB11">
      <w:pPr>
        <w:pStyle w:val="style0"/>
        <w:rPr/>
      </w:pPr>
      <w:r>
        <w:t xml:space="preserve">  下偏差导数：dδ⁻/dt</w:t>
      </w:r>
    </w:p>
    <w:p w14:paraId="602B4BE8">
      <w:pPr>
        <w:pStyle w:val="style0"/>
        <w:rPr/>
      </w:pPr>
      <w:r>
        <w:t xml:space="preserve">  上偏差导数：dδ⁺/dt</w:t>
      </w:r>
    </w:p>
    <w:p w14:paraId="DF390BCE">
      <w:pPr>
        <w:pStyle w:val="style0"/>
        <w:rPr/>
      </w:pPr>
    </w:p>
    <w:p w14:paraId="1D781039">
      <w:pPr>
        <w:pStyle w:val="style0"/>
        <w:rPr/>
      </w:pPr>
      <w:r>
        <w:t>2. 积分</w:t>
      </w:r>
    </w:p>
    <w:p w14:paraId="7054FA9A">
      <w:pPr>
        <w:pStyle w:val="style0"/>
        <w:rPr/>
      </w:pPr>
      <w:r>
        <w:t xml:space="preserve">∫N(t)dt = </w:t>
      </w:r>
    </w:p>
    <w:p w14:paraId="2488AE06">
      <w:pPr>
        <w:pStyle w:val="style0"/>
        <w:rPr/>
      </w:pPr>
      <w:r>
        <w:t xml:space="preserve">  基准值积分：∫b(t)dt</w:t>
      </w:r>
    </w:p>
    <w:p w14:paraId="BB580763">
      <w:pPr>
        <w:pStyle w:val="style0"/>
        <w:rPr/>
      </w:pPr>
      <w:r>
        <w:t xml:space="preserve">  下偏差积分：∫δ⁻(t)dt</w:t>
      </w:r>
    </w:p>
    <w:p w14:paraId="F711C3E0">
      <w:pPr>
        <w:pStyle w:val="style0"/>
        <w:rPr/>
      </w:pPr>
      <w:r>
        <w:t xml:space="preserve">  上偏差积分：∫δ⁺(t)dt</w:t>
      </w:r>
    </w:p>
    <w:p w14:paraId="E7C20AFA">
      <w:pPr>
        <w:pStyle w:val="style0"/>
        <w:rPr/>
      </w:pPr>
    </w:p>
    <w:p w14:paraId="422A4148">
      <w:pPr>
        <w:pStyle w:val="style0"/>
        <w:rPr/>
      </w:pPr>
      <w:r>
        <w:t>【手算示范】</w:t>
      </w:r>
    </w:p>
    <w:p w14:paraId="48FD1A40">
      <w:pPr>
        <w:pStyle w:val="style0"/>
        <w:rPr/>
      </w:pPr>
    </w:p>
    <w:p w14:paraId="B267ABB7">
      <w:pPr>
        <w:pStyle w:val="style0"/>
        <w:rPr/>
      </w:pPr>
      <w:r>
        <w:t>例1：误差传播计算</w:t>
      </w:r>
    </w:p>
    <w:p w14:paraId="09A96927">
      <w:pPr>
        <w:pStyle w:val="style0"/>
        <w:rPr/>
      </w:pPr>
      <w:r>
        <w:t>设 x = [2; 0.1; 0.1], y = [5; 0.3; 0.3]</w:t>
      </w:r>
    </w:p>
    <w:p w14:paraId="242D4DDA">
      <w:pPr>
        <w:pStyle w:val="style0"/>
        <w:rPr/>
      </w:pPr>
      <w:r>
        <w:t>计算 z = x × y</w:t>
      </w:r>
    </w:p>
    <w:p w14:paraId="5166FB32">
      <w:pPr>
        <w:pStyle w:val="style0"/>
        <w:rPr/>
      </w:pPr>
    </w:p>
    <w:p w14:paraId="7BB0B863">
      <w:pPr>
        <w:pStyle w:val="style0"/>
        <w:rPr/>
      </w:pPr>
      <w:r>
        <w:t>基准值：2 × 5 = 10</w:t>
      </w:r>
    </w:p>
    <w:p w14:paraId="756E8F55">
      <w:pPr>
        <w:pStyle w:val="style0"/>
        <w:rPr/>
      </w:pPr>
      <w:r>
        <w:t>下偏差：max(0, |2|×0.3 + |5|×0.1 - 0.1×0.3) = 1.07</w:t>
      </w:r>
    </w:p>
    <w:p w14:paraId="F182A9A4">
      <w:pPr>
        <w:pStyle w:val="style0"/>
        <w:rPr/>
      </w:pPr>
      <w:r>
        <w:t>上偏差：|2|×0.3 + |5|×0.1 + 0.1×0.3 = 1.13</w:t>
      </w:r>
    </w:p>
    <w:p w14:paraId="3D735016">
      <w:pPr>
        <w:pStyle w:val="style0"/>
        <w:rPr/>
      </w:pPr>
    </w:p>
    <w:p w14:paraId="308D6AB5">
      <w:pPr>
        <w:pStyle w:val="style0"/>
        <w:rPr/>
      </w:pPr>
      <w:r>
        <w:t>结果：z = [10; 1.07; 1.13]，区间 [8.93, 11.13]</w:t>
      </w:r>
    </w:p>
    <w:p w14:paraId="6E6AD155">
      <w:pPr>
        <w:pStyle w:val="style0"/>
        <w:rPr/>
      </w:pPr>
    </w:p>
    <w:p w14:paraId="6AEA63AB">
      <w:pPr>
        <w:pStyle w:val="style0"/>
        <w:rPr/>
      </w:pPr>
      <w:r>
        <w:t>例2：同源抵消演示</w:t>
      </w:r>
    </w:p>
    <w:p w14:paraId="29D89C37">
      <w:pPr>
        <w:pStyle w:val="style0"/>
        <w:rPr/>
      </w:pPr>
      <w:r>
        <w:t>设 A = [100; 2; 2] = 100 + 2ε₁</w:t>
      </w:r>
    </w:p>
    <w:p w14:paraId="5C1B39D9">
      <w:pPr>
        <w:pStyle w:val="style0"/>
        <w:rPr/>
      </w:pPr>
      <w:r>
        <w:t>设 B = [100; 2; 2] = 100 + 2ε₁</w:t>
      </w:r>
    </w:p>
    <w:p w14:paraId="6FBDCC2E">
      <w:pPr>
        <w:pStyle w:val="style0"/>
        <w:rPr/>
      </w:pPr>
      <w:r>
        <w:t>则 A - B = (100-100) + (2-2)ε₁ = [0; 0; 0]</w:t>
      </w:r>
    </w:p>
    <w:p w14:paraId="AC7AE3F2">
      <w:pPr>
        <w:pStyle w:val="style0"/>
        <w:rPr/>
      </w:pPr>
      <w:r>
        <w:t>实现零膨胀！</w:t>
      </w:r>
    </w:p>
    <w:p w14:paraId="D0E41312">
      <w:pPr>
        <w:pStyle w:val="style0"/>
        <w:rPr/>
      </w:pPr>
    </w:p>
    <w:p w14:paraId="340829FB">
      <w:pPr>
        <w:pStyle w:val="style0"/>
        <w:rPr/>
      </w:pPr>
      <w:r>
        <w:t>【关键特性】</w:t>
      </w:r>
    </w:p>
    <w:p w14:paraId="E17DC646">
      <w:pPr>
        <w:pStyle w:val="style0"/>
        <w:rPr/>
      </w:pPr>
    </w:p>
    <w:p w14:paraId="81EC4A55">
      <w:pPr>
        <w:pStyle w:val="style0"/>
        <w:rPr/>
      </w:pPr>
      <w:r>
        <w:t>1. 零膨胀定理：同源符号源在加减法中完全抵消</w:t>
      </w:r>
    </w:p>
    <w:p w14:paraId="D9AC7546">
      <w:pPr>
        <w:pStyle w:val="style0"/>
        <w:rPr/>
      </w:pPr>
      <w:r>
        <w:t>2. 退化兼容：当δ⁻, δ⁺ → 0时，退化为经典实数运算</w:t>
      </w:r>
    </w:p>
    <w:p w14:paraId="C24588B5">
      <w:pPr>
        <w:pStyle w:val="style0"/>
        <w:rPr/>
      </w:pPr>
      <w:r>
        <w:t>3. 手算友好：三行参数形为主，流程清晰</w:t>
      </w:r>
    </w:p>
    <w:p w14:paraId="0DF82A5E">
      <w:pPr>
        <w:pStyle w:val="style0"/>
        <w:rPr/>
      </w:pPr>
      <w:r>
        <w:t>4. 一阶保守性：乘除运算提供安全上界</w:t>
      </w:r>
    </w:p>
    <w:p w14:paraId="3F934375">
      <w:pPr>
        <w:pStyle w:val="style0"/>
        <w:rPr/>
      </w:pPr>
    </w:p>
    <w:p w14:paraId="2B9D75C1">
      <w:pPr>
        <w:pStyle w:val="style0"/>
        <w:rPr/>
      </w:pPr>
      <w:r>
        <w:t>【使用守则】</w:t>
      </w:r>
    </w:p>
    <w:p w14:paraId="5FE11BC9">
      <w:pPr>
        <w:pStyle w:val="style0"/>
        <w:rPr/>
      </w:pPr>
    </w:p>
    <w:p w14:paraId="256DAA15">
      <w:pPr>
        <w:pStyle w:val="style0"/>
        <w:rPr/>
      </w:pPr>
      <w:r>
        <w:t>1. 先列源后计算：明确所有不确定性源ε_j</w:t>
      </w:r>
    </w:p>
    <w:p w14:paraId="CD0B1339">
      <w:pPr>
        <w:pStyle w:val="style0"/>
        <w:rPr/>
      </w:pPr>
      <w:r>
        <w:t>2. 符号优先：先完成符号代数运算，最后取包络</w:t>
      </w:r>
    </w:p>
    <w:p w14:paraId="BA13E754">
      <w:pPr>
        <w:pStyle w:val="style0"/>
        <w:rPr/>
      </w:pPr>
      <w:r>
        <w:t>3. 分母检查：确保分母区间不包含零</w:t>
      </w:r>
    </w:p>
    <w:p w14:paraId="90B2CDCE">
      <w:pPr>
        <w:pStyle w:val="style0"/>
        <w:rPr/>
      </w:pPr>
      <w:r>
        <w:t>4. 三行格式：统一使用"基准/下偏/上偏"格式</w:t>
      </w:r>
    </w:p>
    <w:p w14:paraId="4E7C8ABC">
      <w:pPr>
        <w:pStyle w:val="style0"/>
        <w:rPr/>
      </w:pPr>
      <w:r>
        <w:t>5. 依赖管理：同源不确定性使用相同符号源</w:t>
      </w:r>
    </w:p>
    <w:p w14:paraId="198A206F">
      <w:pPr>
        <w:pStyle w:val="style0"/>
        <w:rPr/>
      </w:pPr>
    </w:p>
    <w:p w14:paraId="10416D6F">
      <w:pPr>
        <w:pStyle w:val="style0"/>
        <w:rPr/>
      </w:pPr>
      <w:r>
        <w:t>【命名与声明】</w:t>
      </w:r>
    </w:p>
    <w:p w14:paraId="7902FB97">
      <w:pPr>
        <w:pStyle w:val="style0"/>
        <w:rPr/>
      </w:pPr>
    </w:p>
    <w:p w14:paraId="F5B54852">
      <w:pPr>
        <w:pStyle w:val="style0"/>
        <w:rPr/>
      </w:pPr>
      <w:r>
        <w:t>体系命名：以李多乐（乳名）命名，纪念其对世界的好奇探索。</w:t>
      </w:r>
    </w:p>
    <w:p w14:paraId="35207282">
      <w:pPr>
        <w:pStyle w:val="style0"/>
        <w:rPr/>
      </w:pPr>
    </w:p>
    <w:p w14:paraId="E6237994">
      <w:pPr>
        <w:pStyle w:val="style0"/>
        <w:rPr/>
      </w:pPr>
      <w:r>
        <w:t>核心公理：多乐符号源独立公理</w:t>
      </w:r>
    </w:p>
    <w:p w14:paraId="1C75F2FB">
      <w:pPr>
        <w:pStyle w:val="style0"/>
        <w:rPr/>
      </w:pPr>
      <w:r>
        <w:t>∀i≠j, ε_iε_j在代数运算中无额外交叉项</w:t>
      </w:r>
    </w:p>
    <w:p w14:paraId="044108F6">
      <w:pPr>
        <w:pStyle w:val="style0"/>
        <w:rPr/>
      </w:pPr>
    </w:p>
    <w:p w14:paraId="E189D11F">
      <w:pPr>
        <w:pStyle w:val="style0"/>
        <w:rPr/>
      </w:pPr>
      <w:r>
        <w:t>核心定理：多乐零膨胀定理</w:t>
      </w:r>
    </w:p>
    <w:p w14:paraId="9B3D241B">
      <w:pPr>
        <w:pStyle w:val="style0"/>
        <w:rPr/>
      </w:pPr>
      <w:r>
        <w:t>对任意A,B∈D，若A-B的符号源展开中某ε_j系数差为零，则该不确定性被完全抵消。</w:t>
      </w:r>
    </w:p>
    <w:p w14:paraId="3645CD76">
      <w:pPr>
        <w:pStyle w:val="style0"/>
        <w:rPr/>
      </w:pPr>
    </w:p>
    <w:p w14:paraId="34DF670C">
      <w:pPr>
        <w:pStyle w:val="style0"/>
        <w:rPr/>
      </w:pPr>
      <w:r>
        <w:t>---</w:t>
      </w:r>
    </w:p>
    <w:p w14:paraId="70E16365">
      <w:pPr>
        <w:pStyle w:val="style0"/>
        <w:rPr/>
      </w:pPr>
      <w:r>
        <w:t>多乐动态数学体系(DIM)·金山文档兼容版</w:t>
      </w:r>
    </w:p>
    <w:p w14:paraId="B0D19706">
      <w:pPr>
        <w:pStyle w:val="style0"/>
        <w:rPr/>
      </w:pPr>
      <w:r>
        <w:t>—— 可直接复制使用 ——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1083</Words>
  <Characters>1534</Characters>
  <Application>WPS Office</Application>
  <Paragraphs>133</Paragraphs>
  <CharactersWithSpaces>1869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2025-10-30T16:38:09Z</dcterms:created>
  <dc:creator>LGE-AN00</dc:creator>
  <lastModifiedBy>LGE-AN00</lastModifiedBy>
  <dcterms:modified xsi:type="dcterms:W3CDTF">2025-10-30T16:38:38Z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955b948b8876492da63fec9bd768979e_21</vt:lpwstr>
  </property>
</Properties>
</file>