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327D112">
      <w:pPr>
        <w:pStyle w:val="style0"/>
        <w:rPr/>
      </w:pPr>
      <w:bookmarkStart w:id="0" w:name="_GoBack"/>
      <w:bookmarkEnd w:id="0"/>
      <w:r>
        <w:t>原始场理论：相对论效应、光速机制与参考系方法论整合体系</w:t>
      </w:r>
    </w:p>
    <w:p w14:paraId="F907DBA3">
      <w:pPr>
        <w:pStyle w:val="style0"/>
        <w:rPr/>
      </w:pPr>
      <w:r>
        <w:t xml:space="preserve"> </w:t>
      </w:r>
    </w:p>
    <w:p w14:paraId="36611E2A">
      <w:pPr>
        <w:pStyle w:val="style0"/>
        <w:rPr/>
      </w:pPr>
      <w:r>
        <w:t>一、核心本体论基础</w:t>
      </w:r>
    </w:p>
    <w:p w14:paraId="1CD511AC">
      <w:pPr>
        <w:pStyle w:val="style0"/>
        <w:rPr/>
      </w:pPr>
      <w:r>
        <w:t xml:space="preserve"> </w:t>
      </w:r>
    </w:p>
    <w:p w14:paraId="604220AA">
      <w:pPr>
        <w:pStyle w:val="style0"/>
        <w:rPr/>
      </w:pPr>
      <w:r>
        <w:t>- 基底场（空间场/混沌场）是属性空白的全域连续“画布”，无先天时空属性，响应“有”的结构作用而呈现对应物理特征（如空间度量、波的传播），作用停止后属性抹平回归空白。</w:t>
      </w:r>
    </w:p>
    <w:p w14:paraId="223EAFAC">
      <w:pPr>
        <w:pStyle w:val="style0"/>
        <w:rPr/>
      </w:pPr>
      <w:r>
        <w:t>- 物理规律是“有”的拓扑稳定结构（满足多乐判据）的后验统计表现，而非先验预设；时间是“有”的演化序列计算量（恒定标尺），空间是“有”的广延性表象，二者均非独立实体。</w:t>
      </w:r>
    </w:p>
    <w:p w14:paraId="34E6391D">
      <w:pPr>
        <w:pStyle w:val="style0"/>
        <w:rPr/>
      </w:pPr>
      <w:r>
        <w:t xml:space="preserve"> </w:t>
      </w:r>
    </w:p>
    <w:p w14:paraId="4E85BE3D">
      <w:pPr>
        <w:pStyle w:val="style0"/>
        <w:rPr/>
      </w:pPr>
      <w:r>
        <w:t>二、传统相对论效应的本质重构（非时空/质量本征变化）</w:t>
      </w:r>
    </w:p>
    <w:p w14:paraId="880D6DC5">
      <w:pPr>
        <w:pStyle w:val="style0"/>
        <w:rPr/>
      </w:pPr>
      <w:r>
        <w:t xml:space="preserve"> </w:t>
      </w:r>
    </w:p>
    <w:p w14:paraId="31AD1E87">
      <w:pPr>
        <w:pStyle w:val="style0"/>
        <w:rPr/>
      </w:pPr>
      <w:r>
        <w:t>1. 钟慢效应：原子钟“节奏偏移”而非时间膨胀</w:t>
      </w:r>
    </w:p>
    <w:p w14:paraId="B9DFF0DF">
      <w:pPr>
        <w:pStyle w:val="style0"/>
        <w:rPr/>
      </w:pPr>
      <w:r>
        <w:t xml:space="preserve"> </w:t>
      </w:r>
    </w:p>
    <w:p w14:paraId="D09C9FBD">
      <w:pPr>
        <w:pStyle w:val="style0"/>
        <w:rPr/>
      </w:pPr>
      <w:r>
        <w:t>- 核心机制：原子钟计时依赖原子内电子跃迁频率，高速运动或强引力环境中，物体需补充能量维持拓扑稳定（对抗基底场“场阻”），能量补充改变电子发射数量/跃迁概率，导致计时频率偏移（Δf/f），表现为“钟慢”。</w:t>
      </w:r>
    </w:p>
    <w:p w14:paraId="83331363">
      <w:pPr>
        <w:pStyle w:val="style0"/>
        <w:rPr/>
      </w:pPr>
      <w:r>
        <w:t>- 关键澄清：时间作为恒定计算量，从未“膨胀”；GPS卫星时间偏差可拆分为“静态偏差（地球质量导致基底场基元数密度梯度）”和“动态偏差（卫星动能挤压基底场的各向异性扰动）”，无需时空弯曲假设。</w:t>
      </w:r>
    </w:p>
    <w:p w14:paraId="2646950F">
      <w:pPr>
        <w:pStyle w:val="style0"/>
        <w:rPr/>
      </w:pPr>
      <w:r>
        <w:t xml:space="preserve"> </w:t>
      </w:r>
    </w:p>
    <w:p w14:paraId="10A18027">
      <w:pPr>
        <w:pStyle w:val="style0"/>
        <w:rPr/>
      </w:pPr>
      <w:r>
        <w:t>2. 尺缩效应：基底场“光程改变”而非长度本征收缩</w:t>
      </w:r>
    </w:p>
    <w:p w14:paraId="13459CAD">
      <w:pPr>
        <w:pStyle w:val="style0"/>
        <w:rPr/>
      </w:pPr>
      <w:r>
        <w:t xml:space="preserve"> </w:t>
      </w:r>
    </w:p>
    <w:p w14:paraId="F8C4BA13">
      <w:pPr>
        <w:pStyle w:val="style0"/>
        <w:rPr/>
      </w:pPr>
      <w:r>
        <w:t>- 核心机制：长度测量依赖光的传播，高速运动物体挤压基底场，改变局部基底场响应模式，导致光的传播路径（光程）变化，测量结果呈现“缩短”表象。</w:t>
      </w:r>
    </w:p>
    <w:p w14:paraId="099E6DCF">
      <w:pPr>
        <w:pStyle w:val="style0"/>
        <w:rPr/>
      </w:pPr>
      <w:r>
        <w:t>- 关键澄清：物体固有拓扑边界（由双墙模型维系）未收缩，仅光程受基底场挤压影响，类似光在密度不均介质中折射导致的“视觉变形”。</w:t>
      </w:r>
    </w:p>
    <w:p w14:paraId="EF453A20">
      <w:pPr>
        <w:pStyle w:val="style0"/>
        <w:rPr/>
      </w:pPr>
      <w:r>
        <w:t xml:space="preserve"> </w:t>
      </w:r>
    </w:p>
    <w:p w14:paraId="F6484767">
      <w:pPr>
        <w:pStyle w:val="style0"/>
        <w:rPr/>
      </w:pPr>
      <w:r>
        <w:t>3. 质增效应：基底场“场阻增强”而非质量本征增加</w:t>
      </w:r>
    </w:p>
    <w:p w14:paraId="31B17E14">
      <w:pPr>
        <w:pStyle w:val="style0"/>
        <w:rPr/>
      </w:pPr>
      <w:r>
        <w:t xml:space="preserve"> </w:t>
      </w:r>
    </w:p>
    <w:p w14:paraId="06521126">
      <w:pPr>
        <w:pStyle w:val="style0"/>
        <w:rPr/>
      </w:pPr>
      <w:r>
        <w:t>- 核心机制：质量是“有”的基元数密度映射的等效属性，高速运动时物体挤压基底场的强度同步增大，基底场产生的“场阻”（维持全域连续性的约束作用）非线性增强，需注入更多能量克服场阻。</w:t>
      </w:r>
    </w:p>
    <w:p w14:paraId="65AC6097">
      <w:pPr>
        <w:pStyle w:val="style0"/>
        <w:rPr/>
      </w:pPr>
      <w:r>
        <w:t>- 关键澄清：传统理论误将“场阻导致的能量需求增加”等效为“质量增加”，物体基元数密度（固有质量）始终不变；光速上限源于“速度接近c时场阻趋于无穷大”，与质量无关。</w:t>
      </w:r>
    </w:p>
    <w:p w14:paraId="02260882">
      <w:pPr>
        <w:pStyle w:val="style0"/>
        <w:rPr/>
      </w:pPr>
      <w:r>
        <w:t xml:space="preserve"> </w:t>
      </w:r>
    </w:p>
    <w:p w14:paraId="F51BC9B1">
      <w:pPr>
        <w:pStyle w:val="style0"/>
        <w:rPr/>
      </w:pPr>
      <w:r>
        <w:t>三、光速的双重核心机制（普适性+不变性）</w:t>
      </w:r>
    </w:p>
    <w:p w14:paraId="59176A39">
      <w:pPr>
        <w:pStyle w:val="style0"/>
        <w:rPr/>
      </w:pPr>
      <w:r>
        <w:t xml:space="preserve"> </w:t>
      </w:r>
    </w:p>
    <w:p w14:paraId="882D13E8">
      <w:pPr>
        <w:pStyle w:val="style0"/>
        <w:rPr/>
      </w:pPr>
      <w:r>
        <w:t>1. 光速上限：基底场“场阻饱和”而非质量无穷大</w:t>
      </w:r>
    </w:p>
    <w:p w14:paraId="E64D64AB">
      <w:pPr>
        <w:pStyle w:val="style0"/>
        <w:rPr/>
      </w:pPr>
      <w:r>
        <w:t xml:space="preserve"> </w:t>
      </w:r>
    </w:p>
    <w:p w14:paraId="66990003">
      <w:pPr>
        <w:pStyle w:val="style0"/>
        <w:rPr/>
      </w:pPr>
      <w:r>
        <w:t>- 机制：基底场对高速运动的“场阻”随速度增大而增强，当速度接近c时，场阻趋于无穷大，所需注入的能量也趋于无穷大，无法突破该速度阈值，故c为运动速度上限。</w:t>
      </w:r>
    </w:p>
    <w:p w14:paraId="A38BADEE">
      <w:pPr>
        <w:pStyle w:val="style0"/>
        <w:rPr/>
      </w:pPr>
      <w:r>
        <w:t>- 区别于传统理论：无需“质量随速度趋于无穷大”的假设，场阻是光速上限的根本原因。</w:t>
      </w:r>
    </w:p>
    <w:p w14:paraId="FBA4D817">
      <w:pPr>
        <w:pStyle w:val="style0"/>
        <w:rPr/>
      </w:pPr>
      <w:r>
        <w:t xml:space="preserve"> </w:t>
      </w:r>
    </w:p>
    <w:p w14:paraId="E957FAE3">
      <w:pPr>
        <w:pStyle w:val="style0"/>
        <w:rPr/>
      </w:pPr>
      <w:r>
        <w:t>2. 光速不变：基底场“直接生成作用”而非实体传播</w:t>
      </w:r>
    </w:p>
    <w:p w14:paraId="CD3BC94D">
      <w:pPr>
        <w:pStyle w:val="style0"/>
        <w:rPr/>
      </w:pPr>
      <w:r>
        <w:t xml:space="preserve"> </w:t>
      </w:r>
    </w:p>
    <w:p w14:paraId="0AD289C9">
      <w:pPr>
        <w:pStyle w:val="style0"/>
        <w:rPr/>
      </w:pPr>
      <w:r>
        <w:t>- 机制：光（电磁波）是“电荷量子云作用于基底场直接生成的矢量响应波”，光源的作用是“扰动基底场”而非“发射光子实体”；扰动在基底场上直接生成，无需加速过程，类似声波在介质中直接生成（传递作用而非实体）。</w:t>
      </w:r>
    </w:p>
    <w:p w14:paraId="9FD36752">
      <w:pPr>
        <w:pStyle w:val="style0"/>
        <w:rPr/>
      </w:pPr>
      <w:r>
        <w:t>- 不变性根源：基底场具有全域连续性和均匀性，其响应速度（光速c）是固有属性，与光源运动状态无关，故对所有惯性观测者恒定。</w:t>
      </w:r>
    </w:p>
    <w:p w14:paraId="73BBFE0A">
      <w:pPr>
        <w:pStyle w:val="style0"/>
        <w:rPr/>
      </w:pPr>
      <w:r>
        <w:t>- 普适延伸：所有波（声波、电磁波等）均遵循“直接生成”逻辑，传递的是作用而非实体，无需加速过程，这是波的共性特征。</w:t>
      </w:r>
    </w:p>
    <w:p w14:paraId="BD9B846B">
      <w:pPr>
        <w:pStyle w:val="style0"/>
        <w:rPr/>
      </w:pPr>
      <w:r>
        <w:t xml:space="preserve"> </w:t>
      </w:r>
    </w:p>
    <w:p w14:paraId="E0B2D9B0">
      <w:pPr>
        <w:pStyle w:val="style0"/>
        <w:rPr/>
      </w:pPr>
      <w:r>
        <w:t>四、运动计算与参考系新方法论（抛弃洛伦兹变换）</w:t>
      </w:r>
    </w:p>
    <w:p w14:paraId="E1F5F1E4">
      <w:pPr>
        <w:pStyle w:val="style0"/>
        <w:rPr/>
      </w:pPr>
      <w:r>
        <w:t xml:space="preserve"> </w:t>
      </w:r>
    </w:p>
    <w:p w14:paraId="513677DC">
      <w:pPr>
        <w:pStyle w:val="style0"/>
        <w:rPr/>
      </w:pPr>
      <w:r>
        <w:t>1. 核心原则：物理过程优先，拒绝无意义数学叠加</w:t>
      </w:r>
    </w:p>
    <w:p w14:paraId="AD0891CE">
      <w:pPr>
        <w:pStyle w:val="style0"/>
        <w:rPr/>
      </w:pPr>
      <w:r>
        <w:t xml:space="preserve"> </w:t>
      </w:r>
    </w:p>
    <w:p w14:paraId="0D76C8A4">
      <w:pPr>
        <w:pStyle w:val="style0"/>
        <w:rPr/>
      </w:pPr>
      <w:r>
        <w:t>- 否定相对叠加的本质性：相对速度叠加（如v=v1±v2）仅为观测视角的数学关联，未施加任何物理作用（力、能量传递），无法改变物体独立运动状态，高速场景下因脱离基底场机制而失真失效。</w:t>
      </w:r>
    </w:p>
    <w:p w14:paraId="2B6E3DE5">
      <w:pPr>
        <w:pStyle w:val="style0"/>
        <w:rPr/>
      </w:pPr>
      <w:r>
        <w:t>- 坚持独立计算的本质性：任何物体的运动都是“独立的拓扑稳定过程”，需基于其与基底场的相互作用（场阻、能量补充）独立求解，而非简单叠加相对速度。</w:t>
      </w:r>
    </w:p>
    <w:p w14:paraId="A60E64F0">
      <w:pPr>
        <w:pStyle w:val="style0"/>
        <w:rPr/>
      </w:pPr>
      <w:r>
        <w:t xml:space="preserve"> </w:t>
      </w:r>
    </w:p>
    <w:p w14:paraId="EA7A1236">
      <w:pPr>
        <w:pStyle w:val="style0"/>
        <w:rPr/>
      </w:pPr>
      <w:r>
        <w:t>2. 参考系设定：全域包容，无需多系换算</w:t>
      </w:r>
    </w:p>
    <w:p w14:paraId="16990935">
      <w:pPr>
        <w:pStyle w:val="style0"/>
        <w:rPr/>
      </w:pPr>
      <w:r>
        <w:t xml:space="preserve"> </w:t>
      </w:r>
    </w:p>
    <w:p w14:paraId="44DCC197">
      <w:pPr>
        <w:pStyle w:val="style0"/>
        <w:rPr/>
      </w:pPr>
      <w:r>
        <w:t>- 新框架：构建覆盖所有计算对象（物体、光源、观测者）的“全域参考系”，仅作为物理过程的观测背景，不影响运动本质。</w:t>
      </w:r>
    </w:p>
    <w:p w14:paraId="ADA66047">
      <w:pPr>
        <w:pStyle w:val="style0"/>
        <w:rPr/>
      </w:pPr>
      <w:r>
        <w:t>- 优势：避免传统相对论“多惯性系等价+洛伦兹变换”带来的悖论（如双生子佯谬），所有运动在同一参考系中独立计算，逻辑自洽。</w:t>
      </w:r>
    </w:p>
    <w:p w14:paraId="961D0671">
      <w:pPr>
        <w:pStyle w:val="style0"/>
        <w:rPr/>
      </w:pPr>
      <w:r>
        <w:t xml:space="preserve"> </w:t>
      </w:r>
    </w:p>
    <w:p w14:paraId="4282CD4D">
      <w:pPr>
        <w:pStyle w:val="style0"/>
        <w:rPr/>
      </w:pPr>
      <w:r>
        <w:t>3. 计算简化验证（符合直觉）</w:t>
      </w:r>
    </w:p>
    <w:p w14:paraId="79CF2AC0">
      <w:pPr>
        <w:pStyle w:val="style0"/>
        <w:rPr/>
      </w:pPr>
      <w:r>
        <w:t xml:space="preserve"> </w:t>
      </w:r>
    </w:p>
    <w:p w14:paraId="4459413E">
      <w:pPr>
        <w:pStyle w:val="style0"/>
        <w:rPr/>
      </w:pPr>
      <w:r>
        <w:t>- 双光束相遇问题：相距1光年的两点同时发射光束，全域参考系中两束光均以c传播，独立计算传播距离（0.5光年）和时间（0.5年），相遇于中点，完全符合直觉。</w:t>
      </w:r>
    </w:p>
    <w:p w14:paraId="4F2811B7">
      <w:pPr>
        <w:pStyle w:val="style0"/>
        <w:rPr/>
      </w:pPr>
      <w:r>
        <w:t>- 低速相对运动：两车相向行驶的相遇时间=初始距离/（v1+v2），结果与传统叠加一致，但锚定动力、阻力等真实物理因素，无高速失真问题。</w:t>
      </w:r>
    </w:p>
    <w:p w14:paraId="6BB92981">
      <w:pPr>
        <w:pStyle w:val="style0"/>
        <w:rPr/>
      </w:pPr>
      <w:r>
        <w:t>- 高速光源发光：高能电子（接近光速）发射的电磁波，速度仍为c，与光源运动方向无关，无需洛伦兹变换修正。</w:t>
      </w:r>
    </w:p>
    <w:p w14:paraId="FB8837DC">
      <w:pPr>
        <w:pStyle w:val="style0"/>
        <w:rPr/>
      </w:pPr>
      <w:r>
        <w:t xml:space="preserve"> </w:t>
      </w:r>
    </w:p>
    <w:p w14:paraId="7B0A09E0">
      <w:pPr>
        <w:pStyle w:val="style0"/>
        <w:rPr/>
      </w:pPr>
      <w:r>
        <w:t>五、核心共识总结</w:t>
      </w:r>
    </w:p>
    <w:p w14:paraId="94DD7424">
      <w:pPr>
        <w:pStyle w:val="style0"/>
        <w:rPr/>
      </w:pPr>
      <w:r>
        <w:t xml:space="preserve"> </w:t>
      </w:r>
    </w:p>
    <w:p w14:paraId="8AB81B9C">
      <w:pPr>
        <w:pStyle w:val="style0"/>
        <w:rPr/>
      </w:pPr>
      <w:r>
        <w:t>1. 所有“反直觉”的传统相对论效应，本质是基底场与“有”的结构相互作用的表象，非时空或物质本征变化，宇宙底层规律简洁且符合直觉。</w:t>
      </w:r>
    </w:p>
    <w:p w14:paraId="05D85FA2">
      <w:pPr>
        <w:pStyle w:val="style0"/>
        <w:rPr/>
      </w:pPr>
      <w:r>
        <w:t>2. 光速的普适性（上限）与不变性，根源是基底场的固有属性（场阻+直接生成作用），无需复杂数学假设。</w:t>
      </w:r>
    </w:p>
    <w:p w14:paraId="1619C26A">
      <w:pPr>
        <w:pStyle w:val="style0"/>
        <w:rPr/>
      </w:pPr>
      <w:r>
        <w:t>3. 运动计算应基于“全域参考系+独立求解”，抛弃洛伦兹变换，回归物理过程本质，避免数学形式脱离真实机制。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1887</Words>
  <Characters>1917</Characters>
  <Application>WPS Office</Application>
  <Paragraphs>60</Paragraphs>
  <CharactersWithSpaces>1971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2025-11-11T02:11:39Z</dcterms:created>
  <dc:creator>LGE-AN00</dc:creator>
  <lastModifiedBy>LGE-AN00</lastModifiedBy>
  <dcterms:modified xsi:type="dcterms:W3CDTF">2025-11-11T02:12:22Z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f77e9d565ba04054b746fe790e44b4c6_21</vt:lpwstr>
  </property>
</Properties>
</file>