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Calibri" w:cs="Calibri" w:eastAsia="Calibri" w:hAnsi="Calibri"/>
          <w:b/>
          <w:bCs/>
          <w:color w:val="1F3864"/>
          <w:sz w:val="30"/>
          <w:szCs w:val="30"/>
        </w:rPr>
        <w:t xml:space="preserve">Guía para cambiar el sistema sin romperlo</w:t>
      </w:r>
    </w:p>
    <w:p>
      <w:pPr>
        <w:spacing w:after="100" w:before="0" w:line="252" w:lineRule="auto"/>
      </w:pPr>
      <w:r>
        <w:rPr>
          <w:rFonts w:ascii="Calibri" w:cs="Calibri" w:eastAsia="Calibri" w:hAnsi="Calibri"/>
          <w:b w:val="false"/>
          <w:bCs w:val="false"/>
          <w:color w:val="595959"/>
          <w:sz w:val="20"/>
          <w:szCs w:val="20"/>
        </w:rPr>
        <w:t xml:space="preserve">Para el ingeniero que entra al equipo y tiene que hacer un cambio. No estuviste en ninguna reunión: esto es lo que necesitas saber.</w:t>
      </w:r>
    </w:p>
    <w:p>
      <w:pPr>
        <w:spacing w:after="90" w:before="220"/>
      </w:pPr>
      <w:r>
        <w:rPr>
          <w:rFonts w:ascii="Calibri" w:cs="Calibri" w:eastAsia="Calibri" w:hAnsi="Calibri"/>
          <w:b/>
          <w:bCs/>
          <w:color w:val="1F3864"/>
          <w:sz w:val="24"/>
          <w:szCs w:val="24"/>
        </w:rPr>
        <w:t xml:space="preserve">Qué patrones hay y dónde vive cada uno</w:t>
      </w:r>
    </w:p>
    <w:p>
      <w:pPr>
        <w:spacing w:after="70" w:before="0" w:line="252" w:lineRule="auto"/>
        <w:ind w:left="340" w:hanging="200"/>
      </w:pPr>
      <w:r>
        <w:rPr>
          <w:rFonts w:ascii="Calibri" w:cs="Calibri" w:eastAsia="Calibri" w:hAnsi="Calibri"/>
          <w:sz w:val="21"/>
          <w:szCs w:val="21"/>
        </w:rPr>
        <w:t xml:space="preserve">–  Factory Method. Contratos en BibFarmacia/Interfaces/: IProductoFactory, IClienteFactory e IUsuarioFactory. Implementaciones en BibFarmacia/Factories/: siete fábricas de producto más ClienteFactory y UsuarioFactory. Los clientes del patrón son los tres repositorios.</w:t>
      </w:r>
    </w:p>
    <w:p>
      <w:pPr>
        <w:spacing w:after="70" w:before="0" w:line="252" w:lineRule="auto"/>
        <w:ind w:left="340" w:hanging="200"/>
      </w:pPr>
      <w:r>
        <w:rPr>
          <w:rFonts w:ascii="Calibri" w:cs="Calibri" w:eastAsia="Calibri" w:hAnsi="Calibri"/>
          <w:sz w:val="21"/>
          <w:szCs w:val="21"/>
        </w:rPr>
        <w:t xml:space="preserve">–  Strategy. Contrato en BibFarmacia/Interfaces/IConvenio.cs. Las cinco implementaciones en BibFarmacia/Convenios/. El contexto es ServicioDescuento, que no busca nada: delega en el convenio que trae el cliente.</w:t>
      </w:r>
    </w:p>
    <w:p>
      <w:pPr>
        <w:spacing w:after="70" w:before="0" w:line="252" w:lineRule="auto"/>
        <w:ind w:left="340" w:hanging="200"/>
      </w:pPr>
      <w:r>
        <w:rPr>
          <w:rFonts w:ascii="Calibri" w:cs="Calibri" w:eastAsia="Calibri" w:hAnsi="Calibri"/>
          <w:sz w:val="21"/>
          <w:szCs w:val="21"/>
        </w:rPr>
        <w:t xml:space="preserve">–  Observer. Contrato del sujeto en IEvento.cs, los cuatro sujetos concretos en BibFarmacia/Eventos/. El contrato del observador es IServicioNotificacion y la implementación es ServicioNotificacion, que recibe su color por constructor.</w:t>
      </w:r>
    </w:p>
    <w:p>
      <w:pPr>
        <w:spacing w:after="90" w:before="220"/>
      </w:pPr>
      <w:r>
        <w:rPr>
          <w:rFonts w:ascii="Calibri" w:cs="Calibri" w:eastAsia="Calibri" w:hAnsi="Calibri"/>
          <w:b/>
          <w:bCs/>
          <w:color w:val="1F3864"/>
          <w:sz w:val="24"/>
          <w:szCs w:val="24"/>
        </w:rPr>
        <w:t xml:space="preserve">Cómo se relacionan entre sí</w:t>
      </w:r>
    </w:p>
    <w:p>
      <w:pPr>
        <w:spacing w:after="100" w:before="0" w:line="252" w:lineRule="auto"/>
      </w:pPr>
      <w:r>
        <w:rPr>
          <w:rFonts w:ascii="Calibri" w:cs="Calibri" w:eastAsia="Calibri" w:hAnsi="Calibri"/>
          <w:b w:val="false"/>
          <w:bCs w:val="false"/>
          <w:sz w:val="21"/>
          <w:szCs w:val="21"/>
        </w:rPr>
        <w:t xml:space="preserve">ClienteFactory construye el Cliente, y ese Cliente es el que transporta la estrategia de convenio: por ahí se tocan Factory Method y Strategy. Observer no comparte participantes con los otros dos; lo único que comparten los tres es el punto donde se ensamblan.</w:t>
      </w:r>
    </w:p>
    <w:p>
      <w:pPr>
        <w:spacing w:after="90" w:before="220"/>
      </w:pPr>
      <w:r>
        <w:rPr>
          <w:rFonts w:ascii="Calibri" w:cs="Calibri" w:eastAsia="Calibri" w:hAnsi="Calibri"/>
          <w:b/>
          <w:bCs/>
          <w:color w:val="1F3864"/>
          <w:sz w:val="24"/>
          <w:szCs w:val="24"/>
        </w:rPr>
        <w:t xml:space="preserve">Dónde se ensambla el sistema</w:t>
      </w:r>
    </w:p>
    <w:p>
      <w:pPr>
        <w:spacing w:after="100" w:before="0" w:line="252" w:lineRule="auto"/>
      </w:pPr>
      <w:r>
        <w:rPr>
          <w:rFonts w:ascii="Calibri" w:cs="Calibri" w:eastAsia="Calibri" w:hAnsi="Calibri"/>
          <w:b w:val="false"/>
          <w:bCs w:val="false"/>
          <w:sz w:val="21"/>
          <w:szCs w:val="21"/>
        </w:rPr>
        <w:t xml:space="preserve">Todo en AppFarmaciaConsola/Program.cs, que es el único sitio que usa new sobre implementaciones concretas. Ahí se registran las fábricas con su esquema de columnas, se leen los porcentajes de convenios.txt una sola vez y se inyectan a las estrategias, se crean los cuatro eventos y se suscriben los observadores. No hay contenedor de inyección automática y no debe agregarse.</w:t>
      </w:r>
    </w:p>
    <w:p>
      <w:pPr>
        <w:spacing w:after="90" w:before="220"/>
      </w:pPr>
      <w:r>
        <w:rPr>
          <w:rFonts w:ascii="Calibri" w:cs="Calibri" w:eastAsia="Calibri" w:hAnsi="Calibri"/>
          <w:b/>
          <w:bCs/>
          <w:color w:val="1F3864"/>
          <w:sz w:val="24"/>
          <w:szCs w:val="24"/>
        </w:rPr>
        <w:t xml:space="preserve">La guía de dónde tocar</w:t>
      </w:r>
    </w:p>
    <w:p>
      <w:pPr>
        <w:spacing w:after="140" w:before="0" w:line="252" w:lineRule="auto"/>
      </w:pPr>
      <w:r>
        <w:rPr>
          <w:rFonts w:ascii="Calibri" w:cs="Calibri" w:eastAsia="Calibri" w:hAnsi="Calibri"/>
          <w:b w:val="false"/>
          <w:bCs w:val="false"/>
          <w:sz w:val="21"/>
          <w:szCs w:val="21"/>
        </w:rPr>
        <w:t xml:space="preserve">Cubre las tres solicitudes de cambio del Anexo B: vender productos nuevos, vender servicios y manejar convenios.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4000"/>
        <w:gridCol w:w="3912"/>
      </w:tblGrid>
      <w:tr>
        <w:trPr>
          <w:cantSplit/>
          <w:tblHeader/>
        </w:trPr>
        <w:tc>
          <w:tcPr>
            <w:tcW w:type="dxa" w:w="2400"/>
            <w:tcBorders>
              <w:top w:val="single" w:color="B7BFCC" w:sz="2"/>
              <w:left w:val="single" w:color="B7BFCC" w:sz="2"/>
              <w:bottom w:val="single" w:color="B7BFCC" w:sz="2"/>
              <w:right w:val="single" w:color="B7BFCC" w:sz="2"/>
            </w:tcBorders>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Tipo de cambio</w:t>
            </w:r>
          </w:p>
        </w:tc>
        <w:tc>
          <w:tcPr>
            <w:tcW w:type="dxa" w:w="3800"/>
            <w:tcBorders>
              <w:top w:val="single" w:color="B7BFCC" w:sz="2"/>
              <w:left w:val="single" w:color="B7BFCC" w:sz="2"/>
              <w:bottom w:val="single" w:color="B7BFCC" w:sz="2"/>
              <w:right w:val="single" w:color="B7BFCC" w:sz="2"/>
            </w:tcBorders>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Qué crear</w:t>
            </w:r>
          </w:p>
        </w:tc>
        <w:tc>
          <w:tcPr>
            <w:tcW w:type="dxa" w:w="4000"/>
            <w:tcBorders>
              <w:top w:val="single" w:color="B7BFCC" w:sz="2"/>
              <w:left w:val="single" w:color="B7BFCC" w:sz="2"/>
              <w:bottom w:val="single" w:color="B7BFCC" w:sz="2"/>
              <w:right w:val="single" w:color="B7BFCC" w:sz="2"/>
            </w:tcBorders>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Qué modificar</w:t>
            </w:r>
          </w:p>
        </w:tc>
        <w:tc>
          <w:tcPr>
            <w:tcW w:type="dxa" w:w="3912"/>
            <w:tcBorders>
              <w:top w:val="single" w:color="B7BFCC" w:sz="2"/>
              <w:left w:val="single" w:color="B7BFCC" w:sz="2"/>
              <w:bottom w:val="single" w:color="B7BFCC" w:sz="2"/>
              <w:right w:val="single" w:color="B7BFCC" w:sz="2"/>
            </w:tcBorders>
            <w:shd w:fill="1F3864" w:color="auto"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Qué NO tocar</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Vender una categoría de producto nueva (por ejemplo cosméticos o comestibles)</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La clase del producto en BibFarmacia/Clases/ y su fábrica en BibFarmacia/Factories/, implementando IProductoFactory.</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Program.cs: una entrada en fabricasProducto y otra en esquemasProducto. productos.txt si se agrega una muestra.</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RepositoryProducto, IProductoFactory y las otras fábricas.</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Vender un servicio nuevo (inyectología, curaciones y similares)</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La clase heredando de Procedimiento y su fábrica implementando IProductoFactory.</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Program.cs: entrada en fabricasProducto, esquemasProducto, fabricasProcedimiento y esquemasProcedimiento. Fila en productos-sc2.txt.</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RepositoryProducto, Procedimiento y el bloque de demostración.</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Agregar una entidad de convenio nueva</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Una clase en BibFarmacia/Convenios/ que implemente IConvenio, con su CalcularBeneficio y su ToString().</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Program.cs: crear la instancia con su porcentaje y sumarla a la lista de convenios. Una línea nueva en convenios.txt.</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ServicioDescuento, Cliente e IConvenio.</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Cambiar el porcentaje de un convenio existente</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Nada.</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Solo la línea correspondiente de convenios.txt.</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Todo el código. No hace falta recompilar, solo volver a abrir el programa.</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Cambiar el formato del archivo de productos (agregar o quitar una columna)</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Nada.</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El arreglo de esquema en Program.cs y la fábrica que lea esa clave.</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RepositoryProducto y las fábricas que no usen la columna afectada.</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Agregar un aviso nuevo (por ejemplo una alerta de precio)</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La clase del evento en BibFarmacia/Eventos/ implementando IEvento, y su verificador si hace falta.</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Program.cs: crear el evento, inyectarlo donde se dispare y suscribirle un observador.</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IEvento (su firma está congelada), los otros eventos y los servicios que ya existen.</w:t>
            </w:r>
          </w:p>
        </w:tc>
      </w:tr>
      <w:tr>
        <w:trPr>
          <w:cantSplit/>
        </w:trPr>
        <w:tc>
          <w:tcPr>
            <w:tcW w:type="dxa" w:w="2400"/>
            <w:tcBorders>
              <w:top w:val="single" w:color="B7BFCC" w:sz="2"/>
              <w:left w:val="single" w:color="B7BFCC" w:sz="2"/>
              <w:bottom w:val="single" w:color="B7BFCC" w:sz="2"/>
              <w:right w:val="single" w:color="B7BFCC" w:sz="2"/>
            </w:tcBorders>
            <w:shd w:fill="EDF1F7" w:color="auto" w:val="clear"/>
            <w:tcMar>
              <w:top w:type="dxa" w:w="60"/>
              <w:left w:type="dxa" w:w="90"/>
              <w:bottom w:type="dxa" w:w="60"/>
              <w:right w:type="dxa" w:w="90"/>
            </w:tcMar>
            <w:vAlign w:val="top"/>
          </w:tcPr>
          <w:p>
            <w:pPr>
              <w:spacing w:after="0"/>
            </w:pPr>
            <w:r>
              <w:rPr>
                <w:rFonts w:ascii="Calibri" w:cs="Calibri" w:eastAsia="Calibri" w:hAnsi="Calibri"/>
                <w:b/>
                <w:bCs/>
                <w:sz w:val="19"/>
                <w:szCs w:val="19"/>
              </w:rPr>
              <w:t xml:space="preserve">Cambiar a dónde van los avisos (de consola a un archivo, por ejemplo)</w:t>
            </w:r>
          </w:p>
        </w:tc>
        <w:tc>
          <w:tcPr>
            <w:tcW w:type="dxa" w:w="38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Otra implementación de IServicioNotificacion.</w:t>
            </w:r>
          </w:p>
        </w:tc>
        <w:tc>
          <w:tcPr>
            <w:tcW w:type="dxa" w:w="4000"/>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Program.cs: suscribir la nueva implementación en lugar de la actual.</w:t>
            </w:r>
          </w:p>
        </w:tc>
        <w:tc>
          <w:tcPr>
            <w:tcW w:type="dxa" w:w="3912"/>
            <w:tcBorders>
              <w:top w:val="single" w:color="B7BFCC" w:sz="2"/>
              <w:left w:val="single" w:color="B7BFCC" w:sz="2"/>
              <w:bottom w:val="single" w:color="B7BFCC" w:sz="2"/>
              <w:right w:val="single" w:color="B7BFCC" w:sz="2"/>
            </w:tcBorders>
            <w:tcMar>
              <w:top w:type="dxa" w:w="60"/>
              <w:left w:type="dxa" w:w="90"/>
              <w:bottom w:type="dxa" w:w="60"/>
              <w:right w:type="dxa" w:w="90"/>
            </w:tcMar>
            <w:vAlign w:val="top"/>
          </w:tcPr>
          <w:p>
            <w:pPr>
              <w:spacing w:after="0"/>
            </w:pPr>
            <w:r>
              <w:rPr>
                <w:rFonts w:ascii="Calibri" w:cs="Calibri" w:eastAsia="Calibri" w:hAnsi="Calibri"/>
                <w:b w:val="false"/>
                <w:bCs w:val="false"/>
                <w:sz w:val="19"/>
                <w:szCs w:val="19"/>
              </w:rPr>
              <w:t xml:space="preserve">Los cuatro eventos, ServicioNotificacion y los servicios que disparan.</w:t>
            </w:r>
          </w:p>
        </w:tc>
      </w:tr>
    </w:tbl>
    <w:p>
      <w:pPr>
        <w:spacing w:after="0" w:before="240"/>
      </w:pPr>
    </w:p>
    <w:p>
      <w:pPr>
        <w:spacing w:after="90" w:before="220"/>
      </w:pPr>
      <w:r>
        <w:rPr>
          <w:rFonts w:ascii="Calibri" w:cs="Calibri" w:eastAsia="Calibri" w:hAnsi="Calibri"/>
          <w:b/>
          <w:bCs/>
          <w:color w:val="1F3864"/>
          <w:sz w:val="24"/>
          <w:szCs w:val="24"/>
        </w:rPr>
        <w:t xml:space="preserve">Reglas que no se deben romper y por qué</w:t>
      </w:r>
    </w:p>
    <w:p>
      <w:pPr>
        <w:spacing w:after="70" w:before="0" w:line="252" w:lineRule="auto"/>
        <w:ind w:left="340" w:hanging="200"/>
      </w:pPr>
      <w:r>
        <w:rPr>
          <w:rFonts w:ascii="Calibri" w:cs="Calibri" w:eastAsia="Calibri" w:hAnsi="Calibri"/>
          <w:sz w:val="21"/>
          <w:szCs w:val="21"/>
        </w:rPr>
        <w:t xml:space="preserve">–  RepositoryProducto no puede saber qué tipos existen. Nada de switch, cadenas de if ni comparaciones por nombre de tipo dentro de él. Si necesitas una rama por tipo, va en el registro de Program.cs. Es lo que sostiene que agregar un producto no obligue a modificar el repositorio.</w:t>
      </w:r>
    </w:p>
    <w:p>
      <w:pPr>
        <w:spacing w:after="70" w:before="0" w:line="252" w:lineRule="auto"/>
        <w:ind w:left="340" w:hanging="200"/>
      </w:pPr>
      <w:r>
        <w:rPr>
          <w:rFonts w:ascii="Calibri" w:cs="Calibri" w:eastAsia="Calibri" w:hAnsi="Calibri"/>
          <w:sz w:val="21"/>
          <w:szCs w:val="21"/>
        </w:rPr>
        <w:t xml:space="preserve">–  Program.cs solo ensambla. No calcula descuentos, no toca inventario y no construye entidades de dominio a mano.</w:t>
      </w:r>
    </w:p>
    <w:p>
      <w:pPr>
        <w:spacing w:after="70" w:before="0" w:line="252" w:lineRule="auto"/>
        <w:ind w:left="340" w:hanging="200"/>
      </w:pPr>
      <w:r>
        <w:rPr>
          <w:rFonts w:ascii="Calibri" w:cs="Calibri" w:eastAsia="Calibri" w:hAnsi="Calibri"/>
          <w:sz w:val="21"/>
          <w:szCs w:val="21"/>
        </w:rPr>
        <w:t xml:space="preserve">–  La firma IEvento.Disparar(object entidad) no se cambia. Está declarada como deuda consciente; cambiarla obliga a tocar los cuatro eventos y a quien los consume.</w:t>
      </w:r>
    </w:p>
    <w:p>
      <w:pPr>
        <w:spacing w:after="70" w:before="0" w:line="252" w:lineRule="auto"/>
        <w:ind w:left="340" w:hanging="200"/>
      </w:pPr>
      <w:r>
        <w:rPr>
          <w:rFonts w:ascii="Calibri" w:cs="Calibri" w:eastAsia="Calibri" w:hAnsi="Calibri"/>
          <w:sz w:val="21"/>
          <w:szCs w:val="21"/>
        </w:rPr>
        <w:t xml:space="preserve">–  Los servicios no crean ni exponen sus eventos: los reciben por constructor. Si vuelves a poner un evento como campo público, se pierde el motivo del cambio.</w:t>
      </w:r>
    </w:p>
    <w:p>
      <w:pPr>
        <w:spacing w:after="70" w:before="0" w:line="252" w:lineRule="auto"/>
        <w:ind w:left="340" w:hanging="200"/>
      </w:pPr>
      <w:r>
        <w:rPr>
          <w:rFonts w:ascii="Calibri" w:cs="Calibri" w:eastAsia="Calibri" w:hAnsi="Calibri"/>
          <w:sz w:val="21"/>
          <w:szCs w:val="21"/>
        </w:rPr>
        <w:t xml:space="preserve">–  Ninguna estrategia de convenio abre convenios.txt. El archivo lo lee Program.cs una sola vez. Si una estrategia empieza a leerlo, vuelve la duplicación que se eliminó.</w:t>
      </w:r>
    </w:p>
    <w:p>
      <w:pPr>
        <w:spacing w:after="70" w:before="0" w:line="252" w:lineRule="auto"/>
        <w:ind w:left="340" w:hanging="200"/>
      </w:pPr>
      <w:r>
        <w:rPr>
          <w:rFonts w:ascii="Calibri" w:cs="Calibri" w:eastAsia="Calibri" w:hAnsi="Calibri"/>
          <w:sz w:val="21"/>
          <w:szCs w:val="21"/>
        </w:rPr>
        <w:t xml:space="preserve">–  ServicioNotificacion no puede mirar el texto del mensaje para decidir el color. El color entra por constructor; hay una instancia por evento.</w:t>
      </w:r>
    </w:p>
    <w:p>
      <w:pPr>
        <w:spacing w:after="70" w:before="0" w:line="252" w:lineRule="auto"/>
        <w:ind w:left="340" w:hanging="200"/>
      </w:pPr>
      <w:r>
        <w:rPr>
          <w:rFonts w:ascii="Calibri" w:cs="Calibri" w:eastAsia="Calibri" w:hAnsi="Calibri"/>
          <w:sz w:val="21"/>
          <w:szCs w:val="21"/>
        </w:rPr>
        <w:t xml:space="preserve">–  No "arregles" la deuda heredada sin decidirlo en equipo: el comportamiento observable está congelado y cada cambio no autorizado se penaliza.</w:t>
      </w:r>
    </w:p>
    <w:p>
      <w:pPr>
        <w:spacing w:after="90" w:before="220"/>
      </w:pPr>
      <w:r>
        <w:rPr>
          <w:rFonts w:ascii="Calibri" w:cs="Calibri" w:eastAsia="Calibri" w:hAnsi="Calibri"/>
          <w:b/>
          <w:bCs/>
          <w:color w:val="1F3864"/>
          <w:sz w:val="24"/>
          <w:szCs w:val="24"/>
        </w:rPr>
        <w:t xml:space="preserve">Qué deuda quedó pendiente</w:t>
      </w:r>
    </w:p>
    <w:p>
      <w:pPr>
        <w:spacing w:after="70" w:before="0" w:line="252" w:lineRule="auto"/>
        <w:ind w:left="340" w:hanging="200"/>
      </w:pPr>
      <w:r>
        <w:rPr>
          <w:rFonts w:ascii="Calibri" w:cs="Calibri" w:eastAsia="Calibri" w:hAnsi="Calibri"/>
          <w:sz w:val="21"/>
          <w:szCs w:val="21"/>
        </w:rPr>
        <w:t xml:space="preserve">–  Registro duplicado. Las fábricas y los esquemas se registran en dos mapas separados, y los procedimientos además se registran otra vez para el segundo repositorio: agregar un servicio nuevo toca cuatro sitios. Falta encapsularlo en una sola operación de registro que reciba tipo, fábrica y esquema, y que rechace claves duplicadas.</w:t>
      </w:r>
    </w:p>
    <w:p>
      <w:pPr>
        <w:spacing w:after="70" w:before="0" w:line="252" w:lineRule="auto"/>
        <w:ind w:left="340" w:hanging="200"/>
      </w:pPr>
      <w:r>
        <w:rPr>
          <w:rFonts w:ascii="Calibri" w:cs="Calibri" w:eastAsia="Calibri" w:hAnsi="Calibri"/>
          <w:sz w:val="21"/>
          <w:szCs w:val="21"/>
        </w:rPr>
        <w:t xml:space="preserve">–  IEvento.Disparar recibe object y cada evento convierte por dentro. Como los verificadores dependen de IEvento y no del tipo concreto, el compilador ya no impide un emparejamiento equivocado: lo único que lo evita es que el cableado esté solo en Program.cs. Si tocas ese cableado, revísalo con cuidado.</w:t>
      </w:r>
    </w:p>
    <w:p>
      <w:pPr>
        <w:spacing w:after="70" w:before="0" w:line="252" w:lineRule="auto"/>
        <w:ind w:left="340" w:hanging="200"/>
      </w:pPr>
      <w:r>
        <w:rPr>
          <w:rFonts w:ascii="Calibri" w:cs="Calibri" w:eastAsia="Calibri" w:hAnsi="Calibri"/>
          <w:sz w:val="21"/>
          <w:szCs w:val="21"/>
        </w:rPr>
        <w:t xml:space="preserve">–  La regla heredada de que una línea con seis columnas se interpreta como medicamento en cápsula sigue dentro de RepositoryProducto. Se conservó porque es la que carga las primeras filas del archivo y quitarla cambiaría la salida.</w:t>
      </w:r>
    </w:p>
    <w:p>
      <w:pPr>
        <w:spacing w:after="70" w:before="0" w:line="252" w:lineRule="auto"/>
        <w:ind w:left="340" w:hanging="200"/>
      </w:pPr>
      <w:r>
        <w:rPr>
          <w:rFonts w:ascii="Calibri" w:cs="Calibri" w:eastAsia="Calibri" w:hAnsi="Calibri"/>
          <w:sz w:val="21"/>
          <w:szCs w:val="21"/>
        </w:rPr>
        <w:t xml:space="preserve">–  ValidadorCliente y ValidadorProducto siguen sin estar conectados a ningún flujo. Es deuda declarada desde el reto anterior, no un olvido.</w:t>
      </w:r>
    </w:p>
    <w:p>
      <w:pPr>
        <w:spacing w:after="70" w:before="0" w:line="252" w:lineRule="auto"/>
        <w:ind w:left="340" w:hanging="200"/>
      </w:pPr>
      <w:r>
        <w:rPr>
          <w:rFonts w:ascii="Calibri" w:cs="Calibri" w:eastAsia="Calibri" w:hAnsi="Calibri"/>
          <w:sz w:val="21"/>
          <w:szCs w:val="21"/>
        </w:rPr>
        <w:t xml:space="preserve">–  Deuda heredada que sigue viva: se permite stock negativo en la venta, las contraseñas están en texto plano, la lectura de opciones del menú falla si se escribe texto, y la opción de demostración no aparece listada en el menú.</w:t>
      </w:r>
    </w:p>
    <w:p>
      <w:pPr>
        <w:spacing w:after="90" w:before="220"/>
      </w:pPr>
      <w:r>
        <w:rPr>
          <w:rFonts w:ascii="Calibri" w:cs="Calibri" w:eastAsia="Calibri" w:hAnsi="Calibri"/>
          <w:b/>
          <w:bCs/>
          <w:color w:val="1F3864"/>
          <w:sz w:val="24"/>
          <w:szCs w:val="24"/>
        </w:rPr>
        <w:t xml:space="preserve">Cómo comprobar que no rompiste nada</w:t>
      </w:r>
    </w:p>
    <w:p>
      <w:pPr>
        <w:spacing w:after="100" w:before="0" w:line="252" w:lineRule="auto"/>
      </w:pPr>
      <w:r>
        <w:rPr>
          <w:rFonts w:ascii="Calibri" w:cs="Calibri" w:eastAsia="Calibri" w:hAnsi="Calibri"/>
          <w:b w:val="false"/>
          <w:bCs w:val="false"/>
          <w:sz w:val="21"/>
          <w:szCs w:val="21"/>
        </w:rPr>
        <w:t xml:space="preserve">Corre el arnés de caracterización de 04-evidencias-reto2/caracterizacion y compara contra la línea base. Los doce casos heredados tienen que salir idénticos byte a byte. Los colores de consola no viajan en la salida redirigida, así que si tocas notificaciones verifícalos ejecutando el programa de verdad, no confiando en el diff.</w:t>
      </w:r>
    </w:p>
    <w:sectPr>
      <w:pgSz w:w="15840" w:h="12240"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2026-09-07T03:20:51.832Z</dcterms:created>
  <dcterms:modified xsi:type="dcterms:W3CDTF">2026-09-07T03:20:51.832Z</dcterms:modified>
</cp:coreProperties>
</file>

<file path=docProps/custom.xml><?xml version="1.0" encoding="utf-8"?>
<Properties xmlns="http://schemas.openxmlformats.org/officeDocument/2006/custom-properties" xmlns:vt="http://schemas.openxmlformats.org/officeDocument/2006/docPropsVTypes"/>
</file>