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F326" w14:textId="77777777" w:rsidR="00C10478" w:rsidRDefault="00934FCF">
      <w:pPr>
        <w:pStyle w:val="Standard"/>
        <w:shd w:val="clear" w:color="auto" w:fill="FFFFFF"/>
        <w:spacing w:after="240" w:line="240" w:lineRule="auto"/>
      </w:pPr>
      <w:r>
        <w:rPr>
          <w:noProof/>
        </w:rPr>
        <w:drawing>
          <wp:inline distT="0" distB="0" distL="0" distR="0" wp14:anchorId="764C4FFD" wp14:editId="68A5849C">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2310" cy="2800441"/>
                    </a:xfrm>
                    <a:prstGeom prst="rect">
                      <a:avLst/>
                    </a:prstGeom>
                    <a:noFill/>
                    <a:ln>
                      <a:noFill/>
                      <a:prstDash/>
                    </a:ln>
                  </pic:spPr>
                </pic:pic>
              </a:graphicData>
            </a:graphic>
          </wp:inline>
        </w:drawing>
      </w:r>
    </w:p>
    <w:p w14:paraId="45470582" w14:textId="5136C3C8" w:rsidR="00C10478" w:rsidRDefault="00934FCF" w:rsidP="006C5A2B">
      <w:pPr>
        <w:pStyle w:val="Titre1"/>
        <w:keepNext w:val="0"/>
        <w:keepLines w:val="0"/>
        <w:pBdr>
          <w:bottom w:val="single" w:sz="6" w:space="6" w:color="EAECEF"/>
        </w:pBdr>
        <w:shd w:val="clear" w:color="auto" w:fill="FFFFFF"/>
        <w:spacing w:before="360" w:after="240"/>
        <w:ind w:left="-300"/>
      </w:pPr>
      <w:bookmarkStart w:id="0" w:name="_rtmpa464dozn"/>
      <w:bookmarkEnd w:id="0"/>
      <w:r>
        <w:rPr>
          <w:b/>
          <w:color w:val="24292E"/>
          <w:sz w:val="46"/>
          <w:szCs w:val="46"/>
        </w:rPr>
        <w:t>Spécification des Conditions requises pour l’Architecture</w:t>
      </w:r>
    </w:p>
    <w:p w14:paraId="50AB1581" w14:textId="3AE19A89" w:rsidR="00C10478" w:rsidRDefault="00934FCF">
      <w:pPr>
        <w:pStyle w:val="Standard"/>
        <w:shd w:val="clear" w:color="auto" w:fill="FFFFFF"/>
        <w:spacing w:after="240" w:line="240" w:lineRule="auto"/>
      </w:pPr>
      <w:r>
        <w:rPr>
          <w:i/>
          <w:color w:val="24292E"/>
          <w:sz w:val="24"/>
          <w:szCs w:val="24"/>
        </w:rPr>
        <w:t>P</w:t>
      </w:r>
      <w:r>
        <w:rPr>
          <w:i/>
          <w:color w:val="24292E"/>
          <w:sz w:val="24"/>
          <w:szCs w:val="24"/>
        </w:rPr>
        <w:t>rojet :</w:t>
      </w:r>
      <w:r>
        <w:rPr>
          <w:color w:val="24292E"/>
          <w:sz w:val="24"/>
          <w:szCs w:val="24"/>
        </w:rPr>
        <w:t xml:space="preserve"> </w:t>
      </w:r>
      <w:r w:rsidR="0040722F">
        <w:t>Approvisionnement alimentaire géographiquement responsable</w:t>
      </w:r>
    </w:p>
    <w:p w14:paraId="4E64E86E" w14:textId="1EBD2F9A" w:rsidR="00C10478" w:rsidRDefault="00934FCF">
      <w:pPr>
        <w:pStyle w:val="Standard"/>
        <w:shd w:val="clear" w:color="auto" w:fill="FFFFFF"/>
        <w:spacing w:after="240" w:line="240" w:lineRule="auto"/>
      </w:pPr>
      <w:r>
        <w:rPr>
          <w:i/>
          <w:color w:val="24292E"/>
          <w:sz w:val="24"/>
          <w:szCs w:val="24"/>
        </w:rPr>
        <w:t>Client :</w:t>
      </w:r>
      <w:r>
        <w:rPr>
          <w:color w:val="24292E"/>
          <w:sz w:val="24"/>
          <w:szCs w:val="24"/>
        </w:rPr>
        <w:t xml:space="preserve"> </w:t>
      </w:r>
      <w:proofErr w:type="spellStart"/>
      <w:r w:rsidR="0040722F">
        <w:rPr>
          <w:color w:val="24292E"/>
          <w:sz w:val="24"/>
          <w:szCs w:val="24"/>
        </w:rPr>
        <w:t>Foosus</w:t>
      </w:r>
      <w:proofErr w:type="spellEnd"/>
    </w:p>
    <w:p w14:paraId="7264051E" w14:textId="698A4E7C" w:rsidR="00C10478" w:rsidRDefault="00934FCF" w:rsidP="006C5A2B">
      <w:pPr>
        <w:pStyle w:val="Standard"/>
        <w:shd w:val="clear" w:color="auto" w:fill="FFFFFF"/>
        <w:spacing w:after="240" w:line="240" w:lineRule="auto"/>
      </w:pPr>
      <w:r>
        <w:rPr>
          <w:i/>
          <w:color w:val="24292E"/>
          <w:sz w:val="24"/>
          <w:szCs w:val="24"/>
        </w:rPr>
        <w:t>Préparé par :</w:t>
      </w:r>
      <w:r w:rsidR="0040722F">
        <w:rPr>
          <w:i/>
          <w:color w:val="24292E"/>
          <w:sz w:val="24"/>
          <w:szCs w:val="24"/>
        </w:rPr>
        <w:t xml:space="preserve"> Marie BLANC</w:t>
      </w:r>
    </w:p>
    <w:p w14:paraId="02254D08" w14:textId="77777777" w:rsidR="00C10478" w:rsidRDefault="00934FCF">
      <w:pPr>
        <w:pStyle w:val="Standard"/>
        <w:shd w:val="clear" w:color="auto" w:fill="FFFFFF"/>
        <w:spacing w:after="240" w:line="240" w:lineRule="auto"/>
      </w:pPr>
      <w:r>
        <w:rPr>
          <w:i/>
          <w:color w:val="24292E"/>
          <w:sz w:val="24"/>
          <w:szCs w:val="24"/>
        </w:rPr>
        <w:t xml:space="preserve">N° de Version du Document : </w:t>
      </w:r>
      <w:r>
        <w:rPr>
          <w:color w:val="24292E"/>
          <w:sz w:val="24"/>
          <w:szCs w:val="24"/>
        </w:rPr>
        <w:t>0.1</w:t>
      </w:r>
    </w:p>
    <w:p w14:paraId="6DFE92F8" w14:textId="650F9492" w:rsidR="00C10478" w:rsidRDefault="00934FCF" w:rsidP="006C5A2B">
      <w:pPr>
        <w:pStyle w:val="Standard"/>
        <w:shd w:val="clear" w:color="auto" w:fill="FFFFFF"/>
        <w:spacing w:after="240" w:line="240" w:lineRule="auto"/>
      </w:pPr>
      <w:r>
        <w:rPr>
          <w:i/>
          <w:color w:val="24292E"/>
          <w:sz w:val="24"/>
          <w:szCs w:val="24"/>
        </w:rPr>
        <w:t xml:space="preserve">Titre : </w:t>
      </w:r>
      <w:r>
        <w:rPr>
          <w:color w:val="24292E"/>
          <w:sz w:val="24"/>
          <w:szCs w:val="24"/>
        </w:rPr>
        <w:t>Spécification des Conditions requises pour l’Architecture</w:t>
      </w:r>
    </w:p>
    <w:p w14:paraId="5A5938B7" w14:textId="77777777" w:rsidR="00C10478" w:rsidRDefault="00934FCF">
      <w:pPr>
        <w:pStyle w:val="Titre1"/>
        <w:keepNext w:val="0"/>
        <w:keepLines w:val="0"/>
        <w:pBdr>
          <w:bottom w:val="single" w:sz="6" w:space="6" w:color="EAECEF"/>
        </w:pBdr>
        <w:shd w:val="clear" w:color="auto" w:fill="FFFFFF"/>
        <w:spacing w:before="360" w:after="240"/>
        <w:ind w:left="-300"/>
      </w:pPr>
      <w:bookmarkStart w:id="1" w:name="_5s5ost31083w"/>
      <w:bookmarkEnd w:id="1"/>
      <w:r>
        <w:rPr>
          <w:b/>
          <w:color w:val="24292E"/>
          <w:sz w:val="46"/>
          <w:szCs w:val="46"/>
        </w:rPr>
        <w:t>Table des Matières</w:t>
      </w:r>
    </w:p>
    <w:p w14:paraId="2BE1B1CD" w14:textId="77777777" w:rsidR="00C10478" w:rsidRDefault="00934FCF">
      <w:pPr>
        <w:pStyle w:val="Standard"/>
        <w:numPr>
          <w:ilvl w:val="0"/>
          <w:numId w:val="2"/>
        </w:numPr>
        <w:shd w:val="clear" w:color="auto" w:fill="FFFFFF"/>
        <w:spacing w:line="240" w:lineRule="auto"/>
      </w:pPr>
      <w:r>
        <w:rPr>
          <w:color w:val="24292E"/>
          <w:sz w:val="24"/>
          <w:szCs w:val="24"/>
        </w:rPr>
        <w:t>Objet de ce document</w:t>
      </w:r>
    </w:p>
    <w:p w14:paraId="0C6EDFD7" w14:textId="77777777" w:rsidR="00C10478" w:rsidRDefault="00934FCF">
      <w:pPr>
        <w:pStyle w:val="Standard"/>
        <w:numPr>
          <w:ilvl w:val="0"/>
          <w:numId w:val="1"/>
        </w:numPr>
        <w:shd w:val="clear" w:color="auto" w:fill="FFFFFF"/>
        <w:spacing w:line="240" w:lineRule="auto"/>
      </w:pPr>
      <w:r>
        <w:rPr>
          <w:color w:val="24292E"/>
          <w:sz w:val="24"/>
          <w:szCs w:val="24"/>
        </w:rPr>
        <w:t xml:space="preserve">Mesures du </w:t>
      </w:r>
      <w:r>
        <w:rPr>
          <w:color w:val="24292E"/>
          <w:sz w:val="24"/>
          <w:szCs w:val="24"/>
        </w:rPr>
        <w:t>succès</w:t>
      </w:r>
    </w:p>
    <w:p w14:paraId="148DF0D5" w14:textId="77777777" w:rsidR="00C10478" w:rsidRDefault="00934FCF">
      <w:pPr>
        <w:pStyle w:val="Standard"/>
        <w:numPr>
          <w:ilvl w:val="0"/>
          <w:numId w:val="1"/>
        </w:numPr>
        <w:shd w:val="clear" w:color="auto" w:fill="FFFFFF"/>
        <w:spacing w:line="240" w:lineRule="auto"/>
      </w:pPr>
      <w:r>
        <w:rPr>
          <w:color w:val="24292E"/>
          <w:sz w:val="24"/>
          <w:szCs w:val="24"/>
        </w:rPr>
        <w:t>Conditions requises pour l’architecture</w:t>
      </w:r>
    </w:p>
    <w:p w14:paraId="245CD7EC" w14:textId="77777777" w:rsidR="00C10478" w:rsidRDefault="00934FCF">
      <w:pPr>
        <w:pStyle w:val="Standard"/>
        <w:numPr>
          <w:ilvl w:val="0"/>
          <w:numId w:val="1"/>
        </w:numPr>
        <w:shd w:val="clear" w:color="auto" w:fill="FFFFFF"/>
        <w:spacing w:line="240" w:lineRule="auto"/>
      </w:pPr>
      <w:r>
        <w:rPr>
          <w:color w:val="24292E"/>
          <w:sz w:val="24"/>
          <w:szCs w:val="24"/>
        </w:rPr>
        <w:t>Contrats de service business</w:t>
      </w:r>
    </w:p>
    <w:p w14:paraId="18D44996" w14:textId="77777777" w:rsidR="00C10478" w:rsidRDefault="00934FCF">
      <w:pPr>
        <w:pStyle w:val="Standard"/>
        <w:numPr>
          <w:ilvl w:val="0"/>
          <w:numId w:val="1"/>
        </w:numPr>
        <w:shd w:val="clear" w:color="auto" w:fill="FFFFFF"/>
        <w:spacing w:line="240" w:lineRule="auto"/>
      </w:pPr>
      <w:r>
        <w:rPr>
          <w:color w:val="24292E"/>
          <w:sz w:val="24"/>
          <w:szCs w:val="24"/>
        </w:rPr>
        <w:t>Contrats de service application</w:t>
      </w:r>
    </w:p>
    <w:p w14:paraId="2317B298" w14:textId="77777777" w:rsidR="00C10478" w:rsidRDefault="00934FCF">
      <w:pPr>
        <w:pStyle w:val="Standard"/>
        <w:numPr>
          <w:ilvl w:val="0"/>
          <w:numId w:val="1"/>
        </w:numPr>
        <w:shd w:val="clear" w:color="auto" w:fill="FFFFFF"/>
        <w:spacing w:line="240" w:lineRule="auto"/>
      </w:pPr>
      <w:r>
        <w:rPr>
          <w:color w:val="24292E"/>
          <w:sz w:val="24"/>
          <w:szCs w:val="24"/>
        </w:rPr>
        <w:t>Lignes directrices pour l’implémentation</w:t>
      </w:r>
    </w:p>
    <w:p w14:paraId="5F2B4669" w14:textId="77777777" w:rsidR="00C10478" w:rsidRDefault="00934FCF">
      <w:pPr>
        <w:pStyle w:val="Standard"/>
        <w:numPr>
          <w:ilvl w:val="0"/>
          <w:numId w:val="1"/>
        </w:numPr>
        <w:shd w:val="clear" w:color="auto" w:fill="FFFFFF"/>
        <w:spacing w:line="240" w:lineRule="auto"/>
      </w:pPr>
      <w:r>
        <w:rPr>
          <w:color w:val="24292E"/>
          <w:sz w:val="24"/>
          <w:szCs w:val="24"/>
        </w:rPr>
        <w:t>Spécifications pour l’implémentation</w:t>
      </w:r>
    </w:p>
    <w:p w14:paraId="1A391824" w14:textId="77777777" w:rsidR="00C10478" w:rsidRDefault="00934FCF">
      <w:pPr>
        <w:pStyle w:val="Standard"/>
        <w:numPr>
          <w:ilvl w:val="0"/>
          <w:numId w:val="1"/>
        </w:numPr>
        <w:shd w:val="clear" w:color="auto" w:fill="FFFFFF"/>
        <w:spacing w:line="240" w:lineRule="auto"/>
      </w:pPr>
      <w:r>
        <w:rPr>
          <w:color w:val="24292E"/>
          <w:sz w:val="24"/>
          <w:szCs w:val="24"/>
        </w:rPr>
        <w:t>Standards pour l’implémentation</w:t>
      </w:r>
    </w:p>
    <w:p w14:paraId="1B5FE96F" w14:textId="77777777" w:rsidR="00C10478" w:rsidRDefault="00934FCF">
      <w:pPr>
        <w:pStyle w:val="Standard"/>
        <w:numPr>
          <w:ilvl w:val="0"/>
          <w:numId w:val="1"/>
        </w:numPr>
        <w:shd w:val="clear" w:color="auto" w:fill="FFFFFF"/>
        <w:spacing w:line="240" w:lineRule="auto"/>
      </w:pPr>
      <w:r>
        <w:rPr>
          <w:color w:val="24292E"/>
          <w:sz w:val="24"/>
          <w:szCs w:val="24"/>
        </w:rPr>
        <w:t>Conditions requises pour l’interopérab</w:t>
      </w:r>
      <w:r>
        <w:rPr>
          <w:color w:val="24292E"/>
          <w:sz w:val="24"/>
          <w:szCs w:val="24"/>
        </w:rPr>
        <w:t>ilité</w:t>
      </w:r>
    </w:p>
    <w:p w14:paraId="498AFE52" w14:textId="77777777" w:rsidR="00C10478" w:rsidRDefault="00934FCF">
      <w:pPr>
        <w:pStyle w:val="Standard"/>
        <w:numPr>
          <w:ilvl w:val="0"/>
          <w:numId w:val="1"/>
        </w:numPr>
        <w:shd w:val="clear" w:color="auto" w:fill="FFFFFF"/>
        <w:spacing w:line="240" w:lineRule="auto"/>
      </w:pPr>
      <w:r>
        <w:rPr>
          <w:color w:val="24292E"/>
          <w:sz w:val="24"/>
          <w:szCs w:val="24"/>
        </w:rPr>
        <w:t xml:space="preserve"> Conditions requises pour le management du service IT</w:t>
      </w:r>
    </w:p>
    <w:p w14:paraId="744B7610" w14:textId="77777777" w:rsidR="00C10478" w:rsidRDefault="00934FCF">
      <w:pPr>
        <w:pStyle w:val="Standard"/>
        <w:numPr>
          <w:ilvl w:val="0"/>
          <w:numId w:val="1"/>
        </w:numPr>
        <w:shd w:val="clear" w:color="auto" w:fill="FFFFFF"/>
        <w:spacing w:line="240" w:lineRule="auto"/>
      </w:pPr>
      <w:r>
        <w:rPr>
          <w:color w:val="24292E"/>
          <w:sz w:val="24"/>
          <w:szCs w:val="24"/>
        </w:rPr>
        <w:t xml:space="preserve"> Contraintes</w:t>
      </w:r>
    </w:p>
    <w:p w14:paraId="0DFD41B2" w14:textId="77777777" w:rsidR="00C10478" w:rsidRDefault="00934FCF">
      <w:pPr>
        <w:pStyle w:val="Standard"/>
        <w:numPr>
          <w:ilvl w:val="0"/>
          <w:numId w:val="1"/>
        </w:numPr>
        <w:shd w:val="clear" w:color="auto" w:fill="FFFFFF"/>
        <w:spacing w:after="240" w:line="240" w:lineRule="auto"/>
      </w:pPr>
      <w:r>
        <w:rPr>
          <w:color w:val="24292E"/>
          <w:sz w:val="24"/>
          <w:szCs w:val="24"/>
        </w:rPr>
        <w:t xml:space="preserve"> Hypothèses</w:t>
      </w:r>
    </w:p>
    <w:p w14:paraId="47CE0322" w14:textId="77777777" w:rsidR="00C10478" w:rsidRDefault="00934FC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Objet de ce document</w:t>
      </w:r>
    </w:p>
    <w:p w14:paraId="455B1567" w14:textId="77777777" w:rsidR="00C10478" w:rsidRDefault="00934FCF">
      <w:pPr>
        <w:pStyle w:val="Standard"/>
        <w:shd w:val="clear" w:color="auto" w:fill="FFFFFF"/>
        <w:spacing w:after="240" w:line="240" w:lineRule="auto"/>
      </w:pPr>
      <w:r>
        <w:rPr>
          <w:i/>
          <w:color w:val="24292E"/>
          <w:sz w:val="24"/>
          <w:szCs w:val="24"/>
        </w:rPr>
        <w:t xml:space="preserve">La Spécification des Conditions requises pour l’Architecture fournit un ensemble de déclarations quantitatives qui dessinent ce que doit faire un </w:t>
      </w:r>
      <w:r>
        <w:rPr>
          <w:i/>
          <w:color w:val="24292E"/>
          <w:sz w:val="24"/>
          <w:szCs w:val="24"/>
        </w:rPr>
        <w:t>projet d’implémentation afin d’être conforme à l’architecture.</w:t>
      </w:r>
    </w:p>
    <w:p w14:paraId="5250F964" w14:textId="77777777" w:rsidR="00C10478" w:rsidRDefault="00934FCF">
      <w:pPr>
        <w:pStyle w:val="Standard"/>
        <w:shd w:val="clear" w:color="auto" w:fill="FFFFFF"/>
        <w:spacing w:after="240" w:line="240" w:lineRule="auto"/>
      </w:pPr>
      <w:r>
        <w:rPr>
          <w:i/>
          <w:color w:val="24292E"/>
          <w:sz w:val="24"/>
          <w:szCs w:val="24"/>
        </w:rPr>
        <w:t>U</w:t>
      </w:r>
      <w:r>
        <w:rPr>
          <w:i/>
          <w:color w:val="24292E"/>
          <w:sz w:val="24"/>
          <w:szCs w:val="24"/>
        </w:rPr>
        <w:t>ne Spécification des Conditions requises pour l’Architecture constitue généralement un composant majeur du contrat d’implémentation, ou du contrat pour une Définition de l’Architecture plus d</w:t>
      </w:r>
      <w:r>
        <w:rPr>
          <w:i/>
          <w:color w:val="24292E"/>
          <w:sz w:val="24"/>
          <w:szCs w:val="24"/>
        </w:rPr>
        <w:t>étaillée.</w:t>
      </w:r>
    </w:p>
    <w:p w14:paraId="077C5D87" w14:textId="77777777" w:rsidR="00C10478" w:rsidRDefault="00934FCF">
      <w:pPr>
        <w:pStyle w:val="Standard"/>
        <w:shd w:val="clear" w:color="auto" w:fill="FFFFFF"/>
        <w:spacing w:after="240" w:line="240" w:lineRule="auto"/>
      </w:pPr>
      <w:r>
        <w:rPr>
          <w:i/>
          <w:color w:val="24292E"/>
          <w:sz w:val="24"/>
          <w:szCs w:val="24"/>
        </w:rPr>
        <w:t>Comme mentionné ci-dessus, la Spécification des Conditions requises pour l’Architecture accompagne le Document de Définition de l’Architecture, avec un objectif complémentaire : le Document de Définition de l’Architecture fournit une vision qual</w:t>
      </w:r>
      <w:r>
        <w:rPr>
          <w:i/>
          <w:color w:val="24292E"/>
          <w:sz w:val="24"/>
          <w:szCs w:val="24"/>
        </w:rPr>
        <w:t>itative de la solution et tâche de communiquer l’intention de l’architecte.</w:t>
      </w:r>
    </w:p>
    <w:p w14:paraId="491CC29C" w14:textId="77777777" w:rsidR="00C10478" w:rsidRDefault="00934FCF">
      <w:pPr>
        <w:pStyle w:val="Standard"/>
        <w:shd w:val="clear" w:color="auto" w:fill="FFFFFF"/>
        <w:spacing w:after="240" w:line="240" w:lineRule="auto"/>
      </w:pPr>
      <w:r>
        <w:rPr>
          <w:i/>
          <w:color w:val="24292E"/>
          <w:sz w:val="24"/>
          <w:szCs w:val="24"/>
        </w:rPr>
        <w:t>La Spécification des Conditions requises pour l’Architecture fournit une vision quantitative de la solution, énumérant des critères mesurables qui doivent être remplis durant l’im</w:t>
      </w:r>
      <w:r>
        <w:rPr>
          <w:i/>
          <w:color w:val="24292E"/>
          <w:sz w:val="24"/>
          <w:szCs w:val="24"/>
        </w:rPr>
        <w:t>plémentation de l’architecture.</w:t>
      </w:r>
    </w:p>
    <w:p w14:paraId="6F62A7D8" w14:textId="335DB446" w:rsidR="00C10478" w:rsidRDefault="00934FCF">
      <w:pPr>
        <w:pStyle w:val="Titre1"/>
        <w:keepNext w:val="0"/>
        <w:keepLines w:val="0"/>
        <w:pBdr>
          <w:bottom w:val="single" w:sz="6" w:space="6" w:color="EAECEF"/>
        </w:pBdr>
        <w:shd w:val="clear" w:color="auto" w:fill="FFFFFF"/>
        <w:spacing w:before="360" w:after="240"/>
        <w:ind w:left="-300"/>
        <w:rPr>
          <w:b/>
          <w:color w:val="24292E"/>
          <w:sz w:val="46"/>
          <w:szCs w:val="46"/>
        </w:rPr>
      </w:pPr>
      <w:r>
        <w:rPr>
          <w:b/>
          <w:color w:val="24292E"/>
          <w:sz w:val="46"/>
          <w:szCs w:val="46"/>
        </w:rPr>
        <w:t>Mesures du succès</w:t>
      </w:r>
    </w:p>
    <w:tbl>
      <w:tblPr>
        <w:tblStyle w:val="TableauGrille1Clair-Accentuation6"/>
        <w:tblW w:w="10475" w:type="dxa"/>
        <w:tblLook w:val="04A0" w:firstRow="1" w:lastRow="0" w:firstColumn="1" w:lastColumn="0" w:noHBand="0" w:noVBand="1"/>
      </w:tblPr>
      <w:tblGrid>
        <w:gridCol w:w="2332"/>
        <w:gridCol w:w="2329"/>
        <w:gridCol w:w="2334"/>
        <w:gridCol w:w="3480"/>
      </w:tblGrid>
      <w:tr w:rsidR="0040722F" w14:paraId="771018A0" w14:textId="77777777" w:rsidTr="0040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296D7251" w14:textId="10853200" w:rsidR="0040722F" w:rsidRDefault="0040722F" w:rsidP="0040722F">
            <w:pPr>
              <w:pStyle w:val="Standard"/>
              <w:jc w:val="center"/>
            </w:pPr>
            <w:r>
              <w:t>Métrique</w:t>
            </w:r>
          </w:p>
        </w:tc>
        <w:tc>
          <w:tcPr>
            <w:tcW w:w="232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66C76491" w14:textId="18D6F21F" w:rsidR="0040722F" w:rsidRDefault="0040722F" w:rsidP="0040722F">
            <w:pPr>
              <w:pStyle w:val="Standard"/>
              <w:jc w:val="center"/>
              <w:cnfStyle w:val="100000000000" w:firstRow="1" w:lastRow="0" w:firstColumn="0" w:lastColumn="0" w:oddVBand="0" w:evenVBand="0" w:oddHBand="0" w:evenHBand="0" w:firstRowFirstColumn="0" w:firstRowLastColumn="0" w:lastRowFirstColumn="0" w:lastRowLastColumn="0"/>
            </w:pPr>
            <w:r>
              <w:t>Valeur cible</w:t>
            </w:r>
          </w:p>
        </w:tc>
        <w:tc>
          <w:tcPr>
            <w:tcW w:w="2334"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0A69F209" w14:textId="16047968" w:rsidR="0040722F" w:rsidRDefault="0040722F" w:rsidP="0040722F">
            <w:pPr>
              <w:pStyle w:val="Standard"/>
              <w:jc w:val="center"/>
              <w:cnfStyle w:val="100000000000" w:firstRow="1" w:lastRow="0" w:firstColumn="0" w:lastColumn="0" w:oddVBand="0" w:evenVBand="0" w:oddHBand="0" w:evenHBand="0" w:firstRowFirstColumn="0" w:firstRowLastColumn="0" w:lastRowFirstColumn="0" w:lastRowLastColumn="0"/>
            </w:pPr>
            <w:r>
              <w:t>Justification</w:t>
            </w:r>
          </w:p>
        </w:tc>
        <w:tc>
          <w:tcPr>
            <w:tcW w:w="348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1D76F134" w14:textId="343EBDC8" w:rsidR="0040722F" w:rsidRDefault="0040722F" w:rsidP="0040722F">
            <w:pPr>
              <w:pStyle w:val="Standard"/>
              <w:jc w:val="center"/>
              <w:cnfStyle w:val="100000000000" w:firstRow="1" w:lastRow="0" w:firstColumn="0" w:lastColumn="0" w:oddVBand="0" w:evenVBand="0" w:oddHBand="0" w:evenHBand="0" w:firstRowFirstColumn="0" w:firstRowLastColumn="0" w:lastRowFirstColumn="0" w:lastRowLastColumn="0"/>
            </w:pPr>
            <w:r>
              <w:t>Notes</w:t>
            </w:r>
          </w:p>
        </w:tc>
      </w:tr>
      <w:tr w:rsidR="0040722F" w14:paraId="097415AD"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70AD47" w:themeColor="accent6"/>
              <w:left w:val="single" w:sz="12" w:space="0" w:color="70AD47" w:themeColor="accent6"/>
              <w:right w:val="single" w:sz="12" w:space="0" w:color="70AD47" w:themeColor="accent6"/>
            </w:tcBorders>
          </w:tcPr>
          <w:p w14:paraId="3F8DAFEE" w14:textId="4E927A4E" w:rsidR="0040722F" w:rsidRPr="0040722F" w:rsidRDefault="0040722F" w:rsidP="0040722F">
            <w:pPr>
              <w:pStyle w:val="Standard"/>
              <w:rPr>
                <w:b w:val="0"/>
                <w:bCs w:val="0"/>
              </w:rPr>
            </w:pPr>
            <w:proofErr w:type="spellStart"/>
            <w:r w:rsidRPr="0040722F">
              <w:rPr>
                <w:b w:val="0"/>
                <w:bCs w:val="0"/>
              </w:rPr>
              <w:t>Backlog</w:t>
            </w:r>
            <w:proofErr w:type="spellEnd"/>
          </w:p>
        </w:tc>
        <w:tc>
          <w:tcPr>
            <w:tcW w:w="2329" w:type="dxa"/>
            <w:tcBorders>
              <w:top w:val="single" w:sz="12" w:space="0" w:color="70AD47" w:themeColor="accent6"/>
              <w:left w:val="single" w:sz="12" w:space="0" w:color="70AD47" w:themeColor="accent6"/>
              <w:right w:val="single" w:sz="12" w:space="0" w:color="70AD47" w:themeColor="accent6"/>
            </w:tcBorders>
          </w:tcPr>
          <w:p w14:paraId="39A31667" w14:textId="646AE2EB"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r>
              <w:t>0</w:t>
            </w:r>
          </w:p>
        </w:tc>
        <w:tc>
          <w:tcPr>
            <w:tcW w:w="2334" w:type="dxa"/>
            <w:tcBorders>
              <w:top w:val="single" w:sz="12" w:space="0" w:color="70AD47" w:themeColor="accent6"/>
              <w:left w:val="single" w:sz="12" w:space="0" w:color="70AD47" w:themeColor="accent6"/>
              <w:right w:val="single" w:sz="12" w:space="0" w:color="70AD47" w:themeColor="accent6"/>
            </w:tcBorders>
          </w:tcPr>
          <w:p w14:paraId="409F3832"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c>
          <w:tcPr>
            <w:tcW w:w="3480" w:type="dxa"/>
            <w:tcBorders>
              <w:top w:val="single" w:sz="12" w:space="0" w:color="70AD47" w:themeColor="accent6"/>
              <w:left w:val="single" w:sz="12" w:space="0" w:color="70AD47" w:themeColor="accent6"/>
              <w:right w:val="single" w:sz="12" w:space="0" w:color="70AD47" w:themeColor="accent6"/>
            </w:tcBorders>
          </w:tcPr>
          <w:p w14:paraId="373BBAA5" w14:textId="499612BF"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r>
              <w:t xml:space="preserve">Le </w:t>
            </w:r>
            <w:proofErr w:type="spellStart"/>
            <w:r>
              <w:t>backlog</w:t>
            </w:r>
            <w:proofErr w:type="spellEnd"/>
            <w:r>
              <w:t xml:space="preserve"> projet est vide. Le projet n’a plus de fonctionnalités non livrés</w:t>
            </w:r>
          </w:p>
        </w:tc>
      </w:tr>
      <w:tr w:rsidR="0040722F" w14:paraId="11B27E27"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45703722" w14:textId="0FACF5CC" w:rsidR="0040722F" w:rsidRPr="0040722F" w:rsidRDefault="0040722F" w:rsidP="0040722F">
            <w:pPr>
              <w:pStyle w:val="Standard"/>
              <w:rPr>
                <w:b w:val="0"/>
                <w:bCs w:val="0"/>
              </w:rPr>
            </w:pPr>
            <w:r w:rsidRPr="0040722F">
              <w:rPr>
                <w:b w:val="0"/>
                <w:bCs w:val="0"/>
              </w:rPr>
              <w:t>Utilisateur sur la nouvelle plateforme</w:t>
            </w:r>
          </w:p>
        </w:tc>
        <w:tc>
          <w:tcPr>
            <w:tcW w:w="2329" w:type="dxa"/>
            <w:tcBorders>
              <w:left w:val="single" w:sz="12" w:space="0" w:color="70AD47" w:themeColor="accent6"/>
              <w:right w:val="single" w:sz="12" w:space="0" w:color="70AD47" w:themeColor="accent6"/>
            </w:tcBorders>
          </w:tcPr>
          <w:p w14:paraId="7CFFF069" w14:textId="3869F58A"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r>
              <w:t>&gt;95 %</w:t>
            </w:r>
          </w:p>
        </w:tc>
        <w:tc>
          <w:tcPr>
            <w:tcW w:w="2334" w:type="dxa"/>
            <w:tcBorders>
              <w:left w:val="single" w:sz="12" w:space="0" w:color="70AD47" w:themeColor="accent6"/>
              <w:right w:val="single" w:sz="12" w:space="0" w:color="70AD47" w:themeColor="accent6"/>
            </w:tcBorders>
          </w:tcPr>
          <w:p w14:paraId="01B6DCEA"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c>
          <w:tcPr>
            <w:tcW w:w="3480" w:type="dxa"/>
            <w:tcBorders>
              <w:left w:val="single" w:sz="12" w:space="0" w:color="70AD47" w:themeColor="accent6"/>
              <w:right w:val="single" w:sz="12" w:space="0" w:color="70AD47" w:themeColor="accent6"/>
            </w:tcBorders>
          </w:tcPr>
          <w:p w14:paraId="5F45BEB8" w14:textId="7B27D5B9"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r>
              <w:t>Les utilisateurs</w:t>
            </w:r>
            <w:r>
              <w:t xml:space="preserve"> sont en grande majorité sur la nouvelle plateforme. Quelques utilisateurs historique/inactif ne sont pas encore migrés</w:t>
            </w:r>
          </w:p>
        </w:tc>
      </w:tr>
      <w:tr w:rsidR="0040722F" w14:paraId="65BAE7FB"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079E5877" w14:textId="32D43556" w:rsidR="0040722F" w:rsidRPr="0040722F" w:rsidRDefault="0040722F" w:rsidP="0040722F">
            <w:pPr>
              <w:pStyle w:val="Standard"/>
              <w:rPr>
                <w:b w:val="0"/>
                <w:bCs w:val="0"/>
              </w:rPr>
            </w:pPr>
            <w:r w:rsidRPr="0040722F">
              <w:rPr>
                <w:b w:val="0"/>
                <w:bCs w:val="0"/>
              </w:rPr>
              <w:t>Taux d’incident de prod P1</w:t>
            </w:r>
          </w:p>
        </w:tc>
        <w:tc>
          <w:tcPr>
            <w:tcW w:w="2329" w:type="dxa"/>
            <w:tcBorders>
              <w:left w:val="single" w:sz="12" w:space="0" w:color="70AD47" w:themeColor="accent6"/>
              <w:right w:val="single" w:sz="12" w:space="0" w:color="70AD47" w:themeColor="accent6"/>
            </w:tcBorders>
          </w:tcPr>
          <w:p w14:paraId="60B48CD8" w14:textId="4B7DE425"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Inférieur à 1 par mois</w:t>
            </w:r>
          </w:p>
        </w:tc>
        <w:tc>
          <w:tcPr>
            <w:tcW w:w="2334" w:type="dxa"/>
            <w:tcBorders>
              <w:left w:val="single" w:sz="12" w:space="0" w:color="70AD47" w:themeColor="accent6"/>
              <w:right w:val="single" w:sz="12" w:space="0" w:color="70AD47" w:themeColor="accent6"/>
            </w:tcBorders>
          </w:tcPr>
          <w:p w14:paraId="098C1C7B" w14:textId="422E5D1E"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Actuellement supérieur à 25 par mois</w:t>
            </w:r>
          </w:p>
        </w:tc>
        <w:tc>
          <w:tcPr>
            <w:tcW w:w="3480" w:type="dxa"/>
            <w:tcBorders>
              <w:left w:val="single" w:sz="12" w:space="0" w:color="70AD47" w:themeColor="accent6"/>
              <w:right w:val="single" w:sz="12" w:space="0" w:color="70AD47" w:themeColor="accent6"/>
            </w:tcBorders>
          </w:tcPr>
          <w:p w14:paraId="5F2D3E46" w14:textId="625D12FC" w:rsidR="0040722F" w:rsidRDefault="007816BE" w:rsidP="0040722F">
            <w:pPr>
              <w:pStyle w:val="Standard"/>
              <w:cnfStyle w:val="000000000000" w:firstRow="0" w:lastRow="0" w:firstColumn="0" w:lastColumn="0" w:oddVBand="0" w:evenVBand="0" w:oddHBand="0" w:evenHBand="0" w:firstRowFirstColumn="0" w:firstRowLastColumn="0" w:lastRowFirstColumn="0" w:lastRowLastColumn="0"/>
            </w:pPr>
            <w:r>
              <w:t xml:space="preserve">La mise en place d’un outil de </w:t>
            </w:r>
            <w:proofErr w:type="spellStart"/>
            <w:r>
              <w:t>ticketing</w:t>
            </w:r>
            <w:proofErr w:type="spellEnd"/>
            <w:r>
              <w:t xml:space="preserve"> qui soit</w:t>
            </w:r>
            <w:proofErr w:type="gramStart"/>
            <w:r>
              <w:t xml:space="preserve"> «ITIL</w:t>
            </w:r>
            <w:proofErr w:type="gramEnd"/>
            <w:r>
              <w:t xml:space="preserve"> compliant » est </w:t>
            </w:r>
            <w:r w:rsidR="00E328C3">
              <w:t>à</w:t>
            </w:r>
            <w:r>
              <w:t xml:space="preserve"> prévoir</w:t>
            </w:r>
          </w:p>
        </w:tc>
      </w:tr>
      <w:tr w:rsidR="0040722F" w14:paraId="20DED982"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4E627F3E" w14:textId="3E082BE3" w:rsidR="0040722F" w:rsidRPr="0040722F" w:rsidRDefault="0040722F" w:rsidP="0040722F">
            <w:pPr>
              <w:pStyle w:val="Standard"/>
              <w:rPr>
                <w:b w:val="0"/>
                <w:bCs w:val="0"/>
              </w:rPr>
            </w:pPr>
            <w:r w:rsidRPr="0040722F">
              <w:rPr>
                <w:b w:val="0"/>
                <w:bCs w:val="0"/>
              </w:rPr>
              <w:t>Adhésion de producteurs alimentaires</w:t>
            </w:r>
          </w:p>
        </w:tc>
        <w:tc>
          <w:tcPr>
            <w:tcW w:w="2329" w:type="dxa"/>
            <w:tcBorders>
              <w:left w:val="single" w:sz="12" w:space="0" w:color="70AD47" w:themeColor="accent6"/>
              <w:right w:val="single" w:sz="12" w:space="0" w:color="70AD47" w:themeColor="accent6"/>
            </w:tcBorders>
          </w:tcPr>
          <w:p w14:paraId="33B85F6A" w14:textId="1977A2B5"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4 par mois</w:t>
            </w:r>
          </w:p>
        </w:tc>
        <w:tc>
          <w:tcPr>
            <w:tcW w:w="2334" w:type="dxa"/>
            <w:tcBorders>
              <w:left w:val="single" w:sz="12" w:space="0" w:color="70AD47" w:themeColor="accent6"/>
              <w:right w:val="single" w:sz="12" w:space="0" w:color="70AD47" w:themeColor="accent6"/>
            </w:tcBorders>
          </w:tcPr>
          <w:p w14:paraId="433142F2" w14:textId="75AD47B1"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 xml:space="preserve">Actuel : 1,4 par mois </w:t>
            </w:r>
          </w:p>
        </w:tc>
        <w:tc>
          <w:tcPr>
            <w:tcW w:w="3480" w:type="dxa"/>
            <w:tcBorders>
              <w:left w:val="single" w:sz="12" w:space="0" w:color="70AD47" w:themeColor="accent6"/>
              <w:right w:val="single" w:sz="12" w:space="0" w:color="70AD47" w:themeColor="accent6"/>
            </w:tcBorders>
          </w:tcPr>
          <w:p w14:paraId="53E204CC"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r>
      <w:tr w:rsidR="0040722F" w14:paraId="0FFD02D6"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204B0A13" w14:textId="1592350C" w:rsidR="0040722F" w:rsidRPr="0040722F" w:rsidRDefault="0040722F" w:rsidP="0040722F">
            <w:pPr>
              <w:pStyle w:val="Standard"/>
              <w:rPr>
                <w:b w:val="0"/>
                <w:bCs w:val="0"/>
              </w:rPr>
            </w:pPr>
            <w:r w:rsidRPr="0040722F">
              <w:rPr>
                <w:b w:val="0"/>
                <w:bCs w:val="0"/>
              </w:rPr>
              <w:t>Délai moyen</w:t>
            </w:r>
            <w:r w:rsidRPr="0040722F">
              <w:rPr>
                <w:b w:val="0"/>
                <w:bCs w:val="0"/>
              </w:rPr>
              <w:t xml:space="preserve"> de parution</w:t>
            </w:r>
          </w:p>
        </w:tc>
        <w:tc>
          <w:tcPr>
            <w:tcW w:w="2329" w:type="dxa"/>
            <w:tcBorders>
              <w:left w:val="single" w:sz="12" w:space="0" w:color="70AD47" w:themeColor="accent6"/>
              <w:right w:val="single" w:sz="12" w:space="0" w:color="70AD47" w:themeColor="accent6"/>
            </w:tcBorders>
          </w:tcPr>
          <w:p w14:paraId="79CE3711" w14:textId="26463F67"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Inférieur à 1 semaine</w:t>
            </w:r>
          </w:p>
        </w:tc>
        <w:tc>
          <w:tcPr>
            <w:tcW w:w="2334" w:type="dxa"/>
            <w:tcBorders>
              <w:left w:val="single" w:sz="12" w:space="0" w:color="70AD47" w:themeColor="accent6"/>
              <w:right w:val="single" w:sz="12" w:space="0" w:color="70AD47" w:themeColor="accent6"/>
            </w:tcBorders>
          </w:tcPr>
          <w:p w14:paraId="772381E8" w14:textId="21149826"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Actuel : 3,5 semaines</w:t>
            </w:r>
          </w:p>
        </w:tc>
        <w:tc>
          <w:tcPr>
            <w:tcW w:w="3480" w:type="dxa"/>
            <w:tcBorders>
              <w:left w:val="single" w:sz="12" w:space="0" w:color="70AD47" w:themeColor="accent6"/>
              <w:right w:val="single" w:sz="12" w:space="0" w:color="70AD47" w:themeColor="accent6"/>
            </w:tcBorders>
          </w:tcPr>
          <w:p w14:paraId="283B8F81"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r>
      <w:tr w:rsidR="0040722F" w14:paraId="1581F4F5"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78627D57" w14:textId="1C060761" w:rsidR="0040722F" w:rsidRPr="0040722F" w:rsidRDefault="0040722F" w:rsidP="0040722F">
            <w:pPr>
              <w:pStyle w:val="Standard"/>
              <w:rPr>
                <w:b w:val="0"/>
                <w:bCs w:val="0"/>
              </w:rPr>
            </w:pPr>
            <w:r w:rsidRPr="0040722F">
              <w:rPr>
                <w:b w:val="0"/>
                <w:bCs w:val="0"/>
              </w:rPr>
              <w:t>Nombre d’adhésion</w:t>
            </w:r>
            <w:r>
              <w:rPr>
                <w:b w:val="0"/>
                <w:bCs w:val="0"/>
              </w:rPr>
              <w:t xml:space="preserve"> par jour</w:t>
            </w:r>
          </w:p>
        </w:tc>
        <w:tc>
          <w:tcPr>
            <w:tcW w:w="2329" w:type="dxa"/>
            <w:tcBorders>
              <w:left w:val="single" w:sz="12" w:space="0" w:color="70AD47" w:themeColor="accent6"/>
              <w:right w:val="single" w:sz="12" w:space="0" w:color="70AD47" w:themeColor="accent6"/>
            </w:tcBorders>
          </w:tcPr>
          <w:p w14:paraId="756F7C3F" w14:textId="0E8531D0"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+10%</w:t>
            </w:r>
          </w:p>
        </w:tc>
        <w:tc>
          <w:tcPr>
            <w:tcW w:w="2334" w:type="dxa"/>
            <w:tcBorders>
              <w:left w:val="single" w:sz="12" w:space="0" w:color="70AD47" w:themeColor="accent6"/>
              <w:right w:val="single" w:sz="12" w:space="0" w:color="70AD47" w:themeColor="accent6"/>
            </w:tcBorders>
          </w:tcPr>
          <w:p w14:paraId="50FE70A6"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c>
          <w:tcPr>
            <w:tcW w:w="3480" w:type="dxa"/>
            <w:tcBorders>
              <w:left w:val="single" w:sz="12" w:space="0" w:color="70AD47" w:themeColor="accent6"/>
              <w:right w:val="single" w:sz="12" w:space="0" w:color="70AD47" w:themeColor="accent6"/>
            </w:tcBorders>
          </w:tcPr>
          <w:p w14:paraId="4C348292" w14:textId="48DB4872"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Est considéré comme</w:t>
            </w:r>
            <w:r>
              <w:t xml:space="preserve"> </w:t>
            </w:r>
            <w:r>
              <w:t>étant une adhésion valide une inscription avec validation du compte par mail</w:t>
            </w:r>
          </w:p>
        </w:tc>
      </w:tr>
      <w:tr w:rsidR="0040722F" w14:paraId="10D52837" w14:textId="77777777" w:rsidTr="0040722F">
        <w:tc>
          <w:tcPr>
            <w:cnfStyle w:val="001000000000" w:firstRow="0" w:lastRow="0" w:firstColumn="1" w:lastColumn="0" w:oddVBand="0" w:evenVBand="0" w:oddHBand="0" w:evenHBand="0" w:firstRowFirstColumn="0" w:firstRowLastColumn="0" w:lastRowFirstColumn="0" w:lastRowLastColumn="0"/>
            <w:tcW w:w="2332" w:type="dxa"/>
            <w:tcBorders>
              <w:left w:val="single" w:sz="12" w:space="0" w:color="70AD47" w:themeColor="accent6"/>
              <w:right w:val="single" w:sz="12" w:space="0" w:color="70AD47" w:themeColor="accent6"/>
            </w:tcBorders>
          </w:tcPr>
          <w:p w14:paraId="359F0D48" w14:textId="3A7D771C" w:rsidR="0040722F" w:rsidRPr="0040722F" w:rsidRDefault="0040722F" w:rsidP="0040722F">
            <w:pPr>
              <w:pStyle w:val="Standard"/>
              <w:rPr>
                <w:b w:val="0"/>
                <w:bCs w:val="0"/>
              </w:rPr>
            </w:pPr>
            <w:r w:rsidRPr="0040722F">
              <w:rPr>
                <w:b w:val="0"/>
                <w:bCs w:val="0"/>
              </w:rPr>
              <w:t>Temps moyen de résolution</w:t>
            </w:r>
          </w:p>
        </w:tc>
        <w:tc>
          <w:tcPr>
            <w:tcW w:w="2329" w:type="dxa"/>
            <w:tcBorders>
              <w:left w:val="single" w:sz="12" w:space="0" w:color="70AD47" w:themeColor="accent6"/>
              <w:right w:val="single" w:sz="12" w:space="0" w:color="70AD47" w:themeColor="accent6"/>
            </w:tcBorders>
          </w:tcPr>
          <w:p w14:paraId="31CD586D" w14:textId="393C923B"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Inférieur à 30 minutes</w:t>
            </w:r>
          </w:p>
        </w:tc>
        <w:tc>
          <w:tcPr>
            <w:tcW w:w="2334" w:type="dxa"/>
            <w:tcBorders>
              <w:left w:val="single" w:sz="12" w:space="0" w:color="70AD47" w:themeColor="accent6"/>
              <w:right w:val="single" w:sz="12" w:space="0" w:color="70AD47" w:themeColor="accent6"/>
            </w:tcBorders>
          </w:tcPr>
          <w:p w14:paraId="2DC61C33" w14:textId="77777777" w:rsidR="0040722F" w:rsidRDefault="0040722F" w:rsidP="0040722F">
            <w:pPr>
              <w:pStyle w:val="Standard"/>
              <w:cnfStyle w:val="000000000000" w:firstRow="0" w:lastRow="0" w:firstColumn="0" w:lastColumn="0" w:oddVBand="0" w:evenVBand="0" w:oddHBand="0" w:evenHBand="0" w:firstRowFirstColumn="0" w:firstRowLastColumn="0" w:lastRowFirstColumn="0" w:lastRowLastColumn="0"/>
            </w:pPr>
          </w:p>
        </w:tc>
        <w:tc>
          <w:tcPr>
            <w:tcW w:w="3480" w:type="dxa"/>
            <w:tcBorders>
              <w:left w:val="single" w:sz="12" w:space="0" w:color="70AD47" w:themeColor="accent6"/>
              <w:right w:val="single" w:sz="12" w:space="0" w:color="70AD47" w:themeColor="accent6"/>
            </w:tcBorders>
          </w:tcPr>
          <w:p w14:paraId="243498C3" w14:textId="03360F7D" w:rsidR="0040722F" w:rsidRDefault="00242A68" w:rsidP="0040722F">
            <w:pPr>
              <w:pStyle w:val="Standard"/>
              <w:cnfStyle w:val="000000000000" w:firstRow="0" w:lastRow="0" w:firstColumn="0" w:lastColumn="0" w:oddVBand="0" w:evenVBand="0" w:oddHBand="0" w:evenHBand="0" w:firstRowFirstColumn="0" w:firstRowLastColumn="0" w:lastRowFirstColumn="0" w:lastRowLastColumn="0"/>
            </w:pPr>
            <w:r>
              <w:t>La prise en charge et le temps de résolution d’un incident doit devenir le plus bas possible.</w:t>
            </w:r>
          </w:p>
        </w:tc>
      </w:tr>
    </w:tbl>
    <w:p w14:paraId="2CD9BC78" w14:textId="77777777" w:rsidR="0040722F" w:rsidRPr="0040722F" w:rsidRDefault="0040722F" w:rsidP="0040722F">
      <w:pPr>
        <w:pStyle w:val="Standard"/>
      </w:pPr>
    </w:p>
    <w:p w14:paraId="36CE0D1E" w14:textId="47137682" w:rsidR="00C10478" w:rsidRDefault="00934FCF">
      <w:pPr>
        <w:pStyle w:val="Titre1"/>
        <w:keepNext w:val="0"/>
        <w:keepLines w:val="0"/>
        <w:pBdr>
          <w:bottom w:val="single" w:sz="6" w:space="6" w:color="EAECEF"/>
        </w:pBdr>
        <w:shd w:val="clear" w:color="auto" w:fill="FFFFFF"/>
        <w:spacing w:before="360" w:after="240"/>
        <w:ind w:left="-300"/>
        <w:rPr>
          <w:b/>
          <w:color w:val="24292E"/>
          <w:sz w:val="46"/>
          <w:szCs w:val="46"/>
        </w:rPr>
      </w:pPr>
      <w:r>
        <w:rPr>
          <w:b/>
          <w:color w:val="24292E"/>
          <w:sz w:val="46"/>
          <w:szCs w:val="46"/>
        </w:rPr>
        <w:t>Conditions requises pour l’architecture</w:t>
      </w:r>
    </w:p>
    <w:p w14:paraId="50B641AD" w14:textId="14A45045" w:rsidR="00AD3CAC" w:rsidRDefault="00AD3CAC" w:rsidP="00AD3CAC">
      <w:pPr>
        <w:pStyle w:val="Standard"/>
      </w:pPr>
      <w:r>
        <w:t xml:space="preserve">Le nouveau projet </w:t>
      </w:r>
      <w:r>
        <w:t>a</w:t>
      </w:r>
      <w:r>
        <w:t xml:space="preserve"> pour objectif la création et le déploiement d’une nouvelle plateforme de commerce électronique, dont le but est de permettre à l’entreprise de renouer avec la croissance, en améliorant son image de marque, et de pouvoir accueillir </w:t>
      </w:r>
      <w:r>
        <w:t>des nouveaux clients</w:t>
      </w:r>
      <w:r>
        <w:t xml:space="preserve">, mais aussi des nouvelles régions et services. Pour arriver </w:t>
      </w:r>
      <w:r>
        <w:t>à</w:t>
      </w:r>
      <w:r>
        <w:t xml:space="preserve"> répondre </w:t>
      </w:r>
      <w:r>
        <w:t>à</w:t>
      </w:r>
      <w:r>
        <w:t xml:space="preserve"> ces objectif, la plateforme possèdes une série d’exigences techniques ainsi qu’un contrat de développement et de conception</w:t>
      </w:r>
      <w:r>
        <w:t>.</w:t>
      </w:r>
    </w:p>
    <w:p w14:paraId="7EA82F5E" w14:textId="152E3438" w:rsidR="00AD3CAC" w:rsidRDefault="00AD3CAC" w:rsidP="00AD3CAC">
      <w:pPr>
        <w:pStyle w:val="Standard"/>
      </w:pPr>
    </w:p>
    <w:p w14:paraId="0DE0C0B5" w14:textId="77777777" w:rsidR="00AD3CAC" w:rsidRDefault="00AD3CAC" w:rsidP="00AD3CAC">
      <w:pPr>
        <w:pStyle w:val="Standard"/>
      </w:pPr>
      <w:r>
        <w:t xml:space="preserve">Les principaux objectifs de l'entreprise en matière d'architecture sont les suivants. </w:t>
      </w:r>
    </w:p>
    <w:p w14:paraId="74107BDF" w14:textId="77777777" w:rsidR="00AD3CAC" w:rsidRDefault="00AD3CAC" w:rsidP="00AD3CAC">
      <w:pPr>
        <w:pStyle w:val="Standard"/>
      </w:pPr>
    </w:p>
    <w:p w14:paraId="6E37C860" w14:textId="77777777" w:rsidR="00AD3CAC" w:rsidRDefault="00AD3CAC" w:rsidP="00AD3CAC">
      <w:pPr>
        <w:pStyle w:val="Standard"/>
      </w:pPr>
      <w:r>
        <w:t xml:space="preserve">• Tirer parti de la géolocalisation pour relier des fournisseurs et des consommateurs et pour proposer des produits disponibles à proximité des lieux de résidence de ces derniers. </w:t>
      </w:r>
    </w:p>
    <w:p w14:paraId="74C43476" w14:textId="77777777" w:rsidR="00AD3CAC" w:rsidRDefault="00AD3CAC" w:rsidP="00AD3CAC">
      <w:pPr>
        <w:pStyle w:val="Standard"/>
      </w:pPr>
    </w:p>
    <w:p w14:paraId="562FFBD7" w14:textId="77777777" w:rsidR="00AD3CAC" w:rsidRDefault="00AD3CAC" w:rsidP="00AD3CAC">
      <w:pPr>
        <w:pStyle w:val="Standard"/>
      </w:pPr>
      <w:r>
        <w:t xml:space="preserve">• L'architecture devra être évolutive pour permettre à nos services de se déployer sur diverses régions à travers des villes et des pays donnés. </w:t>
      </w:r>
    </w:p>
    <w:p w14:paraId="079B7AE4" w14:textId="77777777" w:rsidR="00AD3CAC" w:rsidRDefault="00AD3CAC" w:rsidP="00AD3CAC">
      <w:pPr>
        <w:pStyle w:val="Standard"/>
      </w:pPr>
    </w:p>
    <w:p w14:paraId="2896009E" w14:textId="536C2E16" w:rsidR="00AD3CAC" w:rsidRDefault="00AD3CAC" w:rsidP="00AD3CAC">
      <w:pPr>
        <w:pStyle w:val="Standard"/>
      </w:pPr>
      <w:r>
        <w:t>• Notre solution doit être disponible pour nos fournisseurs et nos consommateurs, où qu'ils se trouvent. Cette solution doit être utilisable avec des appareils mobiles et fixes.</w:t>
      </w:r>
      <w:r>
        <w:t xml:space="preserve"> </w:t>
      </w:r>
      <w:r>
        <w:t>Elle doit tenir compte des contraintes de bande passante pour les réseaux cellulaires et les connexions Internet haut débit.</w:t>
      </w:r>
    </w:p>
    <w:p w14:paraId="7830D1F0" w14:textId="03F2DD20" w:rsidR="00AD3CAC" w:rsidRDefault="00AD3CAC" w:rsidP="00AD3CAC">
      <w:pPr>
        <w:pStyle w:val="Standard"/>
      </w:pPr>
    </w:p>
    <w:p w14:paraId="1719CEB2" w14:textId="38310EC6" w:rsidR="00AD3CAC" w:rsidRPr="00AD3CAC" w:rsidRDefault="00AD3CAC" w:rsidP="00AD3CAC">
      <w:pPr>
        <w:pStyle w:val="Standard"/>
      </w:pPr>
      <w:r>
        <w:t>• Elle doit pouvoir prendre en charge différents types d'utilisateurs (par exemple, fournisseurs, back-office, consommateurs) avec des fonctionnalités et des services spécifiques pour ces catégories.</w:t>
      </w:r>
    </w:p>
    <w:p w14:paraId="19DA1749" w14:textId="77777777" w:rsidR="00C10478" w:rsidRDefault="00934FCF">
      <w:pPr>
        <w:pStyle w:val="Titre1"/>
        <w:keepNext w:val="0"/>
        <w:keepLines w:val="0"/>
        <w:pBdr>
          <w:bottom w:val="single" w:sz="6" w:space="6" w:color="EAECEF"/>
        </w:pBdr>
        <w:shd w:val="clear" w:color="auto" w:fill="FFFFFF"/>
        <w:spacing w:before="360" w:after="240"/>
        <w:ind w:left="-300"/>
      </w:pPr>
      <w:r>
        <w:rPr>
          <w:b/>
          <w:color w:val="24292E"/>
          <w:sz w:val="46"/>
          <w:szCs w:val="46"/>
        </w:rPr>
        <w:t>Contrats de service business</w:t>
      </w:r>
    </w:p>
    <w:p w14:paraId="5EBC07C3" w14:textId="2BAE65A5" w:rsidR="00C10478" w:rsidRDefault="00934FCF">
      <w:pPr>
        <w:pStyle w:val="Titre2"/>
        <w:keepNext w:val="0"/>
        <w:keepLines w:val="0"/>
        <w:pBdr>
          <w:bottom w:val="single" w:sz="6" w:space="5" w:color="EAECEF"/>
        </w:pBdr>
        <w:shd w:val="clear" w:color="auto" w:fill="FFFFFF"/>
        <w:spacing w:after="240"/>
        <w:ind w:left="-300"/>
        <w:rPr>
          <w:b/>
          <w:color w:val="24292E"/>
          <w:sz w:val="34"/>
          <w:szCs w:val="34"/>
        </w:rPr>
      </w:pPr>
      <w:r>
        <w:rPr>
          <w:b/>
          <w:color w:val="24292E"/>
          <w:sz w:val="34"/>
          <w:szCs w:val="34"/>
        </w:rPr>
        <w:t>Accords de niveau de service</w:t>
      </w:r>
    </w:p>
    <w:p w14:paraId="5F84CE80" w14:textId="5B1A2AAF" w:rsidR="00AD3CAC" w:rsidRDefault="00AD3CAC" w:rsidP="00AD3CAC">
      <w:pPr>
        <w:pStyle w:val="Standard"/>
      </w:pPr>
      <w:r>
        <w:t xml:space="preserve">Les services suivants sont couverts par cet accord : </w:t>
      </w:r>
    </w:p>
    <w:p w14:paraId="15E46227" w14:textId="77777777" w:rsidR="000A6348" w:rsidRDefault="000A6348" w:rsidP="00AD3CAC">
      <w:pPr>
        <w:pStyle w:val="Standard"/>
      </w:pPr>
    </w:p>
    <w:p w14:paraId="75E38EC8" w14:textId="11CB01F2" w:rsidR="00AD3CAC" w:rsidRDefault="00AD3CAC" w:rsidP="00AD3CAC">
      <w:pPr>
        <w:pStyle w:val="Standard"/>
      </w:pPr>
      <w:r>
        <w:t xml:space="preserve">• Couverture de service 24/7. </w:t>
      </w:r>
    </w:p>
    <w:p w14:paraId="34166B2B" w14:textId="77777777" w:rsidR="000A6348" w:rsidRDefault="000A6348" w:rsidP="00AD3CAC">
      <w:pPr>
        <w:pStyle w:val="Standard"/>
      </w:pPr>
    </w:p>
    <w:p w14:paraId="33146103" w14:textId="77777777" w:rsidR="000A6348" w:rsidRDefault="00AD3CAC" w:rsidP="00AD3CAC">
      <w:pPr>
        <w:pStyle w:val="Standard"/>
      </w:pPr>
      <w:r>
        <w:t xml:space="preserve">• La mise en place </w:t>
      </w:r>
      <w:r>
        <w:t>d’un outil</w:t>
      </w:r>
      <w:r>
        <w:t xml:space="preserve"> de gestion des incidents respectant les bonnes pratiques ITIL doit être faite, avec une priorisation des incidents en fonction de la gravité de l’impact, du nombre d’utilisateurs impactés et de la récurrence des incidents. </w:t>
      </w:r>
    </w:p>
    <w:p w14:paraId="6DCAA28E" w14:textId="77777777" w:rsidR="000A6348" w:rsidRDefault="000A6348" w:rsidP="00AD3CAC">
      <w:pPr>
        <w:pStyle w:val="Standard"/>
      </w:pPr>
    </w:p>
    <w:p w14:paraId="20033084" w14:textId="77777777" w:rsidR="000A6348" w:rsidRDefault="00AD3CAC" w:rsidP="00AD3CAC">
      <w:pPr>
        <w:pStyle w:val="Standard"/>
      </w:pPr>
      <w:r>
        <w:t xml:space="preserve">• Tout changement à la suite du projet doit être fait en respectant le workflow préconisé par ITIL : </w:t>
      </w:r>
    </w:p>
    <w:p w14:paraId="172D94D7" w14:textId="77777777" w:rsidR="000A6348" w:rsidRDefault="00AD3CAC" w:rsidP="000A6348">
      <w:pPr>
        <w:pStyle w:val="Standard"/>
        <w:ind w:firstLine="720"/>
      </w:pPr>
      <w:r>
        <w:t>◦ Soumission de la demande</w:t>
      </w:r>
    </w:p>
    <w:p w14:paraId="6BAB6A0E" w14:textId="2A109166" w:rsidR="000A6348" w:rsidRDefault="00AD3CAC" w:rsidP="000A6348">
      <w:pPr>
        <w:pStyle w:val="Standard"/>
        <w:ind w:firstLine="720"/>
      </w:pPr>
      <w:r>
        <w:lastRenderedPageBreak/>
        <w:t xml:space="preserve">◦ Planification </w:t>
      </w:r>
    </w:p>
    <w:p w14:paraId="116E6248" w14:textId="77777777" w:rsidR="000A6348" w:rsidRDefault="00AD3CAC" w:rsidP="000A6348">
      <w:pPr>
        <w:pStyle w:val="Standard"/>
        <w:ind w:firstLine="720"/>
      </w:pPr>
      <w:r>
        <w:t xml:space="preserve">◦ Approbations </w:t>
      </w:r>
    </w:p>
    <w:p w14:paraId="3CFB1F9C" w14:textId="77777777" w:rsidR="000A6348" w:rsidRDefault="00AD3CAC" w:rsidP="000A6348">
      <w:pPr>
        <w:pStyle w:val="Standard"/>
        <w:ind w:firstLine="720"/>
      </w:pPr>
      <w:r>
        <w:t xml:space="preserve">◦ Mise en production </w:t>
      </w:r>
    </w:p>
    <w:p w14:paraId="3CC380FE" w14:textId="77777777" w:rsidR="000A6348" w:rsidRDefault="00AD3CAC" w:rsidP="000A6348">
      <w:pPr>
        <w:pStyle w:val="Standard"/>
        <w:ind w:firstLine="720"/>
      </w:pPr>
      <w:r>
        <w:t xml:space="preserve">◦ Examen </w:t>
      </w:r>
    </w:p>
    <w:p w14:paraId="5C7E3FE9" w14:textId="08F8683C" w:rsidR="00AD3CAC" w:rsidRPr="00AD3CAC" w:rsidRDefault="00AD3CAC" w:rsidP="000A6348">
      <w:pPr>
        <w:pStyle w:val="Standard"/>
        <w:ind w:firstLine="720"/>
      </w:pPr>
      <w:r>
        <w:t>◦ Fermeture</w:t>
      </w:r>
    </w:p>
    <w:p w14:paraId="6E829F2D" w14:textId="4D238EDA" w:rsidR="00C10478" w:rsidRDefault="00934FCF">
      <w:pPr>
        <w:pStyle w:val="Titre1"/>
        <w:keepNext w:val="0"/>
        <w:keepLines w:val="0"/>
        <w:pBdr>
          <w:bottom w:val="single" w:sz="6" w:space="6" w:color="EAECEF"/>
        </w:pBdr>
        <w:shd w:val="clear" w:color="auto" w:fill="FFFFFF"/>
        <w:spacing w:before="360" w:after="240"/>
        <w:ind w:left="-300"/>
        <w:rPr>
          <w:b/>
          <w:color w:val="24292E"/>
          <w:sz w:val="46"/>
          <w:szCs w:val="46"/>
        </w:rPr>
      </w:pPr>
      <w:r>
        <w:rPr>
          <w:b/>
          <w:color w:val="24292E"/>
          <w:sz w:val="46"/>
          <w:szCs w:val="46"/>
        </w:rPr>
        <w:t>Contrats de service application</w:t>
      </w:r>
    </w:p>
    <w:p w14:paraId="24216B4C" w14:textId="333856C8" w:rsidR="00C10478" w:rsidRDefault="00934FCF">
      <w:pPr>
        <w:pStyle w:val="Titre2"/>
        <w:keepNext w:val="0"/>
        <w:keepLines w:val="0"/>
        <w:pBdr>
          <w:bottom w:val="single" w:sz="6" w:space="5" w:color="EAECEF"/>
        </w:pBdr>
        <w:shd w:val="clear" w:color="auto" w:fill="FFFFFF"/>
        <w:spacing w:after="240"/>
        <w:ind w:left="-300"/>
        <w:rPr>
          <w:b/>
          <w:color w:val="24292E"/>
          <w:sz w:val="34"/>
          <w:szCs w:val="34"/>
        </w:rPr>
      </w:pPr>
      <w:bookmarkStart w:id="2" w:name="_oax95i8s7tx8"/>
      <w:bookmarkEnd w:id="2"/>
      <w:r>
        <w:rPr>
          <w:b/>
          <w:color w:val="24292E"/>
          <w:sz w:val="34"/>
          <w:szCs w:val="34"/>
        </w:rPr>
        <w:t>Objectifs de niveau de service</w:t>
      </w:r>
    </w:p>
    <w:p w14:paraId="23D05059" w14:textId="77777777" w:rsidR="004A45A2" w:rsidRDefault="004A45A2" w:rsidP="004A45A2">
      <w:pPr>
        <w:pStyle w:val="Standard"/>
      </w:pPr>
      <w:r>
        <w:t>Une indisponibilité maximum mensuelle de l’application est mise en place, suivant les critères suivants :</w:t>
      </w:r>
    </w:p>
    <w:tbl>
      <w:tblPr>
        <w:tblStyle w:val="TableauGrille1Clair-Accentuation6"/>
        <w:tblW w:w="0" w:type="auto"/>
        <w:tblLook w:val="04A0" w:firstRow="1" w:lastRow="0" w:firstColumn="1" w:lastColumn="0" w:noHBand="0" w:noVBand="1"/>
      </w:tblPr>
      <w:tblGrid>
        <w:gridCol w:w="4675"/>
        <w:gridCol w:w="4675"/>
      </w:tblGrid>
      <w:tr w:rsidR="004A45A2" w14:paraId="4AC07E0B" w14:textId="77777777" w:rsidTr="002C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73E60" w14:textId="77777777" w:rsidR="004A45A2" w:rsidRDefault="004A45A2" w:rsidP="002C2540">
            <w:pPr>
              <w:pStyle w:val="Standard"/>
              <w:jc w:val="center"/>
            </w:pPr>
            <w:r>
              <w:t>Module</w:t>
            </w:r>
          </w:p>
        </w:tc>
        <w:tc>
          <w:tcPr>
            <w:tcW w:w="4675" w:type="dxa"/>
          </w:tcPr>
          <w:p w14:paraId="7010ACC2" w14:textId="77777777" w:rsidR="004A45A2" w:rsidRDefault="004A45A2" w:rsidP="002C2540">
            <w:pPr>
              <w:pStyle w:val="Standard"/>
              <w:jc w:val="center"/>
              <w:cnfStyle w:val="100000000000" w:firstRow="1" w:lastRow="0" w:firstColumn="0" w:lastColumn="0" w:oddVBand="0" w:evenVBand="0" w:oddHBand="0" w:evenHBand="0" w:firstRowFirstColumn="0" w:firstRowLastColumn="0" w:lastRowFirstColumn="0" w:lastRowLastColumn="0"/>
            </w:pPr>
            <w:r>
              <w:t>Disponibilité mensuelle</w:t>
            </w:r>
          </w:p>
        </w:tc>
      </w:tr>
      <w:tr w:rsidR="004A45A2" w14:paraId="0EEAD1E1" w14:textId="77777777" w:rsidTr="002C2540">
        <w:tc>
          <w:tcPr>
            <w:cnfStyle w:val="001000000000" w:firstRow="0" w:lastRow="0" w:firstColumn="1" w:lastColumn="0" w:oddVBand="0" w:evenVBand="0" w:oddHBand="0" w:evenHBand="0" w:firstRowFirstColumn="0" w:firstRowLastColumn="0" w:lastRowFirstColumn="0" w:lastRowLastColumn="0"/>
            <w:tcW w:w="4675" w:type="dxa"/>
          </w:tcPr>
          <w:p w14:paraId="55B057AB" w14:textId="77777777" w:rsidR="004A45A2" w:rsidRPr="000A6348" w:rsidRDefault="004A45A2" w:rsidP="002C2540">
            <w:pPr>
              <w:pStyle w:val="Standard"/>
              <w:rPr>
                <w:b w:val="0"/>
                <w:bCs w:val="0"/>
              </w:rPr>
            </w:pPr>
            <w:r w:rsidRPr="000A6348">
              <w:rPr>
                <w:b w:val="0"/>
                <w:bCs w:val="0"/>
              </w:rPr>
              <w:t>Support utilisateur N1 =&gt; N3</w:t>
            </w:r>
          </w:p>
        </w:tc>
        <w:tc>
          <w:tcPr>
            <w:tcW w:w="4675" w:type="dxa"/>
          </w:tcPr>
          <w:p w14:paraId="692015A2" w14:textId="77777777" w:rsidR="004A45A2" w:rsidRDefault="004A45A2" w:rsidP="002C2540">
            <w:pPr>
              <w:pStyle w:val="Standard"/>
              <w:tabs>
                <w:tab w:val="left" w:pos="1410"/>
              </w:tabs>
              <w:cnfStyle w:val="000000000000" w:firstRow="0" w:lastRow="0" w:firstColumn="0" w:lastColumn="0" w:oddVBand="0" w:evenVBand="0" w:oddHBand="0" w:evenHBand="0" w:firstRowFirstColumn="0" w:firstRowLastColumn="0" w:lastRowFirstColumn="0" w:lastRowLastColumn="0"/>
            </w:pPr>
            <w:r>
              <w:t>Inférieur à 99,0 %, mais égal ou supérieur à 95,0 %</w:t>
            </w:r>
          </w:p>
        </w:tc>
      </w:tr>
      <w:tr w:rsidR="004A45A2" w14:paraId="415BF7DB" w14:textId="77777777" w:rsidTr="002C2540">
        <w:tc>
          <w:tcPr>
            <w:cnfStyle w:val="001000000000" w:firstRow="0" w:lastRow="0" w:firstColumn="1" w:lastColumn="0" w:oddVBand="0" w:evenVBand="0" w:oddHBand="0" w:evenHBand="0" w:firstRowFirstColumn="0" w:firstRowLastColumn="0" w:lastRowFirstColumn="0" w:lastRowLastColumn="0"/>
            <w:tcW w:w="4675" w:type="dxa"/>
          </w:tcPr>
          <w:p w14:paraId="61825909" w14:textId="77777777" w:rsidR="004A45A2" w:rsidRPr="004A45A2" w:rsidRDefault="004A45A2" w:rsidP="002C2540">
            <w:pPr>
              <w:pStyle w:val="Standard"/>
              <w:rPr>
                <w:b w:val="0"/>
                <w:bCs w:val="0"/>
              </w:rPr>
            </w:pPr>
            <w:r w:rsidRPr="004A45A2">
              <w:rPr>
                <w:b w:val="0"/>
                <w:bCs w:val="0"/>
              </w:rPr>
              <w:t>Infrastructure</w:t>
            </w:r>
          </w:p>
        </w:tc>
        <w:tc>
          <w:tcPr>
            <w:tcW w:w="4675" w:type="dxa"/>
          </w:tcPr>
          <w:p w14:paraId="609EA63A" w14:textId="77777777" w:rsidR="004A45A2" w:rsidRDefault="004A45A2" w:rsidP="002C2540">
            <w:pPr>
              <w:pStyle w:val="Standard"/>
              <w:cnfStyle w:val="000000000000" w:firstRow="0" w:lastRow="0" w:firstColumn="0" w:lastColumn="0" w:oddVBand="0" w:evenVBand="0" w:oddHBand="0" w:evenHBand="0" w:firstRowFirstColumn="0" w:firstRowLastColumn="0" w:lastRowFirstColumn="0" w:lastRowLastColumn="0"/>
            </w:pPr>
            <w:r>
              <w:t>Inférieur à 99,99 %, mais égal ou supérieur à 99,0 %</w:t>
            </w:r>
          </w:p>
        </w:tc>
      </w:tr>
      <w:tr w:rsidR="004A45A2" w14:paraId="6496E3E5" w14:textId="77777777" w:rsidTr="002C2540">
        <w:tc>
          <w:tcPr>
            <w:cnfStyle w:val="001000000000" w:firstRow="0" w:lastRow="0" w:firstColumn="1" w:lastColumn="0" w:oddVBand="0" w:evenVBand="0" w:oddHBand="0" w:evenHBand="0" w:firstRowFirstColumn="0" w:firstRowLastColumn="0" w:lastRowFirstColumn="0" w:lastRowLastColumn="0"/>
            <w:tcW w:w="4675" w:type="dxa"/>
          </w:tcPr>
          <w:p w14:paraId="00405EE9" w14:textId="77777777" w:rsidR="004A45A2" w:rsidRPr="004A45A2" w:rsidRDefault="004A45A2" w:rsidP="002C2540">
            <w:pPr>
              <w:pStyle w:val="Standard"/>
              <w:rPr>
                <w:b w:val="0"/>
                <w:bCs w:val="0"/>
              </w:rPr>
            </w:pPr>
            <w:r w:rsidRPr="004A45A2">
              <w:rPr>
                <w:b w:val="0"/>
                <w:bCs w:val="0"/>
              </w:rPr>
              <w:t>Fonctionnalités applicatives</w:t>
            </w:r>
          </w:p>
        </w:tc>
        <w:tc>
          <w:tcPr>
            <w:tcW w:w="4675" w:type="dxa"/>
          </w:tcPr>
          <w:p w14:paraId="4085B5A9" w14:textId="77777777" w:rsidR="004A45A2" w:rsidRDefault="004A45A2" w:rsidP="002C2540">
            <w:pPr>
              <w:pStyle w:val="Standard"/>
              <w:cnfStyle w:val="000000000000" w:firstRow="0" w:lastRow="0" w:firstColumn="0" w:lastColumn="0" w:oddVBand="0" w:evenVBand="0" w:oddHBand="0" w:evenHBand="0" w:firstRowFirstColumn="0" w:firstRowLastColumn="0" w:lastRowFirstColumn="0" w:lastRowLastColumn="0"/>
            </w:pPr>
            <w:r>
              <w:t>Inférieur à 99,99 %, mais égal ou supérieur à 99,0 %</w:t>
            </w:r>
          </w:p>
        </w:tc>
      </w:tr>
    </w:tbl>
    <w:p w14:paraId="13660D93" w14:textId="77777777" w:rsidR="000A6348" w:rsidRPr="000A6348" w:rsidRDefault="000A6348" w:rsidP="000A6348">
      <w:pPr>
        <w:pStyle w:val="Standard"/>
      </w:pPr>
    </w:p>
    <w:p w14:paraId="311E1675" w14:textId="0BB1A5B5" w:rsidR="00C10478" w:rsidRDefault="00934FCF">
      <w:pPr>
        <w:pStyle w:val="Titre2"/>
        <w:keepNext w:val="0"/>
        <w:keepLines w:val="0"/>
        <w:pBdr>
          <w:bottom w:val="single" w:sz="6" w:space="5" w:color="EAECEF"/>
        </w:pBdr>
        <w:shd w:val="clear" w:color="auto" w:fill="FFFFFF"/>
        <w:spacing w:after="240"/>
        <w:ind w:left="-300"/>
        <w:rPr>
          <w:b/>
          <w:color w:val="24292E"/>
          <w:sz w:val="34"/>
          <w:szCs w:val="34"/>
        </w:rPr>
      </w:pPr>
      <w:bookmarkStart w:id="3" w:name="_s9jf1tz9sx7x"/>
      <w:bookmarkEnd w:id="3"/>
      <w:r>
        <w:rPr>
          <w:b/>
          <w:color w:val="24292E"/>
          <w:sz w:val="34"/>
          <w:szCs w:val="34"/>
        </w:rPr>
        <w:t>Indicateurs de niveau de service</w:t>
      </w:r>
    </w:p>
    <w:p w14:paraId="0BF4E262" w14:textId="5A0DE587" w:rsidR="004A45A2" w:rsidRDefault="004A45A2" w:rsidP="004A45A2">
      <w:pPr>
        <w:pStyle w:val="Standard"/>
      </w:pPr>
      <w:r>
        <w:t>L</w:t>
      </w:r>
      <w:r>
        <w:t>es indicateurs de niveau de services suivant doivent être mis en place</w:t>
      </w:r>
      <w:r>
        <w:t> :</w:t>
      </w:r>
    </w:p>
    <w:tbl>
      <w:tblPr>
        <w:tblStyle w:val="TableauGrille1Clair-Accentuation6"/>
        <w:tblW w:w="0" w:type="auto"/>
        <w:tblLook w:val="04A0" w:firstRow="1" w:lastRow="0" w:firstColumn="1" w:lastColumn="0" w:noHBand="0" w:noVBand="1"/>
      </w:tblPr>
      <w:tblGrid>
        <w:gridCol w:w="4675"/>
        <w:gridCol w:w="4675"/>
      </w:tblGrid>
      <w:tr w:rsidR="00C93852" w14:paraId="26AB69BC" w14:textId="77777777" w:rsidTr="00C93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1D3907" w14:textId="2F4B42B5" w:rsidR="00C93852" w:rsidRDefault="00C93852" w:rsidP="00C93852">
            <w:pPr>
              <w:pStyle w:val="Standard"/>
              <w:jc w:val="center"/>
            </w:pPr>
            <w:r>
              <w:t>Indicateur</w:t>
            </w:r>
          </w:p>
        </w:tc>
        <w:tc>
          <w:tcPr>
            <w:tcW w:w="4675" w:type="dxa"/>
          </w:tcPr>
          <w:p w14:paraId="0B21B1B7" w14:textId="41CFE6B6" w:rsidR="00C93852" w:rsidRDefault="00C93852" w:rsidP="00C93852">
            <w:pPr>
              <w:pStyle w:val="Standard"/>
              <w:jc w:val="center"/>
              <w:cnfStyle w:val="100000000000" w:firstRow="1" w:lastRow="0" w:firstColumn="0" w:lastColumn="0" w:oddVBand="0" w:evenVBand="0" w:oddHBand="0" w:evenHBand="0" w:firstRowFirstColumn="0" w:firstRowLastColumn="0" w:lastRowFirstColumn="0" w:lastRowLastColumn="0"/>
            </w:pPr>
            <w:r>
              <w:t>Information</w:t>
            </w:r>
          </w:p>
        </w:tc>
      </w:tr>
      <w:tr w:rsidR="00C93852" w14:paraId="40C34BAB" w14:textId="77777777" w:rsidTr="00C93852">
        <w:tc>
          <w:tcPr>
            <w:cnfStyle w:val="001000000000" w:firstRow="0" w:lastRow="0" w:firstColumn="1" w:lastColumn="0" w:oddVBand="0" w:evenVBand="0" w:oddHBand="0" w:evenHBand="0" w:firstRowFirstColumn="0" w:firstRowLastColumn="0" w:lastRowFirstColumn="0" w:lastRowLastColumn="0"/>
            <w:tcW w:w="4675" w:type="dxa"/>
          </w:tcPr>
          <w:p w14:paraId="19042A3D" w14:textId="164F6717" w:rsidR="00C93852" w:rsidRDefault="00C93852" w:rsidP="004A45A2">
            <w:pPr>
              <w:pStyle w:val="Standard"/>
            </w:pPr>
            <w:r>
              <w:t>Temps de réponse de l’application</w:t>
            </w:r>
          </w:p>
        </w:tc>
        <w:tc>
          <w:tcPr>
            <w:tcW w:w="4675" w:type="dxa"/>
          </w:tcPr>
          <w:p w14:paraId="4FD530F0" w14:textId="5536AF3C" w:rsidR="00C93852" w:rsidRDefault="00C93852" w:rsidP="004A45A2">
            <w:pPr>
              <w:pStyle w:val="Standard"/>
              <w:cnfStyle w:val="000000000000" w:firstRow="0" w:lastRow="0" w:firstColumn="0" w:lastColumn="0" w:oddVBand="0" w:evenVBand="0" w:oddHBand="0" w:evenHBand="0" w:firstRowFirstColumn="0" w:firstRowLastColumn="0" w:lastRowFirstColumn="0" w:lastRowLastColumn="0"/>
            </w:pPr>
            <w:r>
              <w:t>Une réponse</w:t>
            </w:r>
            <w:r>
              <w:t xml:space="preserve"> &lt; 200 ms est acceptable. Au-delà, une analyse doit etre effectuée pour savoir comment optimiser au mieux l’application.</w:t>
            </w:r>
          </w:p>
        </w:tc>
      </w:tr>
      <w:tr w:rsidR="00C93852" w14:paraId="65E47587" w14:textId="77777777" w:rsidTr="00C93852">
        <w:tc>
          <w:tcPr>
            <w:cnfStyle w:val="001000000000" w:firstRow="0" w:lastRow="0" w:firstColumn="1" w:lastColumn="0" w:oddVBand="0" w:evenVBand="0" w:oddHBand="0" w:evenHBand="0" w:firstRowFirstColumn="0" w:firstRowLastColumn="0" w:lastRowFirstColumn="0" w:lastRowLastColumn="0"/>
            <w:tcW w:w="4675" w:type="dxa"/>
          </w:tcPr>
          <w:p w14:paraId="1F3AA8DA" w14:textId="5FC67B37" w:rsidR="00C93852" w:rsidRDefault="00C93852" w:rsidP="004A45A2">
            <w:pPr>
              <w:pStyle w:val="Standard"/>
            </w:pPr>
            <w:r>
              <w:t>Fiabilité des livraisons</w:t>
            </w:r>
          </w:p>
        </w:tc>
        <w:tc>
          <w:tcPr>
            <w:tcW w:w="4675" w:type="dxa"/>
          </w:tcPr>
          <w:p w14:paraId="286C82D9" w14:textId="4B6379E5" w:rsidR="00C93852" w:rsidRDefault="00495EEF" w:rsidP="004A45A2">
            <w:pPr>
              <w:pStyle w:val="Standard"/>
              <w:cnfStyle w:val="000000000000" w:firstRow="0" w:lastRow="0" w:firstColumn="0" w:lastColumn="0" w:oddVBand="0" w:evenVBand="0" w:oddHBand="0" w:evenHBand="0" w:firstRowFirstColumn="0" w:firstRowLastColumn="0" w:lastRowFirstColumn="0" w:lastRowLastColumn="0"/>
            </w:pPr>
            <w:r>
              <w:t>Les livraisons ne doivent pas provoquer d’interruption de service ou de baisse de qualité de l’application</w:t>
            </w:r>
          </w:p>
        </w:tc>
      </w:tr>
      <w:tr w:rsidR="00C93852" w14:paraId="45DFA7DD" w14:textId="77777777" w:rsidTr="00C93852">
        <w:tc>
          <w:tcPr>
            <w:cnfStyle w:val="001000000000" w:firstRow="0" w:lastRow="0" w:firstColumn="1" w:lastColumn="0" w:oddVBand="0" w:evenVBand="0" w:oddHBand="0" w:evenHBand="0" w:firstRowFirstColumn="0" w:firstRowLastColumn="0" w:lastRowFirstColumn="0" w:lastRowLastColumn="0"/>
            <w:tcW w:w="4675" w:type="dxa"/>
          </w:tcPr>
          <w:p w14:paraId="087DACD0" w14:textId="70B005DC" w:rsidR="00C93852" w:rsidRDefault="00495EEF" w:rsidP="004A45A2">
            <w:pPr>
              <w:pStyle w:val="Standard"/>
            </w:pPr>
            <w:r>
              <w:t>Score de satisfaction client</w:t>
            </w:r>
          </w:p>
        </w:tc>
        <w:tc>
          <w:tcPr>
            <w:tcW w:w="4675" w:type="dxa"/>
          </w:tcPr>
          <w:p w14:paraId="585B6933" w14:textId="426915BC" w:rsidR="00C93852" w:rsidRDefault="00495EEF" w:rsidP="004A45A2">
            <w:pPr>
              <w:pStyle w:val="Standard"/>
              <w:cnfStyle w:val="000000000000" w:firstRow="0" w:lastRow="0" w:firstColumn="0" w:lastColumn="0" w:oddVBand="0" w:evenVBand="0" w:oddHBand="0" w:evenHBand="0" w:firstRowFirstColumn="0" w:firstRowLastColumn="0" w:lastRowFirstColumn="0" w:lastRowLastColumn="0"/>
            </w:pPr>
            <w:r>
              <w:t>Mettre en place sur l’application une possibilité de « noter » de 0 à 5 étoiles le processus de commande</w:t>
            </w:r>
          </w:p>
        </w:tc>
      </w:tr>
    </w:tbl>
    <w:p w14:paraId="622B528B" w14:textId="77777777" w:rsidR="00C93852" w:rsidRDefault="00C93852" w:rsidP="004A45A2">
      <w:pPr>
        <w:pStyle w:val="Standard"/>
      </w:pPr>
    </w:p>
    <w:p w14:paraId="39B2F79C" w14:textId="77777777" w:rsidR="004A45A2" w:rsidRPr="004A45A2" w:rsidRDefault="004A45A2" w:rsidP="004A45A2">
      <w:pPr>
        <w:pStyle w:val="Standard"/>
      </w:pPr>
    </w:p>
    <w:p w14:paraId="6A5043CB" w14:textId="2629AE16" w:rsidR="00C10478" w:rsidRDefault="00934FCF">
      <w:pPr>
        <w:pStyle w:val="Titre1"/>
        <w:keepNext w:val="0"/>
        <w:keepLines w:val="0"/>
        <w:pBdr>
          <w:bottom w:val="single" w:sz="6" w:space="6" w:color="EAECEF"/>
        </w:pBdr>
        <w:shd w:val="clear" w:color="auto" w:fill="FFFFFF"/>
        <w:spacing w:before="360" w:after="240"/>
        <w:ind w:left="-300"/>
        <w:rPr>
          <w:b/>
          <w:color w:val="24292E"/>
          <w:sz w:val="46"/>
          <w:szCs w:val="46"/>
        </w:rPr>
      </w:pPr>
      <w:r>
        <w:rPr>
          <w:b/>
          <w:color w:val="24292E"/>
          <w:sz w:val="46"/>
          <w:szCs w:val="46"/>
        </w:rPr>
        <w:t xml:space="preserve">Lignes </w:t>
      </w:r>
      <w:r>
        <w:rPr>
          <w:b/>
          <w:color w:val="24292E"/>
          <w:sz w:val="46"/>
          <w:szCs w:val="46"/>
        </w:rPr>
        <w:t>directrices pour l’implémentation</w:t>
      </w:r>
    </w:p>
    <w:p w14:paraId="6FB02F37" w14:textId="77777777" w:rsidR="00495EEF" w:rsidRDefault="00495EEF" w:rsidP="00495EEF">
      <w:pPr>
        <w:pStyle w:val="Standard"/>
      </w:pPr>
      <w:r>
        <w:t xml:space="preserve">Le projet doit respecter les directives suivantes : </w:t>
      </w:r>
    </w:p>
    <w:p w14:paraId="6EC7E13B" w14:textId="77777777" w:rsidR="00495EEF" w:rsidRDefault="00495EEF" w:rsidP="00495EEF">
      <w:pPr>
        <w:pStyle w:val="Standard"/>
      </w:pPr>
    </w:p>
    <w:p w14:paraId="162E5B0A" w14:textId="77777777" w:rsidR="00495EEF" w:rsidRDefault="00495EEF" w:rsidP="00495EEF">
      <w:pPr>
        <w:pStyle w:val="Standard"/>
      </w:pPr>
      <w:r>
        <w:lastRenderedPageBreak/>
        <w:t xml:space="preserve">• Les solutions open source sont préférables aux solutions payantes. </w:t>
      </w:r>
    </w:p>
    <w:p w14:paraId="1299A6C5" w14:textId="77777777" w:rsidR="00495EEF" w:rsidRDefault="00495EEF" w:rsidP="00495EEF">
      <w:pPr>
        <w:pStyle w:val="Standard"/>
      </w:pPr>
    </w:p>
    <w:p w14:paraId="2459C828" w14:textId="77777777" w:rsidR="00495EEF" w:rsidRDefault="00495EEF" w:rsidP="00495EEF">
      <w:pPr>
        <w:pStyle w:val="Standard"/>
      </w:pPr>
      <w:r>
        <w:t>• Le support continu des composants doit être pris en compte lors de leur sélection ou lors des prises de décision de création ou d'achat.</w:t>
      </w:r>
    </w:p>
    <w:p w14:paraId="47F8B062" w14:textId="77777777" w:rsidR="00495EEF" w:rsidRDefault="00495EEF" w:rsidP="00495EEF">
      <w:pPr>
        <w:pStyle w:val="Standard"/>
      </w:pPr>
    </w:p>
    <w:p w14:paraId="7595A201" w14:textId="77777777" w:rsidR="00495EEF" w:rsidRDefault="00495EEF" w:rsidP="00495EEF">
      <w:pPr>
        <w:pStyle w:val="Standard"/>
      </w:pPr>
      <w:r>
        <w:t xml:space="preserve"> • Toutes les solutions du commerce ou open source doivent, dans la mesure du possible, faire partie d'une même pile technologique afin de réduire les coûts de maintenance et de support continus. </w:t>
      </w:r>
    </w:p>
    <w:p w14:paraId="0CC01FB3" w14:textId="77777777" w:rsidR="00495EEF" w:rsidRDefault="00495EEF" w:rsidP="00495EEF">
      <w:pPr>
        <w:pStyle w:val="Standard"/>
      </w:pPr>
    </w:p>
    <w:p w14:paraId="28085743" w14:textId="087507FD" w:rsidR="00495EEF" w:rsidRPr="00495EEF" w:rsidRDefault="00495EEF" w:rsidP="00495EEF">
      <w:pPr>
        <w:pStyle w:val="Standard"/>
      </w:pPr>
      <w:r>
        <w:t>Pour arriver à respecter ces lignes directrices, le projet devra respecter des standards pour l’implémentation.</w:t>
      </w:r>
    </w:p>
    <w:p w14:paraId="2445B2EA" w14:textId="77777777" w:rsidR="00C10478" w:rsidRDefault="00C10478">
      <w:pPr>
        <w:pStyle w:val="Standard"/>
      </w:pPr>
    </w:p>
    <w:p w14:paraId="20ED91A1" w14:textId="77777777" w:rsidR="00C10478" w:rsidRDefault="00934FCF">
      <w:pPr>
        <w:pStyle w:val="Titre1"/>
        <w:keepNext w:val="0"/>
        <w:keepLines w:val="0"/>
        <w:pBdr>
          <w:bottom w:val="single" w:sz="6" w:space="6" w:color="EAECEF"/>
        </w:pBdr>
        <w:shd w:val="clear" w:color="auto" w:fill="FFFFFF"/>
        <w:spacing w:before="360" w:after="240"/>
        <w:ind w:left="-300"/>
      </w:pPr>
      <w:r>
        <w:rPr>
          <w:b/>
          <w:color w:val="24292E"/>
          <w:sz w:val="46"/>
          <w:szCs w:val="46"/>
        </w:rPr>
        <w:t>Spécifications pour l’implémentation</w:t>
      </w:r>
    </w:p>
    <w:p w14:paraId="54F88010" w14:textId="2D22A48E" w:rsidR="00C10478" w:rsidRDefault="00FF31D3">
      <w:pPr>
        <w:pStyle w:val="Standard"/>
      </w:pPr>
      <w:r>
        <w:t>Dans le cadre d’une volonté d’homogénéisation des différents développements, certaines pratiques devront être communes à toutes les équipes de développement, aussi bien d’un point de vue écriture de code que d’un point de vue utilisation d’outils.</w:t>
      </w:r>
    </w:p>
    <w:p w14:paraId="250FA46B" w14:textId="642365A0" w:rsidR="00FF31D3" w:rsidRDefault="00FF31D3">
      <w:pPr>
        <w:pStyle w:val="Standard"/>
      </w:pPr>
    </w:p>
    <w:p w14:paraId="619C8F8C" w14:textId="1094AEA0" w:rsidR="00FF31D3" w:rsidRDefault="00FF31D3">
      <w:pPr>
        <w:pStyle w:val="Standard"/>
        <w:rPr>
          <w:b/>
          <w:bCs/>
          <w:sz w:val="28"/>
          <w:szCs w:val="28"/>
          <w:u w:val="single"/>
        </w:rPr>
      </w:pPr>
      <w:r w:rsidRPr="00FF31D3">
        <w:rPr>
          <w:b/>
          <w:bCs/>
          <w:sz w:val="28"/>
          <w:szCs w:val="28"/>
          <w:u w:val="single"/>
        </w:rPr>
        <w:t xml:space="preserve">Développement </w:t>
      </w:r>
      <w:r w:rsidRPr="00FF31D3">
        <w:rPr>
          <w:b/>
          <w:bCs/>
          <w:sz w:val="28"/>
          <w:szCs w:val="28"/>
          <w:u w:val="single"/>
        </w:rPr>
        <w:t>Full Stack</w:t>
      </w:r>
      <w:r>
        <w:rPr>
          <w:b/>
          <w:bCs/>
          <w:sz w:val="28"/>
          <w:szCs w:val="28"/>
          <w:u w:val="single"/>
        </w:rPr>
        <w:t> :</w:t>
      </w:r>
    </w:p>
    <w:p w14:paraId="32FBF390" w14:textId="77777777" w:rsidR="00FF31D3" w:rsidRPr="00FF31D3" w:rsidRDefault="00FF31D3">
      <w:pPr>
        <w:pStyle w:val="Standard"/>
        <w:rPr>
          <w:b/>
          <w:bCs/>
          <w:sz w:val="28"/>
          <w:szCs w:val="28"/>
          <w:u w:val="single"/>
        </w:rPr>
      </w:pPr>
    </w:p>
    <w:p w14:paraId="3CFE9347" w14:textId="0D6EF848" w:rsidR="00FF31D3" w:rsidRDefault="00FF31D3">
      <w:pPr>
        <w:pStyle w:val="Standard"/>
      </w:pPr>
      <w:r>
        <w:t>Le développement de l’application s’appuiera sur les technologies suivantes :</w:t>
      </w:r>
    </w:p>
    <w:p w14:paraId="7537AB22" w14:textId="73AD3467" w:rsidR="00FF31D3" w:rsidRDefault="00FF31D3">
      <w:pPr>
        <w:pStyle w:val="Standard"/>
      </w:pPr>
    </w:p>
    <w:p w14:paraId="2BF321FB" w14:textId="77777777" w:rsidR="00FF31D3" w:rsidRPr="00FF31D3" w:rsidRDefault="00FF31D3">
      <w:pPr>
        <w:pStyle w:val="Standard"/>
        <w:rPr>
          <w:b/>
          <w:bCs/>
          <w:u w:val="single"/>
        </w:rPr>
      </w:pPr>
      <w:proofErr w:type="spellStart"/>
      <w:r w:rsidRPr="00FF31D3">
        <w:rPr>
          <w:b/>
          <w:bCs/>
          <w:u w:val="single"/>
        </w:rPr>
        <w:t>Angular</w:t>
      </w:r>
      <w:proofErr w:type="spellEnd"/>
      <w:r w:rsidRPr="00FF31D3">
        <w:rPr>
          <w:b/>
          <w:bCs/>
          <w:u w:val="single"/>
        </w:rPr>
        <w:t> :</w:t>
      </w:r>
    </w:p>
    <w:p w14:paraId="56C059C3" w14:textId="02B9C625" w:rsidR="00FF31D3" w:rsidRDefault="00FF31D3">
      <w:pPr>
        <w:pStyle w:val="Standard"/>
      </w:pPr>
      <w:proofErr w:type="spellStart"/>
      <w:r>
        <w:t>Angular</w:t>
      </w:r>
      <w:proofErr w:type="spellEnd"/>
      <w:r>
        <w:t xml:space="preserve"> permet la création d’applications Web, et plus particulièrement des Single Page Applications, qui sont des applications web accessibles via une page web unique. Il est basé sur le langage </w:t>
      </w:r>
      <w:proofErr w:type="spellStart"/>
      <w:r>
        <w:t>TypeScript</w:t>
      </w:r>
      <w:proofErr w:type="spellEnd"/>
      <w:r>
        <w:t>. Il sera là pour fournir le Front End.</w:t>
      </w:r>
    </w:p>
    <w:p w14:paraId="73911667" w14:textId="77777777" w:rsidR="00FF31D3" w:rsidRDefault="00FF31D3">
      <w:pPr>
        <w:pStyle w:val="Standard"/>
      </w:pPr>
    </w:p>
    <w:p w14:paraId="217E82DC" w14:textId="58A26EE2" w:rsidR="00FF31D3" w:rsidRPr="00FF31D3" w:rsidRDefault="00FF31D3">
      <w:pPr>
        <w:pStyle w:val="Standard"/>
        <w:rPr>
          <w:b/>
          <w:bCs/>
          <w:u w:val="single"/>
        </w:rPr>
      </w:pPr>
      <w:r w:rsidRPr="00FF31D3">
        <w:rPr>
          <w:b/>
          <w:bCs/>
          <w:u w:val="single"/>
        </w:rPr>
        <w:t>Spring boot</w:t>
      </w:r>
      <w:r w:rsidRPr="00FF31D3">
        <w:rPr>
          <w:b/>
          <w:bCs/>
          <w:u w:val="single"/>
        </w:rPr>
        <w:t> :</w:t>
      </w:r>
    </w:p>
    <w:p w14:paraId="671F0D7F" w14:textId="6A84B01C" w:rsidR="00FF31D3" w:rsidRDefault="00FF31D3">
      <w:pPr>
        <w:pStyle w:val="Standard"/>
      </w:pPr>
      <w:r>
        <w:t xml:space="preserve">Les développeurs actuels étant habitué au langage Java, l’utilisation de Spring Boot réduit les risques de retard due au changement de langage. Spring Boot est un </w:t>
      </w:r>
      <w:proofErr w:type="spellStart"/>
      <w:r>
        <w:t>framework</w:t>
      </w:r>
      <w:proofErr w:type="spellEnd"/>
      <w:r>
        <w:t xml:space="preserve"> Java qui facilite le développement d’applications basée sur Spring, offrant des outils permettant d’obtenir une application packagée en .jar, totalement autonome. Ce qui représente l’intérêt principal dans une architecture </w:t>
      </w:r>
      <w:proofErr w:type="spellStart"/>
      <w:r>
        <w:t>microservices</w:t>
      </w:r>
      <w:proofErr w:type="spellEnd"/>
      <w:r>
        <w:t xml:space="preserve">. Ce sera le </w:t>
      </w:r>
      <w:proofErr w:type="spellStart"/>
      <w:r>
        <w:t>framework</w:t>
      </w:r>
      <w:proofErr w:type="spellEnd"/>
      <w:r>
        <w:t xml:space="preserve"> utilisé pour le </w:t>
      </w:r>
      <w:proofErr w:type="spellStart"/>
      <w:r>
        <w:t>back-end</w:t>
      </w:r>
      <w:proofErr w:type="spellEnd"/>
    </w:p>
    <w:p w14:paraId="7F652478" w14:textId="66350AEC" w:rsidR="00FF31D3" w:rsidRDefault="00FF31D3">
      <w:pPr>
        <w:pStyle w:val="Standard"/>
      </w:pPr>
    </w:p>
    <w:p w14:paraId="1BF0FF57" w14:textId="07806CE6" w:rsidR="00FF31D3" w:rsidRDefault="00FF31D3">
      <w:pPr>
        <w:pStyle w:val="Standard"/>
      </w:pPr>
    </w:p>
    <w:p w14:paraId="5713DB51" w14:textId="2D98CE76" w:rsidR="003758E6" w:rsidRPr="003758E6" w:rsidRDefault="003758E6">
      <w:pPr>
        <w:pStyle w:val="Standard"/>
        <w:rPr>
          <w:b/>
          <w:bCs/>
          <w:u w:val="single"/>
        </w:rPr>
      </w:pPr>
      <w:r w:rsidRPr="003758E6">
        <w:rPr>
          <w:b/>
          <w:bCs/>
          <w:u w:val="single"/>
        </w:rPr>
        <w:t>Docker</w:t>
      </w:r>
      <w:r w:rsidRPr="003758E6">
        <w:rPr>
          <w:b/>
          <w:bCs/>
          <w:u w:val="single"/>
        </w:rPr>
        <w:t> :</w:t>
      </w:r>
      <w:r w:rsidRPr="003758E6">
        <w:rPr>
          <w:b/>
          <w:bCs/>
          <w:u w:val="single"/>
        </w:rPr>
        <w:t xml:space="preserve"> </w:t>
      </w:r>
    </w:p>
    <w:p w14:paraId="5E93FEAF" w14:textId="4B4F0F63" w:rsidR="003758E6" w:rsidRDefault="003758E6">
      <w:pPr>
        <w:pStyle w:val="Standard"/>
      </w:pPr>
      <w:r>
        <w:t xml:space="preserve">Docker est une plateforme permettant l’exécution de </w:t>
      </w:r>
      <w:r>
        <w:t>certaines applications</w:t>
      </w:r>
      <w:r>
        <w:t xml:space="preserve"> dans des conteneurs logiciels. Il permet d’empaqueter une application et ses dépendances dans un conteneur isolé qui pourra être exécuté sur n’importe quel serveur.</w:t>
      </w:r>
    </w:p>
    <w:p w14:paraId="330E2880" w14:textId="294ED3A4" w:rsidR="003758E6" w:rsidRDefault="003758E6">
      <w:pPr>
        <w:pStyle w:val="Standard"/>
        <w:rPr>
          <w:b/>
          <w:bCs/>
          <w:sz w:val="28"/>
          <w:szCs w:val="28"/>
          <w:u w:val="single"/>
        </w:rPr>
      </w:pPr>
      <w:r w:rsidRPr="003758E6">
        <w:rPr>
          <w:b/>
          <w:bCs/>
          <w:sz w:val="28"/>
          <w:szCs w:val="28"/>
          <w:u w:val="single"/>
        </w:rPr>
        <w:t>Infrastructure</w:t>
      </w:r>
      <w:r>
        <w:rPr>
          <w:b/>
          <w:bCs/>
          <w:sz w:val="28"/>
          <w:szCs w:val="28"/>
          <w:u w:val="single"/>
        </w:rPr>
        <w:t> :</w:t>
      </w:r>
    </w:p>
    <w:p w14:paraId="501A0D86" w14:textId="1285AA72" w:rsidR="003758E6" w:rsidRDefault="003758E6">
      <w:pPr>
        <w:pStyle w:val="Standard"/>
        <w:rPr>
          <w:b/>
          <w:bCs/>
          <w:sz w:val="28"/>
          <w:szCs w:val="28"/>
          <w:u w:val="single"/>
        </w:rPr>
      </w:pPr>
    </w:p>
    <w:p w14:paraId="170EAF09" w14:textId="77777777" w:rsidR="003758E6" w:rsidRPr="003758E6" w:rsidRDefault="003758E6">
      <w:pPr>
        <w:pStyle w:val="Standard"/>
        <w:rPr>
          <w:b/>
          <w:bCs/>
          <w:u w:val="single"/>
        </w:rPr>
      </w:pPr>
      <w:r w:rsidRPr="003758E6">
        <w:rPr>
          <w:b/>
          <w:bCs/>
          <w:u w:val="single"/>
        </w:rPr>
        <w:t>Amazon AWS</w:t>
      </w:r>
      <w:r w:rsidRPr="003758E6">
        <w:rPr>
          <w:b/>
          <w:bCs/>
          <w:u w:val="single"/>
        </w:rPr>
        <w:t> :</w:t>
      </w:r>
    </w:p>
    <w:p w14:paraId="2CE885F2" w14:textId="295DA777" w:rsidR="003758E6" w:rsidRPr="003758E6" w:rsidRDefault="003758E6">
      <w:pPr>
        <w:pStyle w:val="Standard"/>
        <w:rPr>
          <w:b/>
          <w:bCs/>
          <w:sz w:val="28"/>
          <w:szCs w:val="28"/>
          <w:u w:val="single"/>
        </w:rPr>
      </w:pPr>
      <w:r>
        <w:t xml:space="preserve">Dans la mesure où un besoin d’environnement pouvant s’adapter à des pics de charge ou la </w:t>
      </w:r>
      <w:r>
        <w:lastRenderedPageBreak/>
        <w:t xml:space="preserve">croissance du nombre d’utilisateur est requis, la mise en place d’une infrastructure cloud est </w:t>
      </w:r>
      <w:proofErr w:type="spellStart"/>
      <w:proofErr w:type="gramStart"/>
      <w:r>
        <w:t>a</w:t>
      </w:r>
      <w:proofErr w:type="spellEnd"/>
      <w:proofErr w:type="gramEnd"/>
      <w:r>
        <w:t xml:space="preserve"> envisager. Nous préconisons la mise en place de l’infrastructure sur le cloud Amazon AWS.</w:t>
      </w:r>
    </w:p>
    <w:p w14:paraId="5C55D6F4" w14:textId="77777777" w:rsidR="00C10478" w:rsidRDefault="00934FCF">
      <w:pPr>
        <w:pStyle w:val="Titre1"/>
        <w:keepNext w:val="0"/>
        <w:keepLines w:val="0"/>
        <w:pBdr>
          <w:bottom w:val="single" w:sz="6" w:space="6" w:color="EAECEF"/>
        </w:pBdr>
        <w:shd w:val="clear" w:color="auto" w:fill="FFFFFF"/>
        <w:spacing w:before="360" w:after="240"/>
        <w:ind w:left="-300"/>
      </w:pPr>
      <w:r>
        <w:rPr>
          <w:b/>
          <w:color w:val="24292E"/>
          <w:sz w:val="46"/>
          <w:szCs w:val="46"/>
        </w:rPr>
        <w:t>Standards pour l’implémentation</w:t>
      </w:r>
    </w:p>
    <w:p w14:paraId="6424331E" w14:textId="1395A1F5" w:rsidR="00C10478" w:rsidRDefault="00FF31D3">
      <w:pPr>
        <w:pStyle w:val="Standard"/>
      </w:pPr>
      <w:r>
        <w:t>Les développeurs doivent respecter les conventions de nommage java/</w:t>
      </w:r>
      <w:proofErr w:type="spellStart"/>
      <w:r>
        <w:t>spring</w:t>
      </w:r>
      <w:proofErr w:type="spellEnd"/>
      <w:r>
        <w:t>.</w:t>
      </w:r>
    </w:p>
    <w:p w14:paraId="5BC9F5FD" w14:textId="77777777" w:rsidR="00C10478" w:rsidRDefault="00934FCF">
      <w:pPr>
        <w:pStyle w:val="Titre1"/>
        <w:keepNext w:val="0"/>
        <w:keepLines w:val="0"/>
        <w:pBdr>
          <w:bottom w:val="single" w:sz="6" w:space="6" w:color="EAECEF"/>
        </w:pBdr>
        <w:shd w:val="clear" w:color="auto" w:fill="FFFFFF"/>
        <w:spacing w:before="360" w:after="240"/>
        <w:ind w:left="-300"/>
      </w:pPr>
      <w:r>
        <w:rPr>
          <w:b/>
          <w:color w:val="24292E"/>
          <w:sz w:val="46"/>
          <w:szCs w:val="46"/>
        </w:rPr>
        <w:t>Conditions requises pour l’interopérabilité</w:t>
      </w:r>
    </w:p>
    <w:p w14:paraId="77D6BA0F" w14:textId="613A617C" w:rsidR="005243EE" w:rsidRDefault="005243EE">
      <w:pPr>
        <w:pStyle w:val="Standard"/>
        <w:rPr>
          <w:b/>
          <w:bCs/>
          <w:sz w:val="28"/>
          <w:szCs w:val="28"/>
          <w:u w:val="single"/>
        </w:rPr>
      </w:pPr>
      <w:r w:rsidRPr="005243EE">
        <w:rPr>
          <w:b/>
          <w:bCs/>
          <w:sz w:val="28"/>
          <w:szCs w:val="28"/>
          <w:u w:val="single"/>
        </w:rPr>
        <w:t>Application</w:t>
      </w:r>
      <w:r>
        <w:rPr>
          <w:b/>
          <w:bCs/>
          <w:sz w:val="28"/>
          <w:szCs w:val="28"/>
          <w:u w:val="single"/>
        </w:rPr>
        <w:t> :</w:t>
      </w:r>
    </w:p>
    <w:p w14:paraId="17BACAC2" w14:textId="77777777" w:rsidR="005243EE" w:rsidRPr="005243EE" w:rsidRDefault="005243EE">
      <w:pPr>
        <w:pStyle w:val="Standard"/>
        <w:rPr>
          <w:b/>
          <w:bCs/>
          <w:sz w:val="28"/>
          <w:szCs w:val="28"/>
          <w:u w:val="single"/>
        </w:rPr>
      </w:pPr>
    </w:p>
    <w:p w14:paraId="3DAC0D1C" w14:textId="77777777" w:rsidR="00493612" w:rsidRDefault="005243EE">
      <w:pPr>
        <w:pStyle w:val="Standard"/>
      </w:pPr>
      <w:r>
        <w:t xml:space="preserve">Chaque micros-services devront communiquer les uns avec les autres. Pour cela, ils fonctionneront à l’aide d’une API RESTful (« </w:t>
      </w:r>
      <w:proofErr w:type="spellStart"/>
      <w:r>
        <w:t>Representational</w:t>
      </w:r>
      <w:proofErr w:type="spellEnd"/>
      <w:r>
        <w:t xml:space="preserve"> State Transfert »). </w:t>
      </w:r>
    </w:p>
    <w:p w14:paraId="1E764197" w14:textId="77777777" w:rsidR="00493612" w:rsidRDefault="00493612">
      <w:pPr>
        <w:pStyle w:val="Standard"/>
      </w:pPr>
    </w:p>
    <w:p w14:paraId="30CB98B6" w14:textId="77777777" w:rsidR="00493612" w:rsidRDefault="005243EE">
      <w:pPr>
        <w:pStyle w:val="Standard"/>
      </w:pPr>
      <w:r>
        <w:t xml:space="preserve">L’usage d’une API REST signifie que les </w:t>
      </w:r>
      <w:proofErr w:type="spellStart"/>
      <w:r>
        <w:t>microsservices</w:t>
      </w:r>
      <w:proofErr w:type="spellEnd"/>
      <w:r>
        <w:t xml:space="preserve"> vont communiquer </w:t>
      </w:r>
      <w:r w:rsidR="00493612">
        <w:t>entre</w:t>
      </w:r>
      <w:r>
        <w:t xml:space="preserve"> eux à partir d’une URL. Cette communication va se faire en utilisant les méthodes GET, POST, PUT ou DELETE, pour l’obtention des données, l’envoie de données. </w:t>
      </w:r>
    </w:p>
    <w:p w14:paraId="6DEEE0EB" w14:textId="0DAE5244" w:rsidR="00C10478" w:rsidRDefault="005243EE">
      <w:pPr>
        <w:pStyle w:val="Standard"/>
      </w:pPr>
      <w:r>
        <w:t xml:space="preserve">Cette utilisation permet une complète interopérabilité des </w:t>
      </w:r>
      <w:proofErr w:type="spellStart"/>
      <w:r>
        <w:t>microsservices</w:t>
      </w:r>
      <w:proofErr w:type="spellEnd"/>
      <w:r>
        <w:t xml:space="preserve"> et l’ajout de nouvelles fonctionnalités.</w:t>
      </w:r>
    </w:p>
    <w:p w14:paraId="7396AD80" w14:textId="768B0D8B" w:rsidR="00493612" w:rsidRDefault="00493612">
      <w:pPr>
        <w:pStyle w:val="Standard"/>
      </w:pPr>
    </w:p>
    <w:p w14:paraId="49DDD196" w14:textId="7B82177A" w:rsidR="00493612" w:rsidRDefault="00493612">
      <w:pPr>
        <w:pStyle w:val="Standard"/>
        <w:rPr>
          <w:b/>
          <w:bCs/>
          <w:sz w:val="28"/>
          <w:szCs w:val="28"/>
          <w:u w:val="single"/>
        </w:rPr>
      </w:pPr>
      <w:r w:rsidRPr="00493612">
        <w:rPr>
          <w:b/>
          <w:bCs/>
          <w:sz w:val="28"/>
          <w:szCs w:val="28"/>
          <w:u w:val="single"/>
        </w:rPr>
        <w:t>Infrastructure</w:t>
      </w:r>
      <w:r w:rsidRPr="00493612">
        <w:rPr>
          <w:b/>
          <w:bCs/>
          <w:sz w:val="28"/>
          <w:szCs w:val="28"/>
          <w:u w:val="single"/>
        </w:rPr>
        <w:t> :</w:t>
      </w:r>
    </w:p>
    <w:p w14:paraId="48CB9031" w14:textId="77777777" w:rsidR="00493612" w:rsidRPr="00493612" w:rsidRDefault="00493612">
      <w:pPr>
        <w:pStyle w:val="Standard"/>
        <w:rPr>
          <w:b/>
          <w:bCs/>
          <w:sz w:val="28"/>
          <w:szCs w:val="28"/>
          <w:u w:val="single"/>
        </w:rPr>
      </w:pPr>
    </w:p>
    <w:p w14:paraId="4F938C0D" w14:textId="2C0070CA" w:rsidR="00493612" w:rsidRDefault="00493612">
      <w:pPr>
        <w:pStyle w:val="Standard"/>
      </w:pPr>
      <w:r>
        <w:t>L’infrastructure peut être vue comme ayant deux couches différentes</w:t>
      </w:r>
      <w:r>
        <w:t> :</w:t>
      </w:r>
    </w:p>
    <w:p w14:paraId="1EACE94F" w14:textId="77777777" w:rsidR="00493612" w:rsidRDefault="00493612">
      <w:pPr>
        <w:pStyle w:val="Standard"/>
      </w:pPr>
      <w:r>
        <w:t xml:space="preserve">• Une couche physique </w:t>
      </w:r>
    </w:p>
    <w:p w14:paraId="300A5770" w14:textId="77777777" w:rsidR="00493612" w:rsidRDefault="00493612">
      <w:pPr>
        <w:pStyle w:val="Standard"/>
      </w:pPr>
      <w:r>
        <w:t xml:space="preserve">• Une couche virtuelle </w:t>
      </w:r>
    </w:p>
    <w:p w14:paraId="1D10E3D0" w14:textId="77777777" w:rsidR="00493612" w:rsidRDefault="00493612">
      <w:pPr>
        <w:pStyle w:val="Standard"/>
      </w:pPr>
    </w:p>
    <w:p w14:paraId="7110922E" w14:textId="77777777" w:rsidR="00493612" w:rsidRDefault="00493612">
      <w:pPr>
        <w:pStyle w:val="Standard"/>
      </w:pPr>
      <w:r>
        <w:t xml:space="preserve">La couche physique correspond au cloud fourni par Amazon AWS. </w:t>
      </w:r>
    </w:p>
    <w:p w14:paraId="544241DC" w14:textId="77777777" w:rsidR="00493612" w:rsidRDefault="00493612">
      <w:pPr>
        <w:pStyle w:val="Standard"/>
      </w:pPr>
      <w:r>
        <w:t xml:space="preserve">La couche virtuelle, elle, correspond aux données ou aux services virtualisés à l’aide de conteneurs Docker. </w:t>
      </w:r>
    </w:p>
    <w:p w14:paraId="36AD7B64" w14:textId="23C4E998" w:rsidR="00493612" w:rsidRDefault="00493612">
      <w:pPr>
        <w:pStyle w:val="Standard"/>
      </w:pPr>
      <w:r>
        <w:t>Dans le cadre d’un changement de fournisseur cloud (exemple : passage de Amazon AWS au cloud OVH), la couche virtuelle devra et pourra être redéployée sans difficultés. Il y a donc plus de réelle dépendances complexes avec le fournisseur de l’infrastructure,</w:t>
      </w:r>
    </w:p>
    <w:p w14:paraId="5C6077C6" w14:textId="77777777" w:rsidR="00493612" w:rsidRDefault="00493612">
      <w:pPr>
        <w:pStyle w:val="Titre1"/>
        <w:keepNext w:val="0"/>
        <w:keepLines w:val="0"/>
        <w:pBdr>
          <w:bottom w:val="single" w:sz="6" w:space="6" w:color="EAECEF"/>
        </w:pBdr>
        <w:shd w:val="clear" w:color="auto" w:fill="FFFFFF"/>
        <w:spacing w:before="360" w:after="240"/>
        <w:ind w:left="-300"/>
        <w:rPr>
          <w:b/>
          <w:color w:val="24292E"/>
          <w:sz w:val="46"/>
          <w:szCs w:val="46"/>
        </w:rPr>
      </w:pPr>
      <w:bookmarkStart w:id="4" w:name="_ev4tmlfbfv9r"/>
      <w:bookmarkEnd w:id="4"/>
    </w:p>
    <w:p w14:paraId="00379ACD" w14:textId="20FD3235" w:rsidR="00C10478" w:rsidRDefault="00934FCF">
      <w:pPr>
        <w:pStyle w:val="Titre1"/>
        <w:keepNext w:val="0"/>
        <w:keepLines w:val="0"/>
        <w:pBdr>
          <w:bottom w:val="single" w:sz="6" w:space="6" w:color="EAECEF"/>
        </w:pBdr>
        <w:shd w:val="clear" w:color="auto" w:fill="FFFFFF"/>
        <w:spacing w:before="360" w:after="240"/>
        <w:ind w:left="-300"/>
        <w:rPr>
          <w:b/>
          <w:color w:val="24292E"/>
          <w:sz w:val="46"/>
          <w:szCs w:val="46"/>
        </w:rPr>
      </w:pPr>
      <w:r>
        <w:rPr>
          <w:b/>
          <w:color w:val="24292E"/>
          <w:sz w:val="46"/>
          <w:szCs w:val="46"/>
        </w:rPr>
        <w:t>Conditions requises pour le management</w:t>
      </w:r>
      <w:r w:rsidR="00493612">
        <w:rPr>
          <w:b/>
          <w:color w:val="24292E"/>
          <w:sz w:val="46"/>
          <w:szCs w:val="46"/>
        </w:rPr>
        <w:t xml:space="preserve"> </w:t>
      </w:r>
      <w:r>
        <w:rPr>
          <w:b/>
          <w:color w:val="24292E"/>
          <w:sz w:val="46"/>
          <w:szCs w:val="46"/>
        </w:rPr>
        <w:t>du service IT</w:t>
      </w:r>
    </w:p>
    <w:p w14:paraId="2C7BE6EF" w14:textId="46776745" w:rsidR="00493612" w:rsidRDefault="00493612" w:rsidP="00493612">
      <w:pPr>
        <w:pStyle w:val="Standard"/>
      </w:pPr>
      <w:r>
        <w:t>Le management du service IT, au-delà du développement et à la suite du projet devrait, dans l’idéal, respecter des bonnes pratiques de qualité (standard ISO 9001)</w:t>
      </w:r>
      <w:r>
        <w:t>.</w:t>
      </w:r>
    </w:p>
    <w:p w14:paraId="6DC1984E" w14:textId="77777777" w:rsidR="00493612" w:rsidRDefault="00493612" w:rsidP="00493612">
      <w:pPr>
        <w:pStyle w:val="Standard"/>
      </w:pPr>
    </w:p>
    <w:p w14:paraId="279C2853" w14:textId="77777777" w:rsidR="00DC577F" w:rsidRDefault="00493612" w:rsidP="00493612">
      <w:pPr>
        <w:pStyle w:val="Standard"/>
      </w:pPr>
      <w:r>
        <w:t xml:space="preserve">Cette norme est la norme internationale sur les services de gestion IT, permettant aux entreprise IT de garantir que leur processus de gestion IT sont conformes aux besoins de l’entreprise et aux bonnes pratiques internationales. </w:t>
      </w:r>
    </w:p>
    <w:p w14:paraId="6B0640DD" w14:textId="77777777" w:rsidR="00DC577F" w:rsidRDefault="00DC577F" w:rsidP="00493612">
      <w:pPr>
        <w:pStyle w:val="Standard"/>
      </w:pPr>
    </w:p>
    <w:p w14:paraId="3557D75F" w14:textId="77777777" w:rsidR="00DC577F" w:rsidRDefault="00493612" w:rsidP="00493612">
      <w:pPr>
        <w:pStyle w:val="Standard"/>
      </w:pPr>
      <w:r>
        <w:t xml:space="preserve">De ce fait, le management du service IT devra répondre aux critères suivants : </w:t>
      </w:r>
    </w:p>
    <w:p w14:paraId="19956D29" w14:textId="77777777" w:rsidR="00DC577F" w:rsidRDefault="00DC577F" w:rsidP="00493612">
      <w:pPr>
        <w:pStyle w:val="Standard"/>
      </w:pPr>
    </w:p>
    <w:p w14:paraId="79CBE44A" w14:textId="77777777" w:rsidR="00DC577F" w:rsidRDefault="00493612" w:rsidP="00493612">
      <w:pPr>
        <w:pStyle w:val="Standard"/>
      </w:pPr>
      <w:r>
        <w:t>• Orientation client : Les processus utilisés prennent en compte l’environnement « business »</w:t>
      </w:r>
    </w:p>
    <w:p w14:paraId="4A7F1E7F" w14:textId="77777777" w:rsidR="00DC577F" w:rsidRDefault="00DC577F" w:rsidP="00493612">
      <w:pPr>
        <w:pStyle w:val="Standard"/>
      </w:pPr>
    </w:p>
    <w:p w14:paraId="68AEC42C" w14:textId="77777777" w:rsidR="00DC577F" w:rsidRDefault="00493612" w:rsidP="00493612">
      <w:pPr>
        <w:pStyle w:val="Standard"/>
      </w:pPr>
      <w:r>
        <w:t xml:space="preserve"> • Leadership : La direction doit faire preuve de son engagement. Il peut lui être demandé un arbitrage dans des problématiques techniques</w:t>
      </w:r>
    </w:p>
    <w:p w14:paraId="4CCB0953" w14:textId="77777777" w:rsidR="00DC577F" w:rsidRDefault="00DC577F" w:rsidP="00493612">
      <w:pPr>
        <w:pStyle w:val="Standard"/>
      </w:pPr>
    </w:p>
    <w:p w14:paraId="29A7DBBD" w14:textId="77777777" w:rsidR="00DC577F" w:rsidRDefault="00493612" w:rsidP="00493612">
      <w:pPr>
        <w:pStyle w:val="Standard"/>
      </w:pPr>
      <w:r>
        <w:t xml:space="preserve">• Participation du personnel : Chaque parties prenantes doivent être engagées et responsabilisées </w:t>
      </w:r>
    </w:p>
    <w:p w14:paraId="16BEACBC" w14:textId="77777777" w:rsidR="00DC577F" w:rsidRDefault="00DC577F" w:rsidP="00493612">
      <w:pPr>
        <w:pStyle w:val="Standard"/>
      </w:pPr>
    </w:p>
    <w:p w14:paraId="6DA985AD" w14:textId="27A597D6" w:rsidR="00493612" w:rsidRPr="00493612" w:rsidRDefault="00493612" w:rsidP="00493612">
      <w:pPr>
        <w:pStyle w:val="Standard"/>
      </w:pPr>
      <w:r>
        <w:t>• Approche processus : Les processus et les responsabilités doivent être définie pour pouvoir atteindre les objectifs</w:t>
      </w:r>
    </w:p>
    <w:p w14:paraId="703A4EA9" w14:textId="2BF5606B" w:rsidR="00C10478" w:rsidRDefault="00C10478">
      <w:pPr>
        <w:pStyle w:val="Standard"/>
      </w:pPr>
    </w:p>
    <w:p w14:paraId="15A16517" w14:textId="77777777" w:rsidR="00DC577F" w:rsidRDefault="00DC577F">
      <w:pPr>
        <w:pStyle w:val="Standard"/>
      </w:pPr>
      <w:r>
        <w:t xml:space="preserve">• Approche système à la gestionnaire : L’entièreté des activités doivent être couvertes par les processus. Pas seulement l’IT </w:t>
      </w:r>
    </w:p>
    <w:p w14:paraId="54A9115A" w14:textId="77777777" w:rsidR="00DC577F" w:rsidRDefault="00DC577F">
      <w:pPr>
        <w:pStyle w:val="Standard"/>
      </w:pPr>
    </w:p>
    <w:p w14:paraId="556034D6" w14:textId="77777777" w:rsidR="00DC577F" w:rsidRDefault="00DC577F">
      <w:pPr>
        <w:pStyle w:val="Standard"/>
      </w:pPr>
      <w:r>
        <w:t xml:space="preserve">• Amélioration continue : L’organisation doit continuellement améliorer l’efficacité et le rendement de son système, via des objectifs de gestion, des audits, des actions préventives... </w:t>
      </w:r>
    </w:p>
    <w:p w14:paraId="03F22E63" w14:textId="77777777" w:rsidR="00DC577F" w:rsidRDefault="00DC577F">
      <w:pPr>
        <w:pStyle w:val="Standard"/>
      </w:pPr>
    </w:p>
    <w:p w14:paraId="40267405" w14:textId="77777777" w:rsidR="00DC577F" w:rsidRDefault="00DC577F">
      <w:pPr>
        <w:pStyle w:val="Standard"/>
      </w:pPr>
      <w:r>
        <w:t xml:space="preserve">• Approche objective à la prise de décision : Les décisions doivent être prise de manière objective, en se basant sur des faits ou des données chiffrées (KPI) </w:t>
      </w:r>
    </w:p>
    <w:p w14:paraId="3EE44742" w14:textId="77777777" w:rsidR="00DC577F" w:rsidRDefault="00DC577F">
      <w:pPr>
        <w:pStyle w:val="Standard"/>
      </w:pPr>
    </w:p>
    <w:p w14:paraId="7F80C494" w14:textId="1E3DAB60" w:rsidR="00DC577F" w:rsidRDefault="00DC577F">
      <w:pPr>
        <w:pStyle w:val="Standard"/>
      </w:pPr>
      <w:r>
        <w:t>• Relations mutuellement favorables entre fournisseurs : La relation entre les prestataires de service et ses fournisseurs doit être de qualité et sans failles</w:t>
      </w:r>
    </w:p>
    <w:p w14:paraId="07E89F56" w14:textId="77777777" w:rsidR="00C10478" w:rsidRDefault="00934FCF">
      <w:pPr>
        <w:pStyle w:val="Titre1"/>
        <w:keepNext w:val="0"/>
        <w:keepLines w:val="0"/>
        <w:pBdr>
          <w:bottom w:val="single" w:sz="6" w:space="6" w:color="EAECEF"/>
        </w:pBdr>
        <w:shd w:val="clear" w:color="auto" w:fill="FFFFFF"/>
        <w:spacing w:before="360" w:after="240"/>
        <w:ind w:left="-300"/>
      </w:pPr>
      <w:bookmarkStart w:id="5" w:name="_4xpmve5ww839"/>
      <w:bookmarkEnd w:id="5"/>
      <w:r>
        <w:rPr>
          <w:b/>
          <w:color w:val="24292E"/>
          <w:sz w:val="46"/>
          <w:szCs w:val="46"/>
        </w:rPr>
        <w:t>Contraintes</w:t>
      </w:r>
    </w:p>
    <w:p w14:paraId="4BD65B87" w14:textId="77777777" w:rsidR="00DC577F" w:rsidRDefault="00DC577F">
      <w:pPr>
        <w:pStyle w:val="Standard"/>
      </w:pPr>
      <w:r>
        <w:t xml:space="preserve">Ci-après figure une liste des contraintes relatives au projet approuvé : </w:t>
      </w:r>
    </w:p>
    <w:p w14:paraId="3040C199" w14:textId="77777777" w:rsidR="00DC577F" w:rsidRDefault="00DC577F">
      <w:pPr>
        <w:pStyle w:val="Standard"/>
      </w:pPr>
      <w:r>
        <w:t xml:space="preserve">• Le projet initial est approuvé pour un coût de 50 000 USD (45 190 €) et une période de 6 mois est prévue pour définir l'architecture et préparer un projet de-suivi afin de développer un prototype. </w:t>
      </w:r>
    </w:p>
    <w:p w14:paraId="7476F1DF" w14:textId="77777777" w:rsidR="00DC577F" w:rsidRDefault="00DC577F">
      <w:pPr>
        <w:pStyle w:val="Standard"/>
      </w:pPr>
    </w:p>
    <w:p w14:paraId="13BB0357" w14:textId="3F4FD3A3" w:rsidR="00DC577F" w:rsidRDefault="00DC577F">
      <w:pPr>
        <w:pStyle w:val="Standard"/>
      </w:pPr>
      <w:r>
        <w:t>• L'architecture doit permettre d'obtenir le meilleur rapport qualité-coût.</w:t>
      </w:r>
    </w:p>
    <w:p w14:paraId="14B45693" w14:textId="77777777" w:rsidR="00DC577F" w:rsidRDefault="00DC577F">
      <w:pPr>
        <w:pStyle w:val="Standard"/>
      </w:pPr>
    </w:p>
    <w:p w14:paraId="7AB8CE03" w14:textId="77777777" w:rsidR="00AF01B9" w:rsidRDefault="00DC577F" w:rsidP="00AF01B9">
      <w:pPr>
        <w:pStyle w:val="Standard"/>
      </w:pPr>
      <w:r>
        <w:t xml:space="preserve"> • L'architecture peut inclure de nouveaux composants personnalisés ou des composants du commerce pour favoriser la flexibilité, la stabilité et l'extensibilité.</w:t>
      </w:r>
      <w:bookmarkStart w:id="6" w:name="_pj75b1mbwiw1"/>
      <w:bookmarkEnd w:id="6"/>
    </w:p>
    <w:p w14:paraId="6AD238DA" w14:textId="77777777" w:rsidR="00AF01B9" w:rsidRDefault="00AF01B9" w:rsidP="00AF01B9">
      <w:pPr>
        <w:pStyle w:val="Standard"/>
        <w:rPr>
          <w:b/>
          <w:color w:val="24292E"/>
          <w:sz w:val="46"/>
          <w:szCs w:val="46"/>
        </w:rPr>
      </w:pPr>
    </w:p>
    <w:p w14:paraId="5557E726" w14:textId="1EC44686" w:rsidR="00C10478" w:rsidRPr="00AF01B9" w:rsidRDefault="00934FCF" w:rsidP="00AF01B9">
      <w:pPr>
        <w:pStyle w:val="Standard"/>
      </w:pPr>
      <w:r>
        <w:rPr>
          <w:b/>
          <w:color w:val="24292E"/>
          <w:sz w:val="46"/>
          <w:szCs w:val="46"/>
        </w:rPr>
        <w:t>Hypothèses</w:t>
      </w:r>
    </w:p>
    <w:tbl>
      <w:tblPr>
        <w:tblStyle w:val="TableauGrille1Clair-Accentuation6"/>
        <w:tblW w:w="0" w:type="auto"/>
        <w:tblLook w:val="04A0" w:firstRow="1" w:lastRow="0" w:firstColumn="1" w:lastColumn="0" w:noHBand="0" w:noVBand="1"/>
      </w:tblPr>
      <w:tblGrid>
        <w:gridCol w:w="3116"/>
        <w:gridCol w:w="3117"/>
        <w:gridCol w:w="3117"/>
      </w:tblGrid>
      <w:tr w:rsidR="00DC577F" w14:paraId="1DA7F99D" w14:textId="77777777" w:rsidTr="00DC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10A0F2" w14:textId="3FAA2DDD" w:rsidR="00DC577F" w:rsidRDefault="00DC577F" w:rsidP="00DC577F">
            <w:pPr>
              <w:pStyle w:val="Standard"/>
              <w:jc w:val="center"/>
            </w:pPr>
            <w:r>
              <w:lastRenderedPageBreak/>
              <w:t>ID</w:t>
            </w:r>
          </w:p>
        </w:tc>
        <w:tc>
          <w:tcPr>
            <w:tcW w:w="3117" w:type="dxa"/>
          </w:tcPr>
          <w:p w14:paraId="13FB3CEF" w14:textId="09A61B80" w:rsidR="00DC577F" w:rsidRDefault="00DC577F" w:rsidP="00DC577F">
            <w:pPr>
              <w:pStyle w:val="Standard"/>
              <w:jc w:val="center"/>
              <w:cnfStyle w:val="100000000000" w:firstRow="1" w:lastRow="0" w:firstColumn="0" w:lastColumn="0" w:oddVBand="0" w:evenVBand="0" w:oddHBand="0" w:evenHBand="0" w:firstRowFirstColumn="0" w:firstRowLastColumn="0" w:lastRowFirstColumn="0" w:lastRowLastColumn="0"/>
            </w:pPr>
            <w:r>
              <w:t>Hypothèse</w:t>
            </w:r>
          </w:p>
        </w:tc>
        <w:tc>
          <w:tcPr>
            <w:tcW w:w="3117" w:type="dxa"/>
          </w:tcPr>
          <w:p w14:paraId="285D4836" w14:textId="499BC7ED" w:rsidR="00DC577F" w:rsidRDefault="00DC577F" w:rsidP="00DC577F">
            <w:pPr>
              <w:pStyle w:val="Standard"/>
              <w:jc w:val="center"/>
              <w:cnfStyle w:val="100000000000" w:firstRow="1" w:lastRow="0" w:firstColumn="0" w:lastColumn="0" w:oddVBand="0" w:evenVBand="0" w:oddHBand="0" w:evenHBand="0" w:firstRowFirstColumn="0" w:firstRowLastColumn="0" w:lastRowFirstColumn="0" w:lastRowLastColumn="0"/>
            </w:pPr>
            <w:r>
              <w:t>Impact</w:t>
            </w:r>
          </w:p>
        </w:tc>
      </w:tr>
      <w:tr w:rsidR="00DC577F" w14:paraId="58E99E78"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501FC623" w14:textId="396C8975" w:rsidR="00DC577F" w:rsidRDefault="00DC577F" w:rsidP="00DC577F">
            <w:pPr>
              <w:pStyle w:val="Standard"/>
              <w:jc w:val="center"/>
            </w:pPr>
            <w:r>
              <w:t>0</w:t>
            </w:r>
          </w:p>
        </w:tc>
        <w:tc>
          <w:tcPr>
            <w:tcW w:w="3117" w:type="dxa"/>
          </w:tcPr>
          <w:p w14:paraId="6E011F34" w14:textId="6A1CEEE9" w:rsidR="00DC577F" w:rsidRDefault="00DC577F">
            <w:pPr>
              <w:pStyle w:val="Standard"/>
              <w:cnfStyle w:val="000000000000" w:firstRow="0" w:lastRow="0" w:firstColumn="0" w:lastColumn="0" w:oddVBand="0" w:evenVBand="0" w:oddHBand="0" w:evenHBand="0" w:firstRowFirstColumn="0" w:firstRowLastColumn="0" w:lastRowFirstColumn="0" w:lastRowLastColumn="0"/>
            </w:pPr>
            <w:r>
              <w:t>Aucune nouvelle fonctionnalité ne sera développée</w:t>
            </w:r>
            <w:r w:rsidR="00AF01B9">
              <w:t>.</w:t>
            </w:r>
          </w:p>
        </w:tc>
        <w:tc>
          <w:tcPr>
            <w:tcW w:w="3117" w:type="dxa"/>
          </w:tcPr>
          <w:p w14:paraId="5DB8FFC5" w14:textId="77777777" w:rsidR="00DC577F" w:rsidRDefault="00DC577F">
            <w:pPr>
              <w:pStyle w:val="Standard"/>
              <w:cnfStyle w:val="000000000000" w:firstRow="0" w:lastRow="0" w:firstColumn="0" w:lastColumn="0" w:oddVBand="0" w:evenVBand="0" w:oddHBand="0" w:evenHBand="0" w:firstRowFirstColumn="0" w:firstRowLastColumn="0" w:lastRowFirstColumn="0" w:lastRowLastColumn="0"/>
            </w:pPr>
            <w:r>
              <w:t xml:space="preserve">Obligation de garder l’ancien système en mode de maintenance. </w:t>
            </w:r>
          </w:p>
          <w:p w14:paraId="2FCD7991" w14:textId="77777777" w:rsidR="00DC577F" w:rsidRDefault="00DC577F">
            <w:pPr>
              <w:pStyle w:val="Standard"/>
              <w:cnfStyle w:val="000000000000" w:firstRow="0" w:lastRow="0" w:firstColumn="0" w:lastColumn="0" w:oddVBand="0" w:evenVBand="0" w:oddHBand="0" w:evenHBand="0" w:firstRowFirstColumn="0" w:firstRowLastColumn="0" w:lastRowFirstColumn="0" w:lastRowLastColumn="0"/>
            </w:pPr>
          </w:p>
          <w:p w14:paraId="3C16FCB6" w14:textId="54FAEACF" w:rsidR="00DC577F" w:rsidRDefault="00DC577F">
            <w:pPr>
              <w:pStyle w:val="Standard"/>
              <w:cnfStyle w:val="000000000000" w:firstRow="0" w:lastRow="0" w:firstColumn="0" w:lastColumn="0" w:oddVBand="0" w:evenVBand="0" w:oddHBand="0" w:evenHBand="0" w:firstRowFirstColumn="0" w:firstRowLastColumn="0" w:lastRowFirstColumn="0" w:lastRowLastColumn="0"/>
            </w:pPr>
            <w:r>
              <w:t xml:space="preserve">Chaque </w:t>
            </w:r>
            <w:proofErr w:type="spellStart"/>
            <w:r>
              <w:t>microservice</w:t>
            </w:r>
            <w:proofErr w:type="spellEnd"/>
            <w:r>
              <w:t xml:space="preserve"> ajoutés devront prendre le pas sur l’ancienne plateforme</w:t>
            </w:r>
          </w:p>
        </w:tc>
      </w:tr>
      <w:tr w:rsidR="00DC577F" w14:paraId="0351D64D"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15713EF5" w14:textId="6CC58AAC" w:rsidR="00DC577F" w:rsidRDefault="00AF01B9" w:rsidP="00DC577F">
            <w:pPr>
              <w:pStyle w:val="Standard"/>
              <w:jc w:val="center"/>
            </w:pPr>
            <w:r>
              <w:t>1</w:t>
            </w:r>
          </w:p>
        </w:tc>
        <w:tc>
          <w:tcPr>
            <w:tcW w:w="3117" w:type="dxa"/>
          </w:tcPr>
          <w:p w14:paraId="3488FCEB" w14:textId="47CD6B8A" w:rsidR="00DC577F" w:rsidRDefault="00AF01B9">
            <w:pPr>
              <w:pStyle w:val="Standard"/>
              <w:cnfStyle w:val="000000000000" w:firstRow="0" w:lastRow="0" w:firstColumn="0" w:lastColumn="0" w:oddVBand="0" w:evenVBand="0" w:oddHBand="0" w:evenHBand="0" w:firstRowFirstColumn="0" w:firstRowLastColumn="0" w:lastRowFirstColumn="0" w:lastRowLastColumn="0"/>
            </w:pPr>
            <w:r>
              <w:t>I</w:t>
            </w:r>
            <w:r>
              <w:t>mpact environnemental</w:t>
            </w:r>
          </w:p>
        </w:tc>
        <w:tc>
          <w:tcPr>
            <w:tcW w:w="3117" w:type="dxa"/>
          </w:tcPr>
          <w:p w14:paraId="065B9AE4" w14:textId="41A11C24" w:rsidR="00DC577F" w:rsidRDefault="00AF01B9">
            <w:pPr>
              <w:pStyle w:val="Standard"/>
              <w:cnfStyle w:val="000000000000" w:firstRow="0" w:lastRow="0" w:firstColumn="0" w:lastColumn="0" w:oddVBand="0" w:evenVBand="0" w:oddHBand="0" w:evenHBand="0" w:firstRowFirstColumn="0" w:firstRowLastColumn="0" w:lastRowFirstColumn="0" w:lastRowLastColumn="0"/>
            </w:pPr>
            <w:r>
              <w:t xml:space="preserve">Développement respectant </w:t>
            </w:r>
            <w:r>
              <w:t>les bonnes pratiques</w:t>
            </w:r>
            <w:r>
              <w:t xml:space="preserve"> et s’incluant dans une démarche Green I</w:t>
            </w:r>
          </w:p>
        </w:tc>
      </w:tr>
      <w:tr w:rsidR="00DC577F" w14:paraId="57648631"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759707A9" w14:textId="52C0ED16" w:rsidR="00DC577F" w:rsidRDefault="00AF01B9" w:rsidP="00DC577F">
            <w:pPr>
              <w:pStyle w:val="Standard"/>
              <w:jc w:val="center"/>
            </w:pPr>
            <w:r>
              <w:t>2</w:t>
            </w:r>
          </w:p>
        </w:tc>
        <w:tc>
          <w:tcPr>
            <w:tcW w:w="3117" w:type="dxa"/>
          </w:tcPr>
          <w:p w14:paraId="3E0DC75F" w14:textId="40F7BCD0" w:rsidR="00DC577F" w:rsidRDefault="00AF01B9">
            <w:pPr>
              <w:pStyle w:val="Standard"/>
              <w:cnfStyle w:val="000000000000" w:firstRow="0" w:lastRow="0" w:firstColumn="0" w:lastColumn="0" w:oddVBand="0" w:evenVBand="0" w:oddHBand="0" w:evenHBand="0" w:firstRowFirstColumn="0" w:firstRowLastColumn="0" w:lastRowFirstColumn="0" w:lastRowLastColumn="0"/>
            </w:pPr>
            <w:r>
              <w:t>Nouvelles fonctionnalités introduites grâce à la géolocalisation</w:t>
            </w:r>
          </w:p>
        </w:tc>
        <w:tc>
          <w:tcPr>
            <w:tcW w:w="3117" w:type="dxa"/>
          </w:tcPr>
          <w:p w14:paraId="31A66459" w14:textId="7AB520ED" w:rsidR="00DC577F" w:rsidRDefault="00AF01B9">
            <w:pPr>
              <w:pStyle w:val="Standard"/>
              <w:cnfStyle w:val="000000000000" w:firstRow="0" w:lastRow="0" w:firstColumn="0" w:lastColumn="0" w:oddVBand="0" w:evenVBand="0" w:oddHBand="0" w:evenHBand="0" w:firstRowFirstColumn="0" w:firstRowLastColumn="0" w:lastRowFirstColumn="0" w:lastRowLastColumn="0"/>
            </w:pPr>
            <w:r>
              <w:t xml:space="preserve">L’architecture en </w:t>
            </w:r>
            <w:proofErr w:type="gramStart"/>
            <w:r>
              <w:t>micro service</w:t>
            </w:r>
            <w:proofErr w:type="gramEnd"/>
            <w:r>
              <w:t xml:space="preserve"> rend l’ajout de nouvelles fonctionnalité totalement possible, sans interruption de service, et permet l’innovation</w:t>
            </w:r>
          </w:p>
        </w:tc>
      </w:tr>
      <w:tr w:rsidR="00DC577F" w14:paraId="5908A195"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467CFA2A" w14:textId="1DDBE98D" w:rsidR="00DC577F" w:rsidRDefault="00DC577F" w:rsidP="00DC577F">
            <w:pPr>
              <w:pStyle w:val="Standard"/>
              <w:jc w:val="center"/>
            </w:pPr>
          </w:p>
        </w:tc>
        <w:tc>
          <w:tcPr>
            <w:tcW w:w="3117" w:type="dxa"/>
          </w:tcPr>
          <w:p w14:paraId="4395FA78" w14:textId="67E6CFF4" w:rsidR="00DC577F" w:rsidRDefault="00AF01B9">
            <w:pPr>
              <w:pStyle w:val="Standard"/>
              <w:cnfStyle w:val="000000000000" w:firstRow="0" w:lastRow="0" w:firstColumn="0" w:lastColumn="0" w:oddVBand="0" w:evenVBand="0" w:oddHBand="0" w:evenHBand="0" w:firstRowFirstColumn="0" w:firstRowLastColumn="0" w:lastRowFirstColumn="0" w:lastRowLastColumn="0"/>
            </w:pPr>
            <w:r>
              <w:t>Montée en puissance empirique du volume d’utilisateur qui migrerons vers la nouvelle plateforme</w:t>
            </w:r>
          </w:p>
        </w:tc>
        <w:tc>
          <w:tcPr>
            <w:tcW w:w="3117" w:type="dxa"/>
          </w:tcPr>
          <w:p w14:paraId="6BB6A5EF" w14:textId="5F42DF8E" w:rsidR="00DC577F" w:rsidRDefault="00AF01B9">
            <w:pPr>
              <w:pStyle w:val="Standard"/>
              <w:cnfStyle w:val="000000000000" w:firstRow="0" w:lastRow="0" w:firstColumn="0" w:lastColumn="0" w:oddVBand="0" w:evenVBand="0" w:oddHBand="0" w:evenHBand="0" w:firstRowFirstColumn="0" w:firstRowLastColumn="0" w:lastRowFirstColumn="0" w:lastRowLastColumn="0"/>
            </w:pPr>
            <w:r>
              <w:t xml:space="preserve">Chaque </w:t>
            </w:r>
            <w:proofErr w:type="gramStart"/>
            <w:r>
              <w:t>micro service</w:t>
            </w:r>
            <w:proofErr w:type="gramEnd"/>
            <w:r>
              <w:t xml:space="preserve"> devra être en capacité de travailler avec l’ancien système Les utilisateurs devront pouvoir être migrés fonctionnalité par fonctionnalité</w:t>
            </w:r>
          </w:p>
        </w:tc>
      </w:tr>
      <w:tr w:rsidR="00DC577F" w14:paraId="1377E10C"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3B2BB05D" w14:textId="2050916D" w:rsidR="00DC577F" w:rsidRDefault="00AF01B9" w:rsidP="00DC577F">
            <w:pPr>
              <w:pStyle w:val="Standard"/>
              <w:jc w:val="center"/>
            </w:pPr>
            <w:r>
              <w:t xml:space="preserve">4  </w:t>
            </w:r>
          </w:p>
        </w:tc>
        <w:tc>
          <w:tcPr>
            <w:tcW w:w="3117" w:type="dxa"/>
          </w:tcPr>
          <w:p w14:paraId="1619B475" w14:textId="388F91CB" w:rsidR="00DC577F" w:rsidRDefault="00AF01B9">
            <w:pPr>
              <w:pStyle w:val="Standard"/>
              <w:cnfStyle w:val="000000000000" w:firstRow="0" w:lastRow="0" w:firstColumn="0" w:lastColumn="0" w:oddVBand="0" w:evenVBand="0" w:oddHBand="0" w:evenHBand="0" w:firstRowFirstColumn="0" w:firstRowLastColumn="0" w:lastRowFirstColumn="0" w:lastRowLastColumn="0"/>
            </w:pPr>
            <w:r>
              <w:t>Approche architecturale type Lean</w:t>
            </w:r>
          </w:p>
        </w:tc>
        <w:tc>
          <w:tcPr>
            <w:tcW w:w="3117" w:type="dxa"/>
          </w:tcPr>
          <w:p w14:paraId="732CA9B8" w14:textId="1E2CA117" w:rsidR="00DC577F" w:rsidRDefault="00AF01B9">
            <w:pPr>
              <w:pStyle w:val="Standard"/>
              <w:cnfStyle w:val="000000000000" w:firstRow="0" w:lastRow="0" w:firstColumn="0" w:lastColumn="0" w:oddVBand="0" w:evenVBand="0" w:oddHBand="0" w:evenHBand="0" w:firstRowFirstColumn="0" w:firstRowLastColumn="0" w:lastRowFirstColumn="0" w:lastRowLastColumn="0"/>
            </w:pPr>
            <w:r>
              <w:t>Une approche mêlant Lean et Agile, mais totalement sur mesure pour être adapté aux équipes et au projet sera mise en place</w:t>
            </w:r>
          </w:p>
        </w:tc>
      </w:tr>
      <w:tr w:rsidR="00AF01B9" w14:paraId="7C66421B" w14:textId="77777777" w:rsidTr="00DC577F">
        <w:tc>
          <w:tcPr>
            <w:cnfStyle w:val="001000000000" w:firstRow="0" w:lastRow="0" w:firstColumn="1" w:lastColumn="0" w:oddVBand="0" w:evenVBand="0" w:oddHBand="0" w:evenHBand="0" w:firstRowFirstColumn="0" w:firstRowLastColumn="0" w:lastRowFirstColumn="0" w:lastRowLastColumn="0"/>
            <w:tcW w:w="3116" w:type="dxa"/>
          </w:tcPr>
          <w:p w14:paraId="7CC716D3" w14:textId="7A02F885" w:rsidR="00AF01B9" w:rsidRDefault="00AF01B9" w:rsidP="00DC577F">
            <w:pPr>
              <w:pStyle w:val="Standard"/>
              <w:jc w:val="center"/>
            </w:pPr>
            <w:r>
              <w:t>5</w:t>
            </w:r>
          </w:p>
        </w:tc>
        <w:tc>
          <w:tcPr>
            <w:tcW w:w="3117" w:type="dxa"/>
          </w:tcPr>
          <w:p w14:paraId="7CC3AA6A" w14:textId="4400058E" w:rsidR="00AF01B9" w:rsidRDefault="00AF01B9">
            <w:pPr>
              <w:pStyle w:val="Standard"/>
              <w:cnfStyle w:val="000000000000" w:firstRow="0" w:lastRow="0" w:firstColumn="0" w:lastColumn="0" w:oddVBand="0" w:evenVBand="0" w:oddHBand="0" w:evenHBand="0" w:firstRowFirstColumn="0" w:firstRowLastColumn="0" w:lastRowFirstColumn="0" w:lastRowLastColumn="0"/>
            </w:pPr>
            <w:r>
              <w:t>Technologies actuelles et capacité à s’adapter aux technologies futures</w:t>
            </w:r>
          </w:p>
        </w:tc>
        <w:tc>
          <w:tcPr>
            <w:tcW w:w="3117" w:type="dxa"/>
          </w:tcPr>
          <w:p w14:paraId="6085A349" w14:textId="5534F33E" w:rsidR="00AF01B9" w:rsidRDefault="00AF01B9">
            <w:pPr>
              <w:pStyle w:val="Standard"/>
              <w:cnfStyle w:val="000000000000" w:firstRow="0" w:lastRow="0" w:firstColumn="0" w:lastColumn="0" w:oddVBand="0" w:evenVBand="0" w:oddHBand="0" w:evenHBand="0" w:firstRowFirstColumn="0" w:firstRowLastColumn="0" w:lastRowFirstColumn="0" w:lastRowLastColumn="0"/>
            </w:pPr>
            <w:r>
              <w:t xml:space="preserve">L’architecture devra </w:t>
            </w:r>
            <w:proofErr w:type="gramStart"/>
            <w:r>
              <w:t>être en capacité</w:t>
            </w:r>
            <w:proofErr w:type="gramEnd"/>
            <w:r>
              <w:t xml:space="preserve"> d’accepter l’utilisation de technologies non existantes actuellement. </w:t>
            </w:r>
          </w:p>
          <w:p w14:paraId="24C21F37" w14:textId="77777777" w:rsidR="00AF01B9" w:rsidRDefault="00AF01B9">
            <w:pPr>
              <w:pStyle w:val="Standard"/>
              <w:cnfStyle w:val="000000000000" w:firstRow="0" w:lastRow="0" w:firstColumn="0" w:lastColumn="0" w:oddVBand="0" w:evenVBand="0" w:oddHBand="0" w:evenHBand="0" w:firstRowFirstColumn="0" w:firstRowLastColumn="0" w:lastRowFirstColumn="0" w:lastRowLastColumn="0"/>
            </w:pPr>
          </w:p>
          <w:p w14:paraId="796D97D2" w14:textId="24A093F1" w:rsidR="00AF01B9" w:rsidRDefault="00AF01B9">
            <w:pPr>
              <w:pStyle w:val="Standard"/>
              <w:cnfStyle w:val="000000000000" w:firstRow="0" w:lastRow="0" w:firstColumn="0" w:lastColumn="0" w:oddVBand="0" w:evenVBand="0" w:oddHBand="0" w:evenHBand="0" w:firstRowFirstColumn="0" w:firstRowLastColumn="0" w:lastRowFirstColumn="0" w:lastRowLastColumn="0"/>
            </w:pPr>
            <w:r>
              <w:t>L</w:t>
            </w:r>
            <w:r>
              <w:t xml:space="preserve">’usage </w:t>
            </w:r>
            <w:r>
              <w:t>d</w:t>
            </w:r>
            <w:r>
              <w:t xml:space="preserve">e </w:t>
            </w:r>
            <w:proofErr w:type="gramStart"/>
            <w:r>
              <w:t>micro service</w:t>
            </w:r>
            <w:proofErr w:type="gramEnd"/>
            <w:r>
              <w:t xml:space="preserve"> permet de séparer chaque fonctionnalités, qui deviens totalement indépendante</w:t>
            </w:r>
            <w:r>
              <w:t>.</w:t>
            </w:r>
          </w:p>
        </w:tc>
      </w:tr>
    </w:tbl>
    <w:p w14:paraId="284B92D2" w14:textId="77777777" w:rsidR="00C10478" w:rsidRDefault="00C10478">
      <w:pPr>
        <w:pStyle w:val="Standard"/>
      </w:pPr>
    </w:p>
    <w:sectPr w:rsidR="00C10478">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2E745" w14:textId="77777777" w:rsidR="00934FCF" w:rsidRDefault="00934FCF">
      <w:r>
        <w:separator/>
      </w:r>
    </w:p>
  </w:endnote>
  <w:endnote w:type="continuationSeparator" w:id="0">
    <w:p w14:paraId="6AA2E137" w14:textId="77777777" w:rsidR="00934FCF" w:rsidRDefault="0093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A14A" w14:textId="77777777" w:rsidR="00934FCF" w:rsidRDefault="00934FCF">
      <w:r>
        <w:rPr>
          <w:color w:val="000000"/>
        </w:rPr>
        <w:separator/>
      </w:r>
    </w:p>
  </w:footnote>
  <w:footnote w:type="continuationSeparator" w:id="0">
    <w:p w14:paraId="4E7B6DA3" w14:textId="77777777" w:rsidR="00934FCF" w:rsidRDefault="00934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71187"/>
    <w:multiLevelType w:val="multilevel"/>
    <w:tmpl w:val="3C8074B6"/>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4643F66"/>
    <w:multiLevelType w:val="hybridMultilevel"/>
    <w:tmpl w:val="4044C810"/>
    <w:lvl w:ilvl="0" w:tplc="168098D2">
      <w:start w:val="1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0770544">
    <w:abstractNumId w:val="0"/>
  </w:num>
  <w:num w:numId="2" w16cid:durableId="895239934">
    <w:abstractNumId w:val="0"/>
    <w:lvlOverride w:ilvl="0">
      <w:startOverride w:val="1"/>
    </w:lvlOverride>
  </w:num>
  <w:num w:numId="3" w16cid:durableId="46150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10478"/>
    <w:rsid w:val="000277E3"/>
    <w:rsid w:val="000A6348"/>
    <w:rsid w:val="00194CDD"/>
    <w:rsid w:val="00242A68"/>
    <w:rsid w:val="0024676D"/>
    <w:rsid w:val="002E03FA"/>
    <w:rsid w:val="003758E6"/>
    <w:rsid w:val="0040722F"/>
    <w:rsid w:val="00493612"/>
    <w:rsid w:val="00495EEF"/>
    <w:rsid w:val="004A45A2"/>
    <w:rsid w:val="005243EE"/>
    <w:rsid w:val="006C5A2B"/>
    <w:rsid w:val="007816BE"/>
    <w:rsid w:val="00934FCF"/>
    <w:rsid w:val="00AD3CAC"/>
    <w:rsid w:val="00AF01B9"/>
    <w:rsid w:val="00C10478"/>
    <w:rsid w:val="00C93852"/>
    <w:rsid w:val="00DC577F"/>
    <w:rsid w:val="00E328C3"/>
    <w:rsid w:val="00FC6BAF"/>
    <w:rsid w:val="00FF3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11BD"/>
  <w15:docId w15:val="{09EB3396-40FA-470D-A470-982CDF34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Grilledutableau">
    <w:name w:val="Table Grid"/>
    <w:basedOn w:val="TableauNormal"/>
    <w:uiPriority w:val="39"/>
    <w:rsid w:val="00407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40722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4491</TotalTime>
  <Pages>8</Pages>
  <Words>1931</Words>
  <Characters>10623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dc:creator>
  <cp:lastModifiedBy>Marie b</cp:lastModifiedBy>
  <cp:revision>7</cp:revision>
  <dcterms:created xsi:type="dcterms:W3CDTF">2022-06-24T07:38:00Z</dcterms:created>
  <dcterms:modified xsi:type="dcterms:W3CDTF">2022-06-27T10:19:00Z</dcterms:modified>
</cp:coreProperties>
</file>