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Certainly! Here's a structured plan for each notebook in Chapter 3, focusing on Shapely, GeoPandas, Xarray, Rasterio, PyProj, OSMnx, and OpenStreetMap: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1: Exploring Shapely for Geometric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Shapely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Brief overview of Shapely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Basic Geometric Operations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Creating Geometric Objects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Geometric Predicates (Contains, Intersects, etc.)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Geometric Transformations (Translation, Rotation, Scaling)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Spatial Analysis with Shapely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Union, Intersection, and Difference Operations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Buffering and Convex Hull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Real-world Application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Case study using Shapely for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Visualizations of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Summary of key Shapely functionalities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Transition to the next notebook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2: Geospatial Analysis with GeoPandas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GeoPandas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GeoPandas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Core Functionalities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Reading and Manipulating Geospatial DataFrames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Geometric Operations with GeoPandas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Plotting and Visualization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Basic Plots with GeoPandas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Advanced Visualization Techniques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Analytical Capabilities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Spatial Joins and Aggregations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Attribute Joins with GeoPandas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Real-world Application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Applying GeoPandas for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Visualizations of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Recap of GeoPandas capabilities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Introduction to Xarray in the next notebook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3: Environmental Analysis with Xarray and Rasterio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Xarray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Xarray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Working with Multi-dimensional Arrays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Basics of Xarray DataArrays and Datasets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Operations on Multi-dimensional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Introduction to Rasterio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Rasterio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Reading and Manipulating Raster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Environmental Analysis Case Study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Loading and Analyzing Environmental Data with Xarray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Reprojecting Raster Data with PyProj and Rasterio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Real-world Application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Applying Xarray and Rasterio for environmental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Visualizations of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Summary of Xarray and Rasterio capabilities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Transition to the next notebook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4: Urban Planning with OSMnx and OpenStreetMap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OSMnx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OSMnx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Retrieving and Analyzing OpenStreetMap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Downloading Street Networks and Infrastructure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Analyzing Urban Structures with OSMnx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Integration with GeoPandas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Converting OSMnx Data to GeoPandas DataFrames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Combining OSMnx Data with Other Spatial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Real-world Project in Africa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Leveraging knowledge from previous notebooks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Urban planning project using OSMnx in an African city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Recap of OSMnx and OpenStreetMap integration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Overview of the complete chapter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structured plans should guide you in developing notebooks that progressively introduce and showcase the capabilities of each Python library in the context of spatial data science.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440</Words>
  <Characters>2622</Characters>
  <CharactersWithSpaces>3124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2024-03-01T10:46:26Z</dcterms:created>
  <dc:creator/>
  <dc:description/>
  <dc:language>fr-FR</dc:language>
  <cp:lastModifiedBy/>
  <dcterms:modified xsi:type="dcterms:W3CDTF">2024-03-01T10:46:53Z</dcterms:modified>
  <cp:revision>1</cp:revision>
  <dc:subject/>
  <dc:title/>
</cp:coreProperties>
</file>