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term-sheet"/>
    <w:p>
      <w:pPr>
        <w:pStyle w:val="Heading1"/>
      </w:pPr>
      <w:r>
        <w:t xml:space="preserve">TERM SHEET</w:t>
      </w:r>
    </w:p>
    <w:bookmarkStart w:id="27" w:name="X45909baf8074ce6bdee033f4fbe672d9702aecc"/>
    <w:p>
      <w:pPr>
        <w:pStyle w:val="Heading2"/>
      </w:pPr>
      <w:r>
        <w:t xml:space="preserve">Bridge Financing — Convertible Note with Repayment Option</w:t>
      </w:r>
    </w:p>
    <w:p>
      <w:pPr>
        <w:pStyle w:val="FirstParagraph"/>
      </w:pPr>
      <w:r>
        <w:rPr>
          <w:bCs/>
          <w:b/>
        </w:rPr>
        <w:t xml:space="preserve">This term sheet is non-binding and for discussion purposes only.</w:t>
      </w:r>
    </w:p>
    <w:p>
      <w:r>
        <w:pict>
          <v:rect style="width:0;height:1.5pt" o:hralign="center" o:hrstd="t" o:hr="t"/>
        </w:pict>
      </w:r>
    </w:p>
    <w:bookmarkStart w:id="20" w:name="parties"/>
    <w:p>
      <w:pPr>
        <w:pStyle w:val="Heading3"/>
      </w:pPr>
      <w:r>
        <w:t xml:space="preserve">Parties</w:t>
      </w:r>
    </w:p>
    <w:p>
      <w:pPr>
        <w:pStyle w:val="FirstParagraph"/>
      </w:pPr>
      <w:r>
        <w:rPr>
          <w:bCs/>
          <w:b/>
        </w:rPr>
        <w:t xml:space="preserve">Company:</w:t>
      </w:r>
      <w:r>
        <w:t xml:space="preserve"> </w:t>
      </w:r>
      <w:r>
        <w:t xml:space="preserve">[Company Name]</w:t>
      </w:r>
    </w:p>
    <w:p>
      <w:pPr>
        <w:pStyle w:val="BodyText"/>
      </w:pPr>
      <w:r>
        <w:rPr>
          <w:bCs/>
          <w:b/>
        </w:rPr>
        <w:t xml:space="preserve">Investor:</w:t>
      </w:r>
      <w:r>
        <w:t xml:space="preserve"> </w:t>
      </w:r>
      <w:r>
        <w:t xml:space="preserve">[Investor Name]</w:t>
      </w:r>
    </w:p>
    <w:p>
      <w:r>
        <w:pict>
          <v:rect style="width:0;height:1.5pt" o:hralign="center" o:hrstd="t" o:hr="t"/>
        </w:pict>
      </w:r>
    </w:p>
    <w:bookmarkEnd w:id="20"/>
    <w:bookmarkStart w:id="21" w:name="investment-terms"/>
    <w:p>
      <w:pPr>
        <w:pStyle w:val="Heading3"/>
      </w:pPr>
      <w:r>
        <w:t xml:space="preserve">Investment Terms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Term</w:t>
            </w:r>
          </w:p>
        </w:tc>
        <w:tc>
          <w:tcPr/>
          <w:p>
            <w:pPr>
              <w:pStyle w:val="Compact"/>
              <w:jc w:val="left"/>
            </w:pPr>
            <w:r>
              <w:t xml:space="preserve">Details</w:t>
            </w:r>
          </w:p>
        </w:tc>
      </w:tr>
      <w:tr>
        <w:tc>
          <w:tcPr/>
          <w:p>
            <w:pPr>
              <w:pStyle w:val="Compact"/>
              <w:jc w:val="left"/>
            </w:pPr>
            <w:r>
              <w:rPr>
                <w:bCs/>
                <w:b/>
              </w:rPr>
              <w:t xml:space="preserve">Investment Amount</w:t>
            </w:r>
          </w:p>
        </w:tc>
        <w:tc>
          <w:tcPr/>
          <w:p>
            <w:pPr>
              <w:pStyle w:val="Compact"/>
              <w:jc w:val="left"/>
            </w:pPr>
            <w:r>
              <w:t xml:space="preserve">$100,000 USD</w:t>
            </w:r>
          </w:p>
        </w:tc>
      </w:tr>
      <w:tr>
        <w:tc>
          <w:tcPr/>
          <w:p>
            <w:pPr>
              <w:pStyle w:val="Compact"/>
              <w:jc w:val="left"/>
            </w:pPr>
            <w:r>
              <w:rPr>
                <w:bCs/>
                <w:b/>
              </w:rPr>
              <w:t xml:space="preserve">Instrument</w:t>
            </w:r>
          </w:p>
        </w:tc>
        <w:tc>
          <w:tcPr/>
          <w:p>
            <w:pPr>
              <w:pStyle w:val="Compact"/>
              <w:jc w:val="left"/>
            </w:pPr>
            <w:r>
              <w:t xml:space="preserve">Convertible Promissory Note</w:t>
            </w:r>
          </w:p>
        </w:tc>
      </w:tr>
      <w:tr>
        <w:tc>
          <w:tcPr/>
          <w:p>
            <w:pPr>
              <w:pStyle w:val="Compact"/>
              <w:jc w:val="left"/>
            </w:pPr>
            <w:r>
              <w:rPr>
                <w:bCs/>
                <w:b/>
              </w:rPr>
              <w:t xml:space="preserve">Maturity Date</w:t>
            </w:r>
          </w:p>
        </w:tc>
        <w:tc>
          <w:tcPr/>
          <w:p>
            <w:pPr>
              <w:pStyle w:val="Compact"/>
              <w:jc w:val="left"/>
            </w:pPr>
            <w:r>
              <w:t xml:space="preserve">Six (6) months from closing</w:t>
            </w:r>
          </w:p>
        </w:tc>
      </w:tr>
    </w:tbl>
    <w:p>
      <w:r>
        <w:pict>
          <v:rect style="width:0;height:1.5pt" o:hralign="center" o:hrstd="t" o:hr="t"/>
        </w:pict>
      </w:r>
    </w:p>
    <w:bookmarkEnd w:id="21"/>
    <w:bookmarkStart w:id="22" w:name="conversion-terms"/>
    <w:p>
      <w:pPr>
        <w:pStyle w:val="Heading3"/>
      </w:pPr>
      <w:r>
        <w:t xml:space="preserve">Conversion Terms</w:t>
      </w:r>
    </w:p>
    <w:p>
      <w:pPr>
        <w:pStyle w:val="FirstParagraph"/>
      </w:pPr>
      <w:r>
        <w:rPr>
          <w:bCs/>
          <w:b/>
        </w:rPr>
        <w:t xml:space="preserve">Fixed Conversion Valuation:</w:t>
      </w:r>
      <w:r>
        <w:t xml:space="preserve"> </w:t>
      </w:r>
      <w:r>
        <w:t xml:space="preserve">$10,000,000 USD (pre-money)</w:t>
      </w:r>
    </w:p>
    <w:p>
      <w:pPr>
        <w:pStyle w:val="BodyText"/>
      </w:pPr>
      <w:r>
        <w:rPr>
          <w:bCs/>
          <w:b/>
        </w:rPr>
        <w:t xml:space="preserve">Equity on Conversion:</w:t>
      </w:r>
      <w:r>
        <w:t xml:space="preserve"> </w:t>
      </w:r>
      <w:r>
        <w:t xml:space="preserve">Approximately 1% of the Company’s fully-diluted capitalization</w:t>
      </w:r>
    </w:p>
    <w:p>
      <w:pPr>
        <w:pStyle w:val="BodyText"/>
      </w:pPr>
      <w:r>
        <w:rPr>
          <w:bCs/>
          <w:b/>
        </w:rPr>
        <w:t xml:space="preserve">Conversion Mechanics:</w:t>
      </w:r>
      <w:r>
        <w:t xml:space="preserve"> </w:t>
      </w:r>
      <w:r>
        <w:t xml:space="preserve">At maturity, the Investor may elect to convert the outstanding principal into equity at the Fixed Conversion Valuation, receiving shares representing approximately 1% ownership of the Company.</w:t>
      </w:r>
    </w:p>
    <w:p>
      <w:r>
        <w:pict>
          <v:rect style="width:0;height:1.5pt" o:hralign="center" o:hrstd="t" o:hr="t"/>
        </w:pict>
      </w:r>
    </w:p>
    <w:bookmarkEnd w:id="22"/>
    <w:bookmarkStart w:id="23" w:name="repayment-option"/>
    <w:p>
      <w:pPr>
        <w:pStyle w:val="Heading3"/>
      </w:pPr>
      <w:r>
        <w:t xml:space="preserve">Repayment Option</w:t>
      </w:r>
    </w:p>
    <w:p>
      <w:pPr>
        <w:pStyle w:val="FirstParagraph"/>
      </w:pPr>
      <w:r>
        <w:rPr>
          <w:bCs/>
          <w:b/>
        </w:rPr>
        <w:t xml:space="preserve">Investor Election:</w:t>
      </w:r>
      <w:r>
        <w:t xml:space="preserve"> </w:t>
      </w:r>
      <w:r>
        <w:t xml:space="preserve">At maturity, the Investor shall have the right, at their sole discretion, to elect one of the following:</w:t>
      </w:r>
    </w:p>
    <w:p>
      <w:pPr>
        <w:pStyle w:val="BodyText"/>
      </w:pPr>
      <w:r>
        <w:rPr>
          <w:bCs/>
          <w:b/>
        </w:rPr>
        <w:t xml:space="preserve">Option A — Conversion to Equity</w:t>
      </w:r>
      <w:r>
        <w:t xml:space="preserve"> </w:t>
      </w:r>
      <w:r>
        <w:t xml:space="preserve">Convert the full principal amount into equity at the Fixed Conversion Valuation of $10,000,000, representing approximately 1% ownership.</w:t>
      </w:r>
    </w:p>
    <w:p>
      <w:pPr>
        <w:pStyle w:val="BodyText"/>
      </w:pPr>
      <w:r>
        <w:rPr>
          <w:bCs/>
          <w:b/>
        </w:rPr>
        <w:t xml:space="preserve">Option B — Cash Repayment with Premium</w:t>
      </w:r>
      <w:r>
        <w:t xml:space="preserve"> </w:t>
      </w:r>
      <w:r>
        <w:t xml:space="preserve">Receive repayment of 1.2x the principal amount ($120,000 USD) in cash.</w:t>
      </w:r>
    </w:p>
    <w:p>
      <w:pPr>
        <w:pStyle w:val="BodyText"/>
      </w:pPr>
      <w:r>
        <w:rPr>
          <w:bCs/>
          <w:b/>
        </w:rPr>
        <w:t xml:space="preserve">Election Period:</w:t>
      </w:r>
      <w:r>
        <w:t xml:space="preserve"> </w:t>
      </w:r>
      <w:r>
        <w:t xml:space="preserve">The Investor must provide written notice of their election no later than fifteen (15) days prior to the Maturity Date. If no election is made, the Note shall automatically convert to equity per Option A.</w:t>
      </w:r>
    </w:p>
    <w:p>
      <w:r>
        <w:pict>
          <v:rect style="width:0;height:1.5pt" o:hralign="center" o:hrstd="t" o:hr="t"/>
        </w:pict>
      </w:r>
    </w:p>
    <w:bookmarkEnd w:id="23"/>
    <w:bookmarkStart w:id="24" w:name="additional-terms"/>
    <w:p>
      <w:pPr>
        <w:pStyle w:val="Heading3"/>
      </w:pPr>
      <w:r>
        <w:t xml:space="preserve">Additional Terms</w:t>
      </w:r>
    </w:p>
    <w:p>
      <w:pPr>
        <w:pStyle w:val="FirstParagraph"/>
      </w:pPr>
      <w:r>
        <w:rPr>
          <w:bCs/>
          <w:b/>
        </w:rPr>
        <w:t xml:space="preserve">Interest Rate:</w:t>
      </w:r>
      <w:r>
        <w:t xml:space="preserve"> </w:t>
      </w:r>
      <w:r>
        <w:t xml:space="preserve">0% (the repayment premium serves in lieu of interest)</w:t>
      </w:r>
    </w:p>
    <w:p>
      <w:pPr>
        <w:pStyle w:val="BodyText"/>
      </w:pPr>
      <w:r>
        <w:rPr>
          <w:bCs/>
          <w:b/>
        </w:rPr>
        <w:t xml:space="preserve">Use of Funds:</w:t>
      </w:r>
      <w:r>
        <w:t xml:space="preserve"> </w:t>
      </w:r>
      <w:r>
        <w:t xml:space="preserve">General working capital and team operations</w:t>
      </w:r>
    </w:p>
    <w:p>
      <w:pPr>
        <w:pStyle w:val="BodyText"/>
      </w:pPr>
      <w:r>
        <w:rPr>
          <w:bCs/>
          <w:b/>
        </w:rPr>
        <w:t xml:space="preserve">Prepayment:</w:t>
      </w:r>
      <w:r>
        <w:t xml:space="preserve"> </w:t>
      </w:r>
      <w:r>
        <w:t xml:space="preserve">The Company may not prepay the Note without the Investor’s written consent</w:t>
      </w:r>
    </w:p>
    <w:p>
      <w:pPr>
        <w:pStyle w:val="BodyText"/>
      </w:pPr>
      <w:r>
        <w:rPr>
          <w:bCs/>
          <w:b/>
        </w:rPr>
        <w:t xml:space="preserve">Pro Rata Rights:</w:t>
      </w:r>
      <w:r>
        <w:t xml:space="preserve"> </w:t>
      </w:r>
      <w:r>
        <w:t xml:space="preserve">The Investor shall have the right to participate in future equity financings on a pro-rata basis to maintain their ownership percentage</w:t>
      </w:r>
    </w:p>
    <w:p>
      <w:pPr>
        <w:pStyle w:val="BodyText"/>
      </w:pPr>
      <w:r>
        <w:rPr>
          <w:bCs/>
          <w:b/>
        </w:rPr>
        <w:t xml:space="preserve">Information Rights:</w:t>
      </w:r>
      <w:r>
        <w:t xml:space="preserve"> </w:t>
      </w:r>
      <w:r>
        <w:t xml:space="preserve">The Company shall provide quarterly updates on business progress and financial position</w:t>
      </w:r>
    </w:p>
    <w:p>
      <w:r>
        <w:pict>
          <v:rect style="width:0;height:1.5pt" o:hralign="center" o:hrstd="t" o:hr="t"/>
        </w:pict>
      </w:r>
    </w:p>
    <w:bookmarkEnd w:id="24"/>
    <w:bookmarkStart w:id="25" w:name="closing-conditions"/>
    <w:p>
      <w:pPr>
        <w:pStyle w:val="Heading3"/>
      </w:pPr>
      <w:r>
        <w:t xml:space="preserve">Closing Conditions</w:t>
      </w:r>
    </w:p>
    <w:p>
      <w:pPr>
        <w:numPr>
          <w:ilvl w:val="0"/>
          <w:numId w:val="1001"/>
        </w:numPr>
        <w:pStyle w:val="Compact"/>
      </w:pPr>
      <w:r>
        <w:t xml:space="preserve">Execution of definitive Note Purchase Agreement</w:t>
      </w:r>
    </w:p>
    <w:p>
      <w:pPr>
        <w:numPr>
          <w:ilvl w:val="0"/>
          <w:numId w:val="1001"/>
        </w:numPr>
        <w:pStyle w:val="Compact"/>
      </w:pPr>
      <w:r>
        <w:t xml:space="preserve">Standard representations and warranties</w:t>
      </w:r>
    </w:p>
    <w:p>
      <w:pPr>
        <w:numPr>
          <w:ilvl w:val="0"/>
          <w:numId w:val="1001"/>
        </w:numPr>
        <w:pStyle w:val="Compact"/>
      </w:pPr>
      <w:r>
        <w:t xml:space="preserve">Completion of any required corporate approvals</w:t>
      </w:r>
    </w:p>
    <w:p>
      <w:r>
        <w:pict>
          <v:rect style="width:0;height:1.5pt" o:hralign="center" o:hrstd="t" o:hr="t"/>
        </w:pict>
      </w:r>
    </w:p>
    <w:bookmarkEnd w:id="25"/>
    <w:bookmarkStart w:id="26" w:name="signatures"/>
    <w:p>
      <w:pPr>
        <w:pStyle w:val="Heading3"/>
      </w:pPr>
      <w:r>
        <w:t xml:space="preserve">Signatures</w:t>
      </w:r>
    </w:p>
    <w:p>
      <w:pPr>
        <w:pStyle w:val="FirstParagraph"/>
      </w:pPr>
      <w:r>
        <w:t xml:space="preserve">This term sheet is intended to outline the principal terms of the proposed investment. It is non-binding except for confidentiality obligations, and is subject to the execution of definitive legal documentation.</w:t>
      </w:r>
    </w:p>
    <w:p>
      <w:pPr>
        <w:pStyle w:val="BodyText"/>
      </w:pPr>
      <w:r>
        <w:t xml:space="preserve"> </w:t>
      </w:r>
    </w:p>
    <w:p>
      <w:pPr>
        <w:pStyle w:val="BodyText"/>
      </w:pPr>
      <w:r>
        <w:rPr>
          <w:bCs/>
          <w:b/>
        </w:rPr>
        <w:t xml:space="preserve">For the Company:</w:t>
      </w:r>
    </w:p>
    <w:p>
      <w:r>
        <w:pict>
          <v:rect style="width:0;height:1.5pt" o:hralign="center" o:hrstd="t" o:hr="t"/>
        </w:pict>
      </w:r>
    </w:p>
    <w:p>
      <w:pPr>
        <w:pStyle w:val="FirstParagraph"/>
      </w:pPr>
      <w:r>
        <w:t xml:space="preserve">Name:</w:t>
      </w:r>
      <w:r>
        <w:br/>
      </w:r>
      <w:r>
        <w:t xml:space="preserve">Title:</w:t>
      </w:r>
      <w:r>
        <w:br/>
      </w:r>
      <w:r>
        <w:t xml:space="preserve">Date:</w:t>
      </w:r>
    </w:p>
    <w:p>
      <w:pPr>
        <w:pStyle w:val="BodyText"/>
      </w:pPr>
      <w:r>
        <w:t xml:space="preserve"> </w:t>
      </w:r>
    </w:p>
    <w:p>
      <w:pPr>
        <w:pStyle w:val="BodyText"/>
      </w:pPr>
      <w:r>
        <w:rPr>
          <w:bCs/>
          <w:b/>
        </w:rPr>
        <w:t xml:space="preserve">For the Investor:</w:t>
      </w:r>
    </w:p>
    <w:p>
      <w:r>
        <w:pict>
          <v:rect style="width:0;height:1.5pt" o:hralign="center" o:hrstd="t" o:hr="t"/>
        </w:pict>
      </w:r>
    </w:p>
    <w:p>
      <w:pPr>
        <w:pStyle w:val="FirstParagraph"/>
      </w:pPr>
      <w:r>
        <w:t xml:space="preserve">Name:</w:t>
      </w:r>
      <w:r>
        <w:br/>
      </w:r>
      <w:r>
        <w:t xml:space="preserve">Date:</w:t>
      </w:r>
    </w:p>
    <w:bookmarkEnd w:id="26"/>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2026-02-01T19:25:45Z</dcterms:created>
  <dcterms:modified xsi:type="dcterms:W3CDTF">2026-02-01T19:25:45Z</dcterms:modified>
</cp:coreProperties>
</file>

<file path=docProps/custom.xml><?xml version="1.0" encoding="utf-8"?>
<Properties xmlns="http://schemas.openxmlformats.org/officeDocument/2006/custom-properties" xmlns:vt="http://schemas.openxmlformats.org/officeDocument/2006/docPropsVTypes"/>
</file>