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Times New Roman" w:hAnsi="Times New Roman" w:eastAsia="微软雅黑"/>
          <w:b/>
          <w:color w:val="1F4E79"/>
          <w:sz w:val="44"/>
        </w:rPr>
        <w:t>数值代数 Agent 阶段汇报</w:t>
      </w:r>
    </w:p>
    <w:p>
      <w:pPr>
        <w:spacing w:after="160"/>
        <w:jc w:val="center"/>
      </w:pPr>
      <w:r>
        <w:rPr>
          <w:rFonts w:ascii="Times New Roman" w:hAnsi="Times New Roman" w:eastAsia="等线"/>
          <w:b w:val="0"/>
          <w:color w:val="595959"/>
          <w:sz w:val="26"/>
        </w:rPr>
        <w:t>面向“替代 MATLAB”的当前进度、主要短板与下一步方案</w:t>
      </w:r>
    </w:p>
    <w:p>
      <w:pPr>
        <w:spacing w:after="3200"/>
        <w:jc w:val="center"/>
      </w:pPr>
      <w:r>
        <w:rPr>
          <w:rFonts w:ascii="Times New Roman" w:hAnsi="Times New Roman" w:eastAsia="等线"/>
          <w:b w:val="0"/>
          <w:sz w:val="22"/>
        </w:rPr>
        <w:t>项目：NLA_Master</w:t>
      </w:r>
    </w:p>
    <w:p>
      <w:pPr>
        <w:spacing w:after="80"/>
        <w:jc w:val="center"/>
      </w:pPr>
      <w:r>
        <w:rPr>
          <w:rFonts w:ascii="Times New Roman" w:hAnsi="Times New Roman" w:eastAsia="等线"/>
          <w:b w:val="0"/>
          <w:sz w:val="22"/>
        </w:rPr>
        <w:t>日期：2026-04-14</w:t>
      </w:r>
    </w:p>
    <w:p>
      <w:pPr>
        <w:jc w:val="center"/>
      </w:pPr>
      <w:r>
        <w:rPr>
          <w:rFonts w:ascii="Times New Roman" w:hAnsi="Times New Roman" w:eastAsia="等线"/>
          <w:b w:val="0"/>
          <w:color w:val="646464"/>
          <w:sz w:val="22"/>
        </w:rPr>
        <w:t>汇报口径：面向导师的阶段性总结与路线建议</w:t>
      </w:r>
    </w:p>
    <w:p>
      <w:pPr>
        <w:sectPr>
          <w:pgSz w:w="12240" w:h="15840"/>
          <w:pgMar w:top="1247" w:right="1247" w:bottom="1247" w:left="1361" w:header="567" w:footer="567" w:gutter="0"/>
          <w:cols w:space="720"/>
          <w:docGrid w:linePitch="360"/>
        </w:sectPr>
      </w:pPr>
    </w:p>
    <w:p>
      <w:pPr>
        <w:pStyle w:val="Heading1"/>
        <w:spacing w:before="200" w:after="80"/>
      </w:pPr>
      <w:r>
        <w:t>一、项目目前所处阶段</w:t>
      </w:r>
    </w:p>
    <w:tbl>
      <w:tblPr>
        <w:tblW w:type="auto" w:w="0"/>
        <w:jc w:val="center"/>
        <w:tblLayout w:type="autofit"/>
        <w:tblLook w:firstColumn="1" w:firstRow="1" w:lastColumn="0" w:lastRow="0" w:noHBand="0" w:noVBand="1" w:val="04A0"/>
      </w:tblPr>
      <w:tblGrid>
        <w:gridCol w:w="9632"/>
      </w:tblGrid>
      <w:tr>
        <w:tc>
          <w:tcPr>
            <w:tcW w:type="dxa" w:w="9632"/>
            <w:vAlign w:val="center"/>
            <w:shd w:fill="EAF2F8"/>
          </w:tcPr>
          <w:p>
            <w:pPr>
              <w:spacing w:before="120" w:after="120"/>
              <w:jc w:val="left"/>
            </w:pPr>
            <w:r>
              <w:rPr>
                <w:rFonts w:ascii="Times New Roman" w:hAnsi="Times New Roman" w:eastAsia="等线"/>
                <w:b w:val="0"/>
                <w:sz w:val="22"/>
              </w:rPr>
              <w:t>结论摘要：当前系统已经具备“中文交互 + 数值代数任务路由 + 前置条件检查 + 矩阵性质分析 + 算法建议 + 安全执行 + 长期记忆 + MATLAB 风格工作区”的基础框架，说明项目已从单点求解器演进为具备一定教学性与工程性的数值代数助理。但若目标是实质性替代 MATLAB，现阶段仍主要停留在“对常见任务进行解释与调度”的层面，距离“广覆盖、高稳定、可扩展、可直接映射底层 LAPACK/稀疏求解器”的完整数值计算平台还有明显差距。</w:t>
            </w:r>
          </w:p>
        </w:tc>
      </w:tr>
    </w:tbl>
    <w:p>
      <w:pPr>
        <w:spacing w:after="100" w:line="307" w:lineRule="auto"/>
        <w:ind w:firstLine="420"/>
      </w:pPr>
      <w:r>
        <w:rPr>
          <w:rFonts w:ascii="Times New Roman" w:hAnsi="Times New Roman" w:eastAsia="宋体"/>
          <w:b w:val="0"/>
          <w:sz w:val="22"/>
        </w:rPr>
        <w:t>从现有代码结构看，这个 Agent 已经不是单纯“调用 NumPy 算一题”的演示原型，而是一个围绕数值线性代数任务设计的多模块系统。其核心特点是：以中文交互为入口，通过阶段机控制求解流程，再配合监督器、文件解析器、执行器、文档检索与长期记忆，逐步向“可解释、可扩展、可复用”的专用数值代数助理演进。</w:t>
      </w:r>
    </w:p>
    <w:p>
      <w:pPr>
        <w:pStyle w:val="Heading2"/>
        <w:spacing w:before="120" w:after="80"/>
      </w:pPr>
      <w:r>
        <w:t>1. 已经形成的能力闭环</w:t>
      </w:r>
    </w:p>
    <w:p>
      <w:pPr>
        <w:pStyle w:val="ListBullet"/>
        <w:spacing w:before="0" w:after="60" w:line="293" w:lineRule="auto"/>
      </w:pPr>
      <w:r>
        <w:rPr>
          <w:rFonts w:ascii="Times New Roman" w:hAnsi="Times New Roman" w:eastAsia="宋体"/>
          <w:b w:val="0"/>
          <w:sz w:val="22"/>
        </w:rPr>
        <w:t>任务流程已较完整：`clarify_goal -&gt; preconditions -&gt; property_check -&gt; plan -&gt; solve` 的阶段机已经明确写入主 Agent 指令中，说明系统不再是随意作答，而是有受控流程。</w:t>
      </w:r>
    </w:p>
    <w:p>
      <w:pPr>
        <w:pStyle w:val="ListBullet"/>
        <w:spacing w:before="0" w:after="60" w:line="293" w:lineRule="auto"/>
      </w:pPr>
      <w:r>
        <w:rPr>
          <w:rFonts w:ascii="Times New Roman" w:hAnsi="Times New Roman" w:eastAsia="宋体"/>
          <w:b w:val="0"/>
          <w:sz w:val="22"/>
        </w:rPr>
        <w:t>具备“教练式”交互特征：能够区分精确解/近似解、逐步引导/直接答案，并在必要条件和矩阵性质不足时先提问，再进入算法选择。</w:t>
      </w:r>
    </w:p>
    <w:p>
      <w:pPr>
        <w:pStyle w:val="ListBullet"/>
        <w:spacing w:before="0" w:after="60" w:line="293" w:lineRule="auto"/>
      </w:pPr>
      <w:r>
        <w:rPr>
          <w:rFonts w:ascii="Times New Roman" w:hAnsi="Times New Roman" w:eastAsia="宋体"/>
          <w:b w:val="0"/>
          <w:sz w:val="22"/>
        </w:rPr>
        <w:t>已支持矩阵输入与外部文件读入：可解析文本 CSC 与 `.mtx.gz` Matrix Market 文件，具备面向稀疏矩阵场景的基本入口。</w:t>
      </w:r>
    </w:p>
    <w:p>
      <w:pPr>
        <w:pStyle w:val="ListBullet"/>
        <w:spacing w:before="0" w:after="60" w:line="293" w:lineRule="auto"/>
      </w:pPr>
      <w:r>
        <w:rPr>
          <w:rFonts w:ascii="Times New Roman" w:hAnsi="Times New Roman" w:eastAsia="宋体"/>
          <w:b w:val="0"/>
          <w:sz w:val="22"/>
        </w:rPr>
        <w:t>已具备矩阵性质分析与算法推荐：能够根据方阵性、对称性、正定性、稀疏性、条件数、秩估计等信息选择相对合理的数值路线。</w:t>
      </w:r>
    </w:p>
    <w:p>
      <w:pPr>
        <w:pStyle w:val="ListBullet"/>
        <w:spacing w:before="0" w:after="60" w:line="293" w:lineRule="auto"/>
      </w:pPr>
      <w:r>
        <w:rPr>
          <w:rFonts w:ascii="Times New Roman" w:hAnsi="Times New Roman" w:eastAsia="宋体"/>
          <w:b w:val="0"/>
          <w:sz w:val="22"/>
        </w:rPr>
        <w:t>已初步模拟 MATLAB 工作区体验：支持 `who`、`whos`、`clear` 与 `ans`，这对“替代 MATLAB 的交互习惯”很重要。</w:t>
      </w:r>
    </w:p>
    <w:p>
      <w:pPr>
        <w:pStyle w:val="ListBullet"/>
        <w:spacing w:before="0" w:after="60" w:line="293" w:lineRule="auto"/>
      </w:pPr>
      <w:r>
        <w:rPr>
          <w:rFonts w:ascii="Times New Roman" w:hAnsi="Times New Roman" w:eastAsia="宋体"/>
          <w:b w:val="0"/>
          <w:sz w:val="22"/>
        </w:rPr>
        <w:t>已有长期记忆与经验复用框架：记忆模块不仅存通用解法，还能沉淀“报错 -&gt; 修复”的执行经验，这一点对以后做科研助手非常有价值。</w:t>
      </w:r>
    </w:p>
    <w:p>
      <w:pPr>
        <w:pStyle w:val="ListBullet"/>
        <w:spacing w:before="0" w:after="60" w:line="293" w:lineRule="auto"/>
      </w:pPr>
      <w:r>
        <w:rPr>
          <w:rFonts w:ascii="Times New Roman" w:hAnsi="Times New Roman" w:eastAsia="宋体"/>
          <w:b w:val="0"/>
          <w:sz w:val="22"/>
        </w:rPr>
        <w:t>已考虑工程安全性：本地代码执行器加入了 AST 静态限制，避免明显危险调用。</w:t>
      </w:r>
    </w:p>
    <w:p>
      <w:pPr>
        <w:pStyle w:val="Heading2"/>
        <w:spacing w:before="120" w:after="80"/>
      </w:pPr>
      <w:r>
        <w:t>2. 从工程成熟度看，当前属于“框架成形、核心内核未补齐”阶段</w:t>
      </w:r>
    </w:p>
    <w:p>
      <w:pPr>
        <w:spacing w:after="100" w:line="307" w:lineRule="auto"/>
        <w:ind w:firstLine="420"/>
      </w:pPr>
      <w:r>
        <w:rPr>
          <w:rFonts w:ascii="Times New Roman" w:hAnsi="Times New Roman" w:eastAsia="宋体"/>
          <w:b w:val="0"/>
          <w:sz w:val="22"/>
        </w:rPr>
        <w:t>如果用阶段性评价来概括，当前项目最强的是“上层编排能力”而不是“底层数值计算内核能力”。也就是说，它已经具备了老师比较容易看见的系统形态：有流程、有解释、有接口、有记忆、有一定交互体验；但距离 MATLAB 这种成熟数值平台的关键差距，仍然集中在底层算法覆盖率、稳定性保障、大规模问题处理能力与求解器生态接入。</w:t>
      </w:r>
    </w:p>
    <w:p>
      <w:pPr>
        <w:pStyle w:val="Heading1"/>
        <w:spacing w:before="200" w:after="80"/>
      </w:pPr>
      <w:r>
        <w:t>二、当前最主要的不足</w:t>
      </w:r>
    </w:p>
    <w:p>
      <w:pPr>
        <w:pStyle w:val="ListBullet"/>
        <w:spacing w:before="0" w:after="60" w:line="293" w:lineRule="auto"/>
      </w:pPr>
      <w:r>
        <w:rPr>
          <w:rFonts w:ascii="Times New Roman" w:hAnsi="Times New Roman" w:eastAsia="宋体"/>
          <w:b w:val="0"/>
          <w:sz w:val="22"/>
        </w:rPr>
        <w:t>数值问题覆盖面仍偏窄。当前策略模块主要覆盖线性方程组、最小二乘、特征值、行列式、逆矩阵这几类主干问题；而 MATLAB 在 Schur 分解、广义特征值问题、Sylvester/Lyapunov 方程、平衡化、矩阵函数、带状矩阵、广义 SVD 等方面更完整。</w:t>
      </w:r>
    </w:p>
    <w:p>
      <w:pPr>
        <w:pStyle w:val="ListBullet"/>
        <w:spacing w:before="0" w:after="60" w:line="293" w:lineRule="auto"/>
      </w:pPr>
      <w:r>
        <w:rPr>
          <w:rFonts w:ascii="Times New Roman" w:hAnsi="Times New Roman" w:eastAsia="宋体"/>
          <w:b w:val="0"/>
          <w:sz w:val="22"/>
        </w:rPr>
        <w:t>很多地方仍然停留在“建议调用哪个 API”，而非真正封装成稳健的统一求解接口。现在更像是“会推荐 SciPy/NumPy 该怎么做”，还不是“自己已经具备 MATLAB 式统一命令能力”。</w:t>
      </w:r>
    </w:p>
    <w:p>
      <w:pPr>
        <w:pStyle w:val="ListBullet"/>
        <w:spacing w:before="0" w:after="60" w:line="293" w:lineRule="auto"/>
      </w:pPr>
      <w:r>
        <w:rPr>
          <w:rFonts w:ascii="Times New Roman" w:hAnsi="Times New Roman" w:eastAsia="宋体"/>
          <w:b w:val="0"/>
          <w:sz w:val="22"/>
        </w:rPr>
        <w:t>对大规模稀疏问题的支持还不够深入。虽然输入上已经支持 CSC / Matrix Market，但在算法层还主要停留在 `spsolve`、`cg`、`gmres`、`eigs`、`eigsh` 这些基础入口，尚未形成预条件器、重排序、误差报告、内存策略等完整链路。</w:t>
      </w:r>
    </w:p>
    <w:p>
      <w:pPr>
        <w:pStyle w:val="ListBullet"/>
        <w:spacing w:before="0" w:after="60" w:line="293" w:lineRule="auto"/>
      </w:pPr>
      <w:r>
        <w:rPr>
          <w:rFonts w:ascii="Times New Roman" w:hAnsi="Times New Roman" w:eastAsia="宋体"/>
          <w:b w:val="0"/>
          <w:sz w:val="22"/>
        </w:rPr>
        <w:t>矩阵性质分析采用稠密化路径较多。例如 `A_csc` 最终仍可能转换成 dense 再分析，这会限制可处理规模，也容易偏离 MATLAB 在大规模稀疏场景中的优势。</w:t>
      </w:r>
    </w:p>
    <w:p>
      <w:pPr>
        <w:pStyle w:val="ListBullet"/>
        <w:spacing w:before="0" w:after="60" w:line="293" w:lineRule="auto"/>
      </w:pPr>
      <w:r>
        <w:rPr>
          <w:rFonts w:ascii="Times New Roman" w:hAnsi="Times New Roman" w:eastAsia="宋体"/>
          <w:b w:val="0"/>
          <w:sz w:val="22"/>
        </w:rPr>
        <w:t>安全执行器偏保守但能力有限。它适合做简单数值验证，不适合承载复杂的科研级实验脚本，也还缺少资源隔离、依赖白名单、内存限制、结果缓存等更强的工程措施。</w:t>
      </w:r>
    </w:p>
    <w:p>
      <w:pPr>
        <w:pStyle w:val="ListBullet"/>
        <w:spacing w:before="0" w:after="60" w:line="293" w:lineRule="auto"/>
      </w:pPr>
      <w:r>
        <w:rPr>
          <w:rFonts w:ascii="Times New Roman" w:hAnsi="Times New Roman" w:eastAsia="宋体"/>
          <w:b w:val="0"/>
          <w:sz w:val="22"/>
        </w:rPr>
        <w:t>测试覆盖仍明显不足。现有测试主要集中在监督器、记忆和工作区；而 `policy.py`、`parsers.py`、`executors.py`、`retrieval.py` 这些核心模块没有看到同等强度的系统测试，这会影响后续迭代速度和可信度。</w:t>
      </w:r>
    </w:p>
    <w:p>
      <w:pPr>
        <w:pStyle w:val="ListBullet"/>
        <w:spacing w:before="0" w:after="60" w:line="293" w:lineRule="auto"/>
      </w:pPr>
      <w:r>
        <w:rPr>
          <w:rFonts w:ascii="Times New Roman" w:hAnsi="Times New Roman" w:eastAsia="宋体"/>
          <w:b w:val="0"/>
          <w:sz w:val="22"/>
        </w:rPr>
        <w:t>对 MATLAB 的关键替代优势还未建立。MATLAB 的强项不仅是函数多，更重要的是接口统一、默认策略稳健、数值细节隐藏得好。当前 Agent 在这一点上还比较“研究型原型”，尚未形成真正面向终端用户的稳定产品体验。</w:t>
      </w:r>
    </w:p>
    <w:p>
      <w:pPr>
        <w:pStyle w:val="Heading1"/>
        <w:spacing w:before="200" w:after="80"/>
      </w:pPr>
      <w:r>
        <w:t>三、为什么说“距离替代 MATLAB 还差一个底层适配层”</w:t>
      </w:r>
    </w:p>
    <w:p>
      <w:pPr>
        <w:spacing w:after="100" w:line="307" w:lineRule="auto"/>
        <w:ind w:firstLine="420"/>
      </w:pPr>
      <w:r>
        <w:rPr>
          <w:rFonts w:ascii="Times New Roman" w:hAnsi="Times New Roman" w:eastAsia="宋体"/>
          <w:b w:val="0"/>
          <w:sz w:val="22"/>
        </w:rPr>
        <w:t>MATLAB 的数值能力并不是靠大模型解释出来的，而是靠成熟的 BLAS/LAPACK、稀疏求解器和统一接口封装出来的。因此，如果本项目的最终目标是“替代 MATLAB”，后续重点不应只放在 prompt 或问答流程上，而应尽快建设一层面向底层数值库的适配层，把常见线性代数任务稳稳地映射到具体例程上。</w:t>
      </w:r>
    </w:p>
    <w:p>
      <w:pPr>
        <w:pStyle w:val="Heading2"/>
        <w:spacing w:before="120" w:after="80"/>
      </w:pPr>
      <w:r>
        <w:t>1. 当前系统更擅长“决策与解释”</w:t>
      </w:r>
    </w:p>
    <w:p>
      <w:pPr>
        <w:pStyle w:val="ListBullet"/>
        <w:spacing w:before="0" w:after="60" w:line="293" w:lineRule="auto"/>
      </w:pPr>
      <w:r>
        <w:rPr>
          <w:rFonts w:ascii="Times New Roman" w:hAnsi="Times New Roman" w:eastAsia="宋体"/>
          <w:b w:val="0"/>
          <w:sz w:val="22"/>
        </w:rPr>
        <w:t>擅长判断用户想做什么、矩阵可能有什么性质、理论上该先问什么、适合哪一类算法。</w:t>
      </w:r>
    </w:p>
    <w:p>
      <w:pPr>
        <w:pStyle w:val="ListBullet"/>
        <w:spacing w:before="0" w:after="60" w:line="293" w:lineRule="auto"/>
      </w:pPr>
      <w:r>
        <w:rPr>
          <w:rFonts w:ascii="Times New Roman" w:hAnsi="Times New Roman" w:eastAsia="宋体"/>
          <w:b w:val="0"/>
          <w:sz w:val="22"/>
        </w:rPr>
        <w:t>这使它非常适合做“助教型”或“教练型” Agent。</w:t>
      </w:r>
    </w:p>
    <w:p>
      <w:pPr>
        <w:pStyle w:val="ListBullet"/>
        <w:spacing w:before="0" w:after="60" w:line="293" w:lineRule="auto"/>
      </w:pPr>
      <w:r>
        <w:rPr>
          <w:rFonts w:ascii="Times New Roman" w:hAnsi="Times New Roman" w:eastAsia="宋体"/>
          <w:b w:val="0"/>
          <w:sz w:val="22"/>
        </w:rPr>
        <w:t>但若要替代 MATLAB，就必须进一步做到：不仅知道“该用什么”，还要能够稳定地“真的去算”，并且把误差、收敛、失败原因解释清楚。</w:t>
      </w:r>
    </w:p>
    <w:p>
      <w:pPr>
        <w:pStyle w:val="Heading2"/>
        <w:spacing w:before="120" w:after="80"/>
      </w:pPr>
      <w:r>
        <w:t>2. 当前系统还不够像“统一数值平台”</w:t>
      </w:r>
    </w:p>
    <w:p>
      <w:pPr>
        <w:pStyle w:val="ListBullet"/>
        <w:spacing w:before="0" w:after="60" w:line="293" w:lineRule="auto"/>
      </w:pPr>
      <w:r>
        <w:rPr>
          <w:rFonts w:ascii="Times New Roman" w:hAnsi="Times New Roman" w:eastAsia="宋体"/>
          <w:b w:val="0"/>
          <w:sz w:val="22"/>
        </w:rPr>
        <w:t>MATLAB 用户通常只输入一个高层命令，例如 `A\b`、`eig(A)`、`svd(A)`，其余的类型判断、例程选择、工作区行为和错误提示都由平台接管。</w:t>
      </w:r>
    </w:p>
    <w:p>
      <w:pPr>
        <w:pStyle w:val="ListBullet"/>
        <w:spacing w:before="0" w:after="60" w:line="293" w:lineRule="auto"/>
      </w:pPr>
      <w:r>
        <w:rPr>
          <w:rFonts w:ascii="Times New Roman" w:hAnsi="Times New Roman" w:eastAsia="宋体"/>
          <w:b w:val="0"/>
          <w:sz w:val="22"/>
        </w:rPr>
        <w:t>现有 Agent 还主要通过多个工具组合来完成这一流程，因此内部很清晰，但外部体验还不够收敛。</w:t>
      </w:r>
    </w:p>
    <w:p>
      <w:pPr>
        <w:pStyle w:val="ListBullet"/>
        <w:spacing w:before="0" w:after="60" w:line="293" w:lineRule="auto"/>
      </w:pPr>
      <w:r>
        <w:rPr>
          <w:rFonts w:ascii="Times New Roman" w:hAnsi="Times New Roman" w:eastAsia="宋体"/>
          <w:b w:val="0"/>
          <w:sz w:val="22"/>
        </w:rPr>
        <w:t>下一阶段应把这些离散工具收敛成统一的“高层数学动作接口”。</w:t>
      </w:r>
    </w:p>
    <w:p>
      <w:pPr>
        <w:pStyle w:val="Heading1"/>
        <w:spacing w:before="200" w:after="80"/>
      </w:pPr>
      <w:r>
        <w:t>五、面向 MATLAB 替代目标的 LAPACK / 求解器补齐路线</w:t>
      </w:r>
    </w:p>
    <w:p>
      <w:pPr>
        <w:spacing w:after="100" w:line="307" w:lineRule="auto"/>
        <w:ind w:firstLine="420"/>
      </w:pPr>
      <w:r>
        <w:rPr>
          <w:rFonts w:ascii="Times New Roman" w:hAnsi="Times New Roman" w:eastAsia="宋体"/>
          <w:b w:val="0"/>
          <w:sz w:val="22"/>
        </w:rPr>
        <w:t>如果后续要替代 MATLAB 中较底层、较全的数值线性代数能力，关键不是继续堆提示词，而是建立“任务意图 -&gt; 算法类别 -&gt; Python/SciPy 高层 API -&gt; LAPACK/稀疏库底层例程”的分层适配。建议优先把最常见、最能体现 MATLAB 优势的例程做成可路由的统一接口。</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vAlign w:val="center"/>
          </w:tcPr>
          <w:p>
            <w:pPr>
              <w:jc w:val="center"/>
            </w:pPr>
            <w:r>
              <w:rPr>
                <w:rFonts w:ascii="Times New Roman" w:hAnsi="Times New Roman" w:eastAsia="微软雅黑"/>
                <w:b/>
                <w:sz w:val="21"/>
              </w:rPr>
              <w:t>MATLAB 常见需求</w:t>
            </w:r>
          </w:p>
        </w:tc>
        <w:tc>
          <w:tcPr>
            <w:tcW w:type="dxa" w:w="2408"/>
            <w:shd w:fill="D9EAF7"/>
            <w:vAlign w:val="center"/>
          </w:tcPr>
          <w:p>
            <w:pPr>
              <w:jc w:val="center"/>
            </w:pPr>
            <w:r>
              <w:rPr>
                <w:rFonts w:ascii="Times New Roman" w:hAnsi="Times New Roman" w:eastAsia="微软雅黑"/>
                <w:b/>
                <w:sz w:val="21"/>
              </w:rPr>
              <w:t>优先替代路径</w:t>
            </w:r>
          </w:p>
        </w:tc>
        <w:tc>
          <w:tcPr>
            <w:tcW w:type="dxa" w:w="2408"/>
            <w:shd w:fill="D9EAF7"/>
            <w:vAlign w:val="center"/>
          </w:tcPr>
          <w:p>
            <w:pPr>
              <w:jc w:val="center"/>
            </w:pPr>
            <w:r>
              <w:rPr>
                <w:rFonts w:ascii="Times New Roman" w:hAnsi="Times New Roman" w:eastAsia="微软雅黑"/>
                <w:b/>
                <w:sz w:val="21"/>
              </w:rPr>
              <w:t>底层建议</w:t>
            </w:r>
          </w:p>
        </w:tc>
        <w:tc>
          <w:tcPr>
            <w:tcW w:type="dxa" w:w="2408"/>
            <w:shd w:fill="D9EAF7"/>
            <w:vAlign w:val="center"/>
          </w:tcPr>
          <w:p>
            <w:pPr>
              <w:jc w:val="center"/>
            </w:pPr>
            <w:r>
              <w:rPr>
                <w:rFonts w:ascii="Times New Roman" w:hAnsi="Times New Roman" w:eastAsia="微软雅黑"/>
                <w:b/>
                <w:sz w:val="21"/>
              </w:rPr>
              <w:t>价值判断</w:t>
            </w:r>
          </w:p>
        </w:tc>
      </w:tr>
      <w:tr>
        <w:tc>
          <w:tcPr>
            <w:tcW w:type="dxa" w:w="2408"/>
            <w:vAlign w:val="center"/>
          </w:tcPr>
          <w:p>
            <w:pPr>
              <w:spacing w:after="40" w:line="276" w:lineRule="auto"/>
            </w:pPr>
            <w:r>
              <w:rPr>
                <w:rFonts w:ascii="Times New Roman" w:hAnsi="Times New Roman" w:eastAsia="宋体"/>
                <w:b w:val="0"/>
                <w:sz w:val="20"/>
              </w:rPr>
              <w:t>一般线性方程组 `A\b`</w:t>
            </w:r>
          </w:p>
        </w:tc>
        <w:tc>
          <w:tcPr>
            <w:tcW w:type="dxa" w:w="2408"/>
            <w:vAlign w:val="center"/>
          </w:tcPr>
          <w:p>
            <w:pPr>
              <w:spacing w:after="40" w:line="276" w:lineRule="auto"/>
            </w:pPr>
            <w:r>
              <w:rPr>
                <w:rFonts w:ascii="Times New Roman" w:hAnsi="Times New Roman" w:eastAsia="宋体"/>
                <w:b w:val="0"/>
                <w:sz w:val="20"/>
              </w:rPr>
              <w:t>先走 `numpy.linalg.solve` / `scipy.linalg.lu_factor`</w:t>
            </w:r>
          </w:p>
        </w:tc>
        <w:tc>
          <w:tcPr>
            <w:tcW w:type="dxa" w:w="2408"/>
            <w:vAlign w:val="center"/>
          </w:tcPr>
          <w:p>
            <w:pPr>
              <w:spacing w:after="40" w:line="276" w:lineRule="auto"/>
            </w:pPr>
            <w:r>
              <w:rPr>
                <w:rFonts w:ascii="Times New Roman" w:hAnsi="Times New Roman" w:eastAsia="宋体"/>
                <w:b w:val="0"/>
                <w:sz w:val="20"/>
              </w:rPr>
              <w:t>映射到 `xGETRF + xGETRS`</w:t>
            </w:r>
          </w:p>
        </w:tc>
        <w:tc>
          <w:tcPr>
            <w:tcW w:type="dxa" w:w="2408"/>
            <w:vAlign w:val="center"/>
          </w:tcPr>
          <w:p>
            <w:pPr>
              <w:spacing w:after="40" w:line="276" w:lineRule="auto"/>
            </w:pPr>
            <w:r>
              <w:rPr>
                <w:rFonts w:ascii="Times New Roman" w:hAnsi="Times New Roman" w:eastAsia="宋体"/>
                <w:b w:val="0"/>
                <w:sz w:val="20"/>
              </w:rPr>
              <w:t>应作为第一优先级</w:t>
            </w:r>
          </w:p>
        </w:tc>
      </w:tr>
      <w:tr>
        <w:tc>
          <w:tcPr>
            <w:tcW w:type="dxa" w:w="2408"/>
            <w:vAlign w:val="center"/>
          </w:tcPr>
          <w:p>
            <w:pPr>
              <w:spacing w:after="40" w:line="276" w:lineRule="auto"/>
            </w:pPr>
            <w:r>
              <w:rPr>
                <w:rFonts w:ascii="Times New Roman" w:hAnsi="Times New Roman" w:eastAsia="宋体"/>
                <w:b w:val="0"/>
                <w:sz w:val="20"/>
              </w:rPr>
              <w:t>对称正定系统</w:t>
            </w:r>
          </w:p>
        </w:tc>
        <w:tc>
          <w:tcPr>
            <w:tcW w:type="dxa" w:w="2408"/>
            <w:vAlign w:val="center"/>
          </w:tcPr>
          <w:p>
            <w:pPr>
              <w:spacing w:after="40" w:line="276" w:lineRule="auto"/>
            </w:pPr>
            <w:r>
              <w:rPr>
                <w:rFonts w:ascii="Times New Roman" w:hAnsi="Times New Roman" w:eastAsia="宋体"/>
                <w:b w:val="0"/>
                <w:sz w:val="20"/>
              </w:rPr>
              <w:t>先走 `cho_factor` / `cho_solve`</w:t>
            </w:r>
          </w:p>
        </w:tc>
        <w:tc>
          <w:tcPr>
            <w:tcW w:type="dxa" w:w="2408"/>
            <w:vAlign w:val="center"/>
          </w:tcPr>
          <w:p>
            <w:pPr>
              <w:spacing w:after="40" w:line="276" w:lineRule="auto"/>
            </w:pPr>
            <w:r>
              <w:rPr>
                <w:rFonts w:ascii="Times New Roman" w:hAnsi="Times New Roman" w:eastAsia="宋体"/>
                <w:b w:val="0"/>
                <w:sz w:val="20"/>
              </w:rPr>
              <w:t>映射到 `xPOTRF + xPOTRS`</w:t>
            </w:r>
          </w:p>
        </w:tc>
        <w:tc>
          <w:tcPr>
            <w:tcW w:type="dxa" w:w="2408"/>
            <w:vAlign w:val="center"/>
          </w:tcPr>
          <w:p>
            <w:pPr>
              <w:spacing w:after="40" w:line="276" w:lineRule="auto"/>
            </w:pPr>
            <w:r>
              <w:rPr>
                <w:rFonts w:ascii="Times New Roman" w:hAnsi="Times New Roman" w:eastAsia="宋体"/>
                <w:b w:val="0"/>
                <w:sz w:val="20"/>
              </w:rPr>
              <w:t>性能与稳定性都重要</w:t>
            </w:r>
          </w:p>
        </w:tc>
      </w:tr>
      <w:tr>
        <w:tc>
          <w:tcPr>
            <w:tcW w:type="dxa" w:w="2408"/>
            <w:vAlign w:val="center"/>
          </w:tcPr>
          <w:p>
            <w:pPr>
              <w:spacing w:after="40" w:line="276" w:lineRule="auto"/>
            </w:pPr>
            <w:r>
              <w:rPr>
                <w:rFonts w:ascii="Times New Roman" w:hAnsi="Times New Roman" w:eastAsia="宋体"/>
                <w:b w:val="0"/>
                <w:sz w:val="20"/>
              </w:rPr>
              <w:t>最小二乘、秩亏问题</w:t>
            </w:r>
          </w:p>
        </w:tc>
        <w:tc>
          <w:tcPr>
            <w:tcW w:type="dxa" w:w="2408"/>
            <w:vAlign w:val="center"/>
          </w:tcPr>
          <w:p>
            <w:pPr>
              <w:spacing w:after="40" w:line="276" w:lineRule="auto"/>
            </w:pPr>
            <w:r>
              <w:rPr>
                <w:rFonts w:ascii="Times New Roman" w:hAnsi="Times New Roman" w:eastAsia="宋体"/>
                <w:b w:val="0"/>
                <w:sz w:val="20"/>
              </w:rPr>
              <w:t>先走 `numpy.linalg.lstsq` / `scipy.linalg.lstsq`</w:t>
            </w:r>
          </w:p>
        </w:tc>
        <w:tc>
          <w:tcPr>
            <w:tcW w:type="dxa" w:w="2408"/>
            <w:vAlign w:val="center"/>
          </w:tcPr>
          <w:p>
            <w:pPr>
              <w:spacing w:after="40" w:line="276" w:lineRule="auto"/>
            </w:pPr>
            <w:r>
              <w:rPr>
                <w:rFonts w:ascii="Times New Roman" w:hAnsi="Times New Roman" w:eastAsia="宋体"/>
                <w:b w:val="0"/>
                <w:sz w:val="20"/>
              </w:rPr>
              <w:t>补齐 `xGELSY`、`xGELSD`、`xGELS`</w:t>
            </w:r>
          </w:p>
        </w:tc>
        <w:tc>
          <w:tcPr>
            <w:tcW w:type="dxa" w:w="2408"/>
            <w:vAlign w:val="center"/>
          </w:tcPr>
          <w:p>
            <w:pPr>
              <w:spacing w:after="40" w:line="276" w:lineRule="auto"/>
            </w:pPr>
            <w:r>
              <w:rPr>
                <w:rFonts w:ascii="Times New Roman" w:hAnsi="Times New Roman" w:eastAsia="宋体"/>
                <w:b w:val="0"/>
                <w:sz w:val="20"/>
              </w:rPr>
              <w:t>是替代 MATLAB 的关键差异点</w:t>
            </w:r>
          </w:p>
        </w:tc>
      </w:tr>
      <w:tr>
        <w:tc>
          <w:tcPr>
            <w:tcW w:type="dxa" w:w="2408"/>
            <w:vAlign w:val="center"/>
          </w:tcPr>
          <w:p>
            <w:pPr>
              <w:spacing w:after="40" w:line="276" w:lineRule="auto"/>
            </w:pPr>
            <w:r>
              <w:rPr>
                <w:rFonts w:ascii="Times New Roman" w:hAnsi="Times New Roman" w:eastAsia="宋体"/>
                <w:b w:val="0"/>
                <w:sz w:val="20"/>
              </w:rPr>
              <w:t>标准特征值 / 对称特征值</w:t>
            </w:r>
          </w:p>
        </w:tc>
        <w:tc>
          <w:tcPr>
            <w:tcW w:type="dxa" w:w="2408"/>
            <w:vAlign w:val="center"/>
          </w:tcPr>
          <w:p>
            <w:pPr>
              <w:spacing w:after="40" w:line="276" w:lineRule="auto"/>
            </w:pPr>
            <w:r>
              <w:rPr>
                <w:rFonts w:ascii="Times New Roman" w:hAnsi="Times New Roman" w:eastAsia="宋体"/>
                <w:b w:val="0"/>
                <w:sz w:val="20"/>
              </w:rPr>
              <w:t>先走 `eig` / `eigh` / `eigs` / `eigsh`</w:t>
            </w:r>
          </w:p>
        </w:tc>
        <w:tc>
          <w:tcPr>
            <w:tcW w:type="dxa" w:w="2408"/>
            <w:vAlign w:val="center"/>
          </w:tcPr>
          <w:p>
            <w:pPr>
              <w:spacing w:after="40" w:line="276" w:lineRule="auto"/>
            </w:pPr>
            <w:r>
              <w:rPr>
                <w:rFonts w:ascii="Times New Roman" w:hAnsi="Times New Roman" w:eastAsia="宋体"/>
                <w:b w:val="0"/>
                <w:sz w:val="20"/>
              </w:rPr>
              <w:t>继续下沉到 `xGEEV`、`xSYEV`、`xSYEVR`、ARPACK</w:t>
            </w:r>
          </w:p>
        </w:tc>
        <w:tc>
          <w:tcPr>
            <w:tcW w:type="dxa" w:w="2408"/>
            <w:vAlign w:val="center"/>
          </w:tcPr>
          <w:p>
            <w:pPr>
              <w:spacing w:after="40" w:line="276" w:lineRule="auto"/>
            </w:pPr>
            <w:r>
              <w:rPr>
                <w:rFonts w:ascii="Times New Roman" w:hAnsi="Times New Roman" w:eastAsia="宋体"/>
                <w:b w:val="0"/>
                <w:sz w:val="20"/>
              </w:rPr>
              <w:t>高频场景，适合尽快统一</w:t>
            </w:r>
          </w:p>
        </w:tc>
      </w:tr>
      <w:tr>
        <w:tc>
          <w:tcPr>
            <w:tcW w:type="dxa" w:w="2408"/>
            <w:vAlign w:val="center"/>
          </w:tcPr>
          <w:p>
            <w:pPr>
              <w:spacing w:after="40" w:line="276" w:lineRule="auto"/>
            </w:pPr>
            <w:r>
              <w:rPr>
                <w:rFonts w:ascii="Times New Roman" w:hAnsi="Times New Roman" w:eastAsia="宋体"/>
                <w:b w:val="0"/>
                <w:sz w:val="20"/>
              </w:rPr>
              <w:t>Schur / 广义特征值</w:t>
            </w:r>
          </w:p>
        </w:tc>
        <w:tc>
          <w:tcPr>
            <w:tcW w:type="dxa" w:w="2408"/>
            <w:vAlign w:val="center"/>
          </w:tcPr>
          <w:p>
            <w:pPr>
              <w:spacing w:after="40" w:line="276" w:lineRule="auto"/>
            </w:pPr>
            <w:r>
              <w:rPr>
                <w:rFonts w:ascii="Times New Roman" w:hAnsi="Times New Roman" w:eastAsia="宋体"/>
                <w:b w:val="0"/>
                <w:sz w:val="20"/>
              </w:rPr>
              <w:t>SciPy 高层接口不足时建立适配层</w:t>
            </w:r>
          </w:p>
        </w:tc>
        <w:tc>
          <w:tcPr>
            <w:tcW w:type="dxa" w:w="2408"/>
            <w:vAlign w:val="center"/>
          </w:tcPr>
          <w:p>
            <w:pPr>
              <w:spacing w:after="40" w:line="276" w:lineRule="auto"/>
            </w:pPr>
            <w:r>
              <w:rPr>
                <w:rFonts w:ascii="Times New Roman" w:hAnsi="Times New Roman" w:eastAsia="宋体"/>
                <w:b w:val="0"/>
                <w:sz w:val="20"/>
              </w:rPr>
              <w:t>补齐 `xGEES`、`xGGES`、`xGGEV`</w:t>
            </w:r>
          </w:p>
        </w:tc>
        <w:tc>
          <w:tcPr>
            <w:tcW w:type="dxa" w:w="2408"/>
            <w:vAlign w:val="center"/>
          </w:tcPr>
          <w:p>
            <w:pPr>
              <w:spacing w:after="40" w:line="276" w:lineRule="auto"/>
            </w:pPr>
            <w:r>
              <w:rPr>
                <w:rFonts w:ascii="Times New Roman" w:hAnsi="Times New Roman" w:eastAsia="宋体"/>
                <w:b w:val="0"/>
                <w:sz w:val="20"/>
              </w:rPr>
              <w:t>能明显提升研究型任务覆盖率</w:t>
            </w:r>
          </w:p>
        </w:tc>
      </w:tr>
      <w:tr>
        <w:tc>
          <w:tcPr>
            <w:tcW w:type="dxa" w:w="2408"/>
            <w:vAlign w:val="center"/>
          </w:tcPr>
          <w:p>
            <w:pPr>
              <w:spacing w:after="40" w:line="276" w:lineRule="auto"/>
            </w:pPr>
            <w:r>
              <w:rPr>
                <w:rFonts w:ascii="Times New Roman" w:hAnsi="Times New Roman" w:eastAsia="宋体"/>
                <w:b w:val="0"/>
                <w:sz w:val="20"/>
              </w:rPr>
              <w:t>病态系统稳健求解</w:t>
            </w:r>
          </w:p>
        </w:tc>
        <w:tc>
          <w:tcPr>
            <w:tcW w:type="dxa" w:w="2408"/>
            <w:vAlign w:val="center"/>
          </w:tcPr>
          <w:p>
            <w:pPr>
              <w:spacing w:after="40" w:line="276" w:lineRule="auto"/>
            </w:pPr>
            <w:r>
              <w:rPr>
                <w:rFonts w:ascii="Times New Roman" w:hAnsi="Times New Roman" w:eastAsia="宋体"/>
                <w:b w:val="0"/>
                <w:sz w:val="20"/>
              </w:rPr>
              <w:t>做条件数估计、平衡、残差报告</w:t>
            </w:r>
          </w:p>
        </w:tc>
        <w:tc>
          <w:tcPr>
            <w:tcW w:type="dxa" w:w="2408"/>
            <w:vAlign w:val="center"/>
          </w:tcPr>
          <w:p>
            <w:pPr>
              <w:spacing w:after="40" w:line="276" w:lineRule="auto"/>
            </w:pPr>
            <w:r>
              <w:rPr>
                <w:rFonts w:ascii="Times New Roman" w:hAnsi="Times New Roman" w:eastAsia="宋体"/>
                <w:b w:val="0"/>
                <w:sz w:val="20"/>
              </w:rPr>
              <w:t>考虑 `xGESVX`、`xGECON` 等</w:t>
            </w:r>
          </w:p>
        </w:tc>
        <w:tc>
          <w:tcPr>
            <w:tcW w:type="dxa" w:w="2408"/>
            <w:vAlign w:val="center"/>
          </w:tcPr>
          <w:p>
            <w:pPr>
              <w:spacing w:after="40" w:line="276" w:lineRule="auto"/>
            </w:pPr>
            <w:r>
              <w:rPr>
                <w:rFonts w:ascii="Times New Roman" w:hAnsi="Times New Roman" w:eastAsia="宋体"/>
                <w:b w:val="0"/>
                <w:sz w:val="20"/>
              </w:rPr>
              <w:t>体现平台成熟度</w:t>
            </w:r>
          </w:p>
        </w:tc>
      </w:tr>
      <w:tr>
        <w:tc>
          <w:tcPr>
            <w:tcW w:type="dxa" w:w="2408"/>
            <w:vAlign w:val="center"/>
          </w:tcPr>
          <w:p>
            <w:pPr>
              <w:spacing w:after="40" w:line="276" w:lineRule="auto"/>
            </w:pPr>
            <w:r>
              <w:rPr>
                <w:rFonts w:ascii="Times New Roman" w:hAnsi="Times New Roman" w:eastAsia="宋体"/>
                <w:b w:val="0"/>
                <w:sz w:val="20"/>
              </w:rPr>
              <w:t>大规模稀疏系统</w:t>
            </w:r>
          </w:p>
        </w:tc>
        <w:tc>
          <w:tcPr>
            <w:tcW w:type="dxa" w:w="2408"/>
            <w:vAlign w:val="center"/>
          </w:tcPr>
          <w:p>
            <w:pPr>
              <w:spacing w:after="40" w:line="276" w:lineRule="auto"/>
            </w:pPr>
            <w:r>
              <w:rPr>
                <w:rFonts w:ascii="Times New Roman" w:hAnsi="Times New Roman" w:eastAsia="宋体"/>
                <w:b w:val="0"/>
                <w:sz w:val="20"/>
              </w:rPr>
              <w:t>优先 `spsolve`、`cg`、`gmres`</w:t>
            </w:r>
          </w:p>
        </w:tc>
        <w:tc>
          <w:tcPr>
            <w:tcW w:type="dxa" w:w="2408"/>
            <w:vAlign w:val="center"/>
          </w:tcPr>
          <w:p>
            <w:pPr>
              <w:spacing w:after="40" w:line="276" w:lineRule="auto"/>
            </w:pPr>
            <w:r>
              <w:rPr>
                <w:rFonts w:ascii="Times New Roman" w:hAnsi="Times New Roman" w:eastAsia="宋体"/>
                <w:b w:val="0"/>
                <w:sz w:val="20"/>
              </w:rPr>
              <w:t>后续接入 SuiteSparse / PETSc / SLEPc</w:t>
            </w:r>
          </w:p>
        </w:tc>
        <w:tc>
          <w:tcPr>
            <w:tcW w:type="dxa" w:w="2408"/>
            <w:vAlign w:val="center"/>
          </w:tcPr>
          <w:p>
            <w:pPr>
              <w:spacing w:after="40" w:line="276" w:lineRule="auto"/>
            </w:pPr>
            <w:r>
              <w:rPr>
                <w:rFonts w:ascii="Times New Roman" w:hAnsi="Times New Roman" w:eastAsia="宋体"/>
                <w:b w:val="0"/>
                <w:sz w:val="20"/>
              </w:rPr>
              <w:t>关系到是否能处理真实科研数据</w:t>
            </w:r>
          </w:p>
        </w:tc>
      </w:tr>
    </w:tbl>
    <w:p>
      <w:pPr>
        <w:pStyle w:val="Heading2"/>
        <w:spacing w:before="120" w:after="80"/>
      </w:pPr>
      <w:r>
        <w:t>1. 建议采用三层封装，而不是直接在 Agent 里硬写函数名</w:t>
      </w:r>
    </w:p>
    <w:p>
      <w:pPr>
        <w:pStyle w:val="ListNumber"/>
        <w:spacing w:before="0" w:after="60" w:line="293" w:lineRule="auto"/>
      </w:pPr>
      <w:r>
        <w:rPr>
          <w:rFonts w:ascii="Times New Roman" w:hAnsi="Times New Roman" w:eastAsia="宋体"/>
          <w:b w:val="0"/>
          <w:sz w:val="22"/>
        </w:rPr>
        <w:t>第一层：高层数学意图层。例如 `solve_linear_system`、`least_squares`、`eigenpairs`、`schur_decomposition`、`generalized_eigenpairs`。</w:t>
      </w:r>
    </w:p>
    <w:p>
      <w:pPr>
        <w:pStyle w:val="ListNumber"/>
        <w:spacing w:before="0" w:after="60" w:line="293" w:lineRule="auto"/>
      </w:pPr>
      <w:r>
        <w:rPr>
          <w:rFonts w:ascii="Times New Roman" w:hAnsi="Times New Roman" w:eastAsia="宋体"/>
          <w:b w:val="0"/>
          <w:sz w:val="22"/>
        </w:rPr>
        <w:t>第二层：策略决策层。根据矩阵类型、规模、稀疏性、是否对称/正定、用户精度需求，选择高层 SciPy API 或低层 LAPACK 例程。</w:t>
      </w:r>
    </w:p>
    <w:p>
      <w:pPr>
        <w:pStyle w:val="ListNumber"/>
        <w:spacing w:before="0" w:after="60" w:line="293" w:lineRule="auto"/>
      </w:pPr>
      <w:r>
        <w:rPr>
          <w:rFonts w:ascii="Times New Roman" w:hAnsi="Times New Roman" w:eastAsia="宋体"/>
          <w:b w:val="0"/>
          <w:sz w:val="22"/>
        </w:rPr>
        <w:t>第三层：底层求解器桥接层。优先调用 SciPy 现成接口；若 SciPy 无统一封装，则使用 `scipy.linalg.lapack.get_lapack_funcs`；再不足时，才考虑 `ctypes/cffi` 直接桥接 MKL/OpenBLAS/SuiteSparse。</w:t>
      </w:r>
    </w:p>
    <w:p>
      <w:pPr>
        <w:pStyle w:val="Heading2"/>
        <w:spacing w:before="120" w:after="80"/>
      </w:pPr>
      <w:r>
        <w:t>2. 一个现实可行的补齐顺序</w:t>
      </w:r>
    </w:p>
    <w:p>
      <w:pPr>
        <w:pStyle w:val="ListNumber"/>
        <w:spacing w:before="0" w:after="60" w:line="293" w:lineRule="auto"/>
      </w:pPr>
      <w:r>
        <w:rPr>
          <w:rFonts w:ascii="Times New Roman" w:hAnsi="Times New Roman" w:eastAsia="宋体"/>
          <w:b w:val="0"/>
          <w:sz w:val="22"/>
        </w:rPr>
        <w:t>先把线性方程组、最小二乘、稠密/稀疏特征值这三条链路做厚，因为这是 MATLAB 使用频率最高、老师也最容易感受到效果的部分。</w:t>
      </w:r>
    </w:p>
    <w:p>
      <w:pPr>
        <w:pStyle w:val="ListNumber"/>
        <w:spacing w:before="0" w:after="60" w:line="293" w:lineRule="auto"/>
      </w:pPr>
      <w:r>
        <w:rPr>
          <w:rFonts w:ascii="Times New Roman" w:hAnsi="Times New Roman" w:eastAsia="宋体"/>
          <w:b w:val="0"/>
          <w:sz w:val="22"/>
        </w:rPr>
        <w:t>第二步补 Schur 分解、广义特征值问题、条件数估计、病态问题报告，这能明显提升“研究级任务”适配能力。</w:t>
      </w:r>
    </w:p>
    <w:p>
      <w:pPr>
        <w:pStyle w:val="ListNumber"/>
        <w:spacing w:before="0" w:after="60" w:line="293" w:lineRule="auto"/>
      </w:pPr>
      <w:r>
        <w:rPr>
          <w:rFonts w:ascii="Times New Roman" w:hAnsi="Times New Roman" w:eastAsia="宋体"/>
          <w:b w:val="0"/>
          <w:sz w:val="22"/>
        </w:rPr>
        <w:t>第三步再进入更长尾的问题，例如矩阵函数、Lyapunov/Sylvester 方程、结构化矩阵、块矩阵和带状矩阵。</w:t>
      </w:r>
    </w:p>
    <w:p>
      <w:pPr>
        <w:pStyle w:val="Heading2"/>
        <w:spacing w:before="120" w:after="80"/>
      </w:pPr>
      <w:r>
        <w:t>3. 对“只有 MATLAB 支持”的函数，如何替代</w:t>
      </w:r>
    </w:p>
    <w:p>
      <w:pPr>
        <w:pStyle w:val="ListBullet"/>
        <w:spacing w:before="0" w:after="60" w:line="293" w:lineRule="auto"/>
      </w:pPr>
      <w:r>
        <w:rPr>
          <w:rFonts w:ascii="Times New Roman" w:hAnsi="Times New Roman" w:eastAsia="宋体"/>
          <w:b w:val="0"/>
          <w:sz w:val="22"/>
        </w:rPr>
        <w:t>先确认是不是“MATLAB 有、SciPy 没有高层入口”，而不是“Python 完全做不了”。很多 MATLAB 能力在 Python 里并非不存在，只是分散在 `numpy.linalg`、`scipy.linalg`、`scipy.sparse.linalg`、`scipy.linalg.lapack` 等不同层次。</w:t>
      </w:r>
    </w:p>
    <w:p>
      <w:pPr>
        <w:pStyle w:val="ListBullet"/>
        <w:spacing w:before="0" w:after="60" w:line="293" w:lineRule="auto"/>
      </w:pPr>
      <w:r>
        <w:rPr>
          <w:rFonts w:ascii="Times New Roman" w:hAnsi="Times New Roman" w:eastAsia="宋体"/>
          <w:b w:val="0"/>
          <w:sz w:val="22"/>
        </w:rPr>
        <w:t>对 SciPy 已有高层封装的情形，优先调用高层 API，不要过早下沉到底层 LAPACK，以避免自己处理工作空间、列主序、dtype 分派和错误码。</w:t>
      </w:r>
    </w:p>
    <w:p>
      <w:pPr>
        <w:pStyle w:val="ListBullet"/>
        <w:spacing w:before="0" w:after="60" w:line="293" w:lineRule="auto"/>
      </w:pPr>
      <w:r>
        <w:rPr>
          <w:rFonts w:ascii="Times New Roman" w:hAnsi="Times New Roman" w:eastAsia="宋体"/>
          <w:b w:val="0"/>
          <w:sz w:val="22"/>
        </w:rPr>
        <w:t>对 SciPy 只有低层封装、没有统一接口的情形，可建立 `lapack_bridge.py`，统一管理 `get_lapack_funcs` 的 dtype 路由、工作区查询、`info` 错误码解释、输入输出矩阵的 Fortran 连续布局。</w:t>
      </w:r>
    </w:p>
    <w:p>
      <w:pPr>
        <w:pStyle w:val="ListBullet"/>
        <w:spacing w:before="0" w:after="60" w:line="293" w:lineRule="auto"/>
      </w:pPr>
      <w:r>
        <w:rPr>
          <w:rFonts w:ascii="Times New Roman" w:hAnsi="Times New Roman" w:eastAsia="宋体"/>
          <w:b w:val="0"/>
          <w:sz w:val="22"/>
        </w:rPr>
        <w:t>对 SciPy 也缺封装但底层库实际存在的情形，再考虑 `ctypes`/`cffi` 直连动态库，或者使用 Cython/pybind11 做薄封装。这一步应尽量晚做，因为维护成本明显更高。</w:t>
      </w:r>
    </w:p>
    <w:p>
      <w:pPr>
        <w:pStyle w:val="ListBullet"/>
        <w:spacing w:before="0" w:after="60" w:line="293" w:lineRule="auto"/>
      </w:pPr>
      <w:r>
        <w:rPr>
          <w:rFonts w:ascii="Times New Roman" w:hAnsi="Times New Roman" w:eastAsia="宋体"/>
          <w:b w:val="0"/>
          <w:sz w:val="22"/>
        </w:rPr>
        <w:t>所有下沉到低层的接口，都应统一返回：例程名、输入矩阵摘要、收敛状态、残差、条件数估计、失败原因和回退方案。这样才能真正形成 MATLAB 式“稳健接口”，而不是裸函数调用。</w:t>
      </w:r>
    </w:p>
    <w:p>
      <w:pPr>
        <w:pStyle w:val="Heading1"/>
        <w:spacing w:before="200" w:after="80"/>
      </w:pPr>
      <w:r>
        <w:t>六、建议的下一阶段研发重点</w:t>
      </w:r>
    </w:p>
    <w:p>
      <w:pPr>
        <w:pStyle w:val="ListBullet"/>
        <w:spacing w:before="0" w:after="60" w:line="293" w:lineRule="auto"/>
      </w:pPr>
      <w:r>
        <w:rPr>
          <w:rFonts w:ascii="Times New Roman" w:hAnsi="Times New Roman" w:eastAsia="宋体"/>
          <w:b w:val="0"/>
          <w:sz w:val="22"/>
        </w:rPr>
        <w:t>把当前离散工具封装成更统一的用户动作接口，例如 `solve(A,b)`、`eig(A)`、`lstsq(A,b)`、`factorize(A)`，弱化内部工具感。</w:t>
      </w:r>
    </w:p>
    <w:p>
      <w:pPr>
        <w:pStyle w:val="ListBullet"/>
        <w:spacing w:before="0" w:after="60" w:line="293" w:lineRule="auto"/>
      </w:pPr>
      <w:r>
        <w:rPr>
          <w:rFonts w:ascii="Times New Roman" w:hAnsi="Times New Roman" w:eastAsia="宋体"/>
          <w:b w:val="0"/>
          <w:sz w:val="22"/>
        </w:rPr>
        <w:t>新增求解器注册表（solver registry）。让每类问题都能声明：适用前提、默认路线、备用路线、失败回退、验证指标。</w:t>
      </w:r>
    </w:p>
    <w:p>
      <w:pPr>
        <w:pStyle w:val="ListBullet"/>
        <w:spacing w:before="0" w:after="60" w:line="293" w:lineRule="auto"/>
      </w:pPr>
      <w:r>
        <w:rPr>
          <w:rFonts w:ascii="Times New Roman" w:hAnsi="Times New Roman" w:eastAsia="宋体"/>
          <w:b w:val="0"/>
          <w:sz w:val="22"/>
        </w:rPr>
        <w:t>为核心数值模块补测试。至少覆盖：矩阵解析、方阵/秩亏/病态路由、特征值算法选择、稀疏输入保持、执行器失败场景、文档检索失败回退。</w:t>
      </w:r>
    </w:p>
    <w:p>
      <w:pPr>
        <w:pStyle w:val="ListBullet"/>
        <w:spacing w:before="0" w:after="60" w:line="293" w:lineRule="auto"/>
      </w:pPr>
      <w:r>
        <w:rPr>
          <w:rFonts w:ascii="Times New Roman" w:hAnsi="Times New Roman" w:eastAsia="宋体"/>
          <w:b w:val="0"/>
          <w:sz w:val="22"/>
        </w:rPr>
        <w:t>建立误差与稳定性报告模板。老师通常会更关心：为什么选这个算法、什么时候不稳定、残差多大、条件数是否过高，这些应标准化输出。</w:t>
      </w:r>
    </w:p>
    <w:p>
      <w:pPr>
        <w:pStyle w:val="ListBullet"/>
        <w:spacing w:before="0" w:after="60" w:line="293" w:lineRule="auto"/>
      </w:pPr>
      <w:r>
        <w:rPr>
          <w:rFonts w:ascii="Times New Roman" w:hAnsi="Times New Roman" w:eastAsia="宋体"/>
          <w:b w:val="0"/>
          <w:sz w:val="22"/>
        </w:rPr>
        <w:t>把稀疏矩阵链路做深。后续至少要考虑：预条件器、重排序、CSR/CSC 自适应、避免不必要的稠密化、部分特征值默认策略。</w:t>
      </w:r>
    </w:p>
    <w:p>
      <w:pPr>
        <w:pStyle w:val="ListBullet"/>
        <w:spacing w:before="0" w:after="60" w:line="293" w:lineRule="auto"/>
      </w:pPr>
      <w:r>
        <w:rPr>
          <w:rFonts w:ascii="Times New Roman" w:hAnsi="Times New Roman" w:eastAsia="宋体"/>
          <w:b w:val="0"/>
          <w:sz w:val="22"/>
        </w:rPr>
        <w:t>逐步形成 MATLAB 兼容层。不是做语法级完全兼容，而是先兼容高频数值动作和工作区体验，让用户迁移成本显著降低。</w:t>
      </w:r>
    </w:p>
    <w:p>
      <w:pPr>
        <w:pStyle w:val="Heading1"/>
        <w:spacing w:before="200" w:after="80"/>
      </w:pPr>
      <w:r>
        <w:t>七、可用于向老师汇报的总体判断</w:t>
      </w:r>
    </w:p>
    <w:p>
      <w:pPr>
        <w:spacing w:after="100" w:line="307" w:lineRule="auto"/>
        <w:ind w:firstLine="420"/>
      </w:pPr>
      <w:r>
        <w:rPr>
          <w:rFonts w:ascii="Times New Roman" w:hAnsi="Times New Roman" w:eastAsia="宋体"/>
          <w:b w:val="0"/>
          <w:sz w:val="22"/>
        </w:rPr>
        <w:t>总体上，这个数值代数 Agent 已经完成了从“简单问答原型”向“具备专用流程控制的数学助理系统”的第一阶段跃迁。它最大的亮点在于：已经搭起了替代 MATLAB 所需要的上层框架，包括任务理解、矩阵性质确认、算法规划、工作区体验、执行验证与经验积累。但项目当前仍应被定位为“替代 MATLAB 的前期系统雏形”，而不是“已经具备 MATLAB 级数值计算能力的成熟平台”。下一步最关键的不是继续扩充对话能力，而是补齐底层求解器适配层与高频数值内核，使 Agent 从“会解释怎么做”升级为“真的能稳定完成大部分 MATLAB 常见数值任务”。</w:t>
      </w:r>
    </w:p>
    <w:p>
      <w:pPr>
        <w:pStyle w:val="Heading2"/>
        <w:spacing w:before="120" w:after="80"/>
      </w:pPr>
      <w:r>
        <w:t>附：一句话路线建议</w:t>
      </w:r>
    </w:p>
    <w:tbl>
      <w:tblPr>
        <w:tblStyle w:val="TableGrid"/>
        <w:tblW w:type="auto" w:w="0"/>
        <w:tblLook w:firstColumn="1" w:firstRow="1" w:lastColumn="0" w:lastRow="0" w:noHBand="0" w:noVBand="1" w:val="04A0"/>
      </w:tblPr>
      <w:tblGrid>
        <w:gridCol w:w="9632"/>
      </w:tblGrid>
      <w:tr>
        <w:tc>
          <w:tcPr>
            <w:tcW w:type="dxa" w:w="9632"/>
            <w:shd w:fill="FFF2CC"/>
          </w:tcPr>
          <w:p>
            <w:pPr>
              <w:jc w:val="left"/>
            </w:pPr>
            <w:r>
              <w:rPr>
                <w:rFonts w:ascii="Times New Roman" w:hAnsi="Times New Roman" w:eastAsia="等线"/>
                <w:b/>
                <w:color w:val="7F6000"/>
                <w:sz w:val="22"/>
              </w:rPr>
              <w:t>短期先把“常见任务统一接口 + SciPy/LAPACK 对应关系 + 核心测试”做扎实；中期补 Schur / 广义特征值 / 病态系统稳健求解；长期再逐步形成可替代 MATLAB 高频数值功能的兼容层。</w:t>
            </w:r>
          </w:p>
        </w:tc>
      </w:tr>
    </w:tbl>
    <w:sectPr w:rsidR="00FC693F" w:rsidRPr="0006063C" w:rsidSect="00034616">
      <w:pgSz w:w="12240" w:h="15840"/>
      <w:pgMar w:top="1247" w:right="1247"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微软雅黑"/>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rPr>
      <w:rFonts w:ascii="Times New Roman" w:hAnsi="Times New Roman" w:eastAsia="等线"/>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