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560" w:after="120"/>
        <w:jc w:val="center"/>
      </w:pPr>
      <w:r>
        <w:rPr>
          <w:rFonts w:ascii="宋体" w:hAnsi="宋体" w:eastAsia="宋体"/>
          <w:b/>
          <w:sz w:val="44"/>
        </w:rPr>
        <w:t>2026中国高校计算机大赛—人工智能创意赛</w:t>
      </w:r>
    </w:p>
    <w:p>
      <w:pPr>
        <w:spacing w:line="240" w:lineRule="auto" w:before="0" w:after="320"/>
        <w:jc w:val="center"/>
      </w:pPr>
      <w:r>
        <w:rPr>
          <w:rFonts w:ascii="宋体" w:hAnsi="宋体" w:eastAsia="宋体"/>
          <w:b/>
          <w:sz w:val="44"/>
        </w:rPr>
        <w:t>鸿蒙赛道作品说明文档（初赛）</w:t>
      </w:r>
    </w:p>
    <w:p>
      <w:pPr>
        <w:spacing w:line="240" w:lineRule="auto" w:before="0" w:after="120"/>
        <w:jc w:val="center"/>
      </w:pPr>
      <w:r>
        <w:rPr>
          <w:rFonts w:ascii="宋体" w:hAnsi="宋体" w:eastAsia="宋体"/>
          <w:b/>
          <w:sz w:val="28"/>
        </w:rPr>
        <w:t>参赛学校：</w:t>
      </w:r>
      <w:r>
        <w:rPr>
          <w:rFonts w:ascii="宋体" w:hAnsi="宋体" w:eastAsia="宋体"/>
          <w:b w:val="0"/>
          <w:sz w:val="28"/>
        </w:rPr>
        <w:t>【待填写：以队长学校为准】</w:t>
      </w:r>
    </w:p>
    <w:p>
      <w:pPr>
        <w:spacing w:line="240" w:lineRule="auto" w:before="0" w:after="120"/>
        <w:jc w:val="center"/>
      </w:pPr>
      <w:r>
        <w:rPr>
          <w:rFonts w:ascii="宋体" w:hAnsi="宋体" w:eastAsia="宋体"/>
          <w:b/>
          <w:sz w:val="28"/>
        </w:rPr>
        <w:t>团队名称：</w:t>
      </w:r>
      <w:r>
        <w:rPr>
          <w:rFonts w:ascii="宋体" w:hAnsi="宋体" w:eastAsia="宋体"/>
          <w:b w:val="0"/>
          <w:sz w:val="28"/>
        </w:rPr>
        <w:t>法言白话队</w:t>
      </w:r>
    </w:p>
    <w:p>
      <w:pPr>
        <w:spacing w:line="240" w:lineRule="auto" w:before="0" w:after="120"/>
        <w:jc w:val="center"/>
      </w:pPr>
      <w:r>
        <w:rPr>
          <w:rFonts w:ascii="宋体" w:hAnsi="宋体" w:eastAsia="宋体"/>
          <w:b/>
          <w:sz w:val="28"/>
        </w:rPr>
        <w:t>作品名称：</w:t>
      </w:r>
      <w:r>
        <w:rPr>
          <w:rFonts w:ascii="宋体" w:hAnsi="宋体" w:eastAsia="宋体"/>
          <w:b w:val="0"/>
          <w:sz w:val="28"/>
        </w:rPr>
        <w:t>法言白话</w:t>
      </w:r>
    </w:p>
    <w:p>
      <w:pPr>
        <w:spacing w:line="240" w:lineRule="auto" w:before="0" w:after="120"/>
        <w:jc w:val="center"/>
      </w:pPr>
      <w:r>
        <w:rPr>
          <w:rFonts w:ascii="宋体" w:hAnsi="宋体" w:eastAsia="宋体"/>
          <w:b/>
          <w:sz w:val="28"/>
        </w:rPr>
        <w:t>赛题方向：</w:t>
      </w:r>
      <w:r>
        <w:rPr>
          <w:rFonts w:ascii="宋体" w:hAnsi="宋体" w:eastAsia="宋体"/>
          <w:b w:val="0"/>
          <w:sz w:val="28"/>
        </w:rPr>
        <w:t>应用创新</w:t>
      </w:r>
    </w:p>
    <w:p>
      <w:pPr>
        <w:spacing w:line="240" w:lineRule="auto" w:before="0" w:after="120"/>
        <w:jc w:val="center"/>
      </w:pPr>
      <w:r>
        <w:rPr>
          <w:rFonts w:ascii="宋体" w:hAnsi="宋体" w:eastAsia="宋体"/>
          <w:b/>
          <w:sz w:val="28"/>
        </w:rPr>
        <w:t>联系人（队长）：</w:t>
      </w:r>
      <w:r>
        <w:rPr>
          <w:rFonts w:ascii="宋体" w:hAnsi="宋体" w:eastAsia="宋体"/>
          <w:b w:val="0"/>
          <w:sz w:val="28"/>
        </w:rPr>
        <w:t>【待填写】</w:t>
      </w:r>
    </w:p>
    <w:p>
      <w:pPr>
        <w:spacing w:line="240" w:lineRule="auto" w:before="0" w:after="120"/>
        <w:jc w:val="center"/>
      </w:pPr>
      <w:r>
        <w:rPr>
          <w:rFonts w:ascii="宋体" w:hAnsi="宋体" w:eastAsia="宋体"/>
          <w:b/>
          <w:sz w:val="28"/>
        </w:rPr>
        <w:t>联系电话（队长）：</w:t>
      </w:r>
      <w:r>
        <w:rPr>
          <w:rFonts w:ascii="宋体" w:hAnsi="宋体" w:eastAsia="宋体"/>
          <w:b w:val="0"/>
          <w:sz w:val="28"/>
        </w:rPr>
        <w:t>【待填写】</w:t>
      </w:r>
    </w:p>
    <w:p>
      <w:r>
        <w:br w:type="page"/>
      </w:r>
    </w:p>
    <w:p>
      <w:pPr>
        <w:spacing w:line="240" w:lineRule="auto" w:before="0" w:after="160"/>
        <w:jc w:val="center"/>
      </w:pPr>
      <w:r>
        <w:rPr>
          <w:rFonts w:ascii="宋体" w:hAnsi="宋体" w:eastAsia="宋体"/>
          <w:b/>
          <w:sz w:val="36"/>
        </w:rPr>
        <w:t>作品说明文档（初赛）</w:t>
      </w:r>
    </w:p>
    <w:p>
      <w:pPr>
        <w:spacing w:line="240" w:lineRule="auto" w:before="0" w:after="60"/>
        <w:jc w:val="left"/>
      </w:pPr>
      <w:r>
        <w:rPr>
          <w:rFonts w:ascii="宋体" w:hAnsi="宋体" w:eastAsia="宋体"/>
          <w:b w:val="0"/>
          <w:sz w:val="21"/>
        </w:rPr>
        <w:t>包含但不限于以下内容：</w:t>
      </w:r>
    </w:p>
    <w:p>
      <w:pPr>
        <w:spacing w:line="240" w:lineRule="auto" w:before="0" w:after="80"/>
        <w:jc w:val="left"/>
      </w:pPr>
      <w:r>
        <w:rPr>
          <w:rFonts w:ascii="宋体" w:hAnsi="宋体" w:eastAsia="宋体"/>
          <w:b w:val="0"/>
          <w:sz w:val="21"/>
        </w:rPr>
        <w:t>一、参赛团队信息表</w:t>
      </w:r>
    </w:p>
    <w:p>
      <w:pPr>
        <w:spacing w:line="240" w:lineRule="auto" w:before="0" w:after="80"/>
        <w:jc w:val="left"/>
      </w:pPr>
      <w:r>
        <w:rPr>
          <w:rFonts w:ascii="宋体" w:hAnsi="宋体" w:eastAsia="宋体"/>
          <w:b w:val="0"/>
          <w:sz w:val="21"/>
        </w:rPr>
        <w:t>二、作品原创性声明</w:t>
      </w:r>
    </w:p>
    <w:p>
      <w:pPr>
        <w:spacing w:line="240" w:lineRule="auto" w:before="0" w:after="80"/>
        <w:jc w:val="left"/>
      </w:pPr>
      <w:r>
        <w:rPr>
          <w:rFonts w:ascii="宋体" w:hAnsi="宋体" w:eastAsia="宋体"/>
          <w:b w:val="0"/>
          <w:sz w:val="21"/>
        </w:rPr>
        <w:t>三、创意描述（30字以内）</w:t>
      </w:r>
    </w:p>
    <w:p>
      <w:pPr>
        <w:spacing w:line="240" w:lineRule="auto" w:before="0" w:after="80"/>
        <w:jc w:val="left"/>
      </w:pPr>
      <w:r>
        <w:rPr>
          <w:rFonts w:ascii="宋体" w:hAnsi="宋体" w:eastAsia="宋体"/>
          <w:b w:val="0"/>
          <w:sz w:val="21"/>
        </w:rPr>
        <w:t>四、设计稿 / 技术方案（含技术路线与分模块实现）</w:t>
      </w:r>
    </w:p>
    <w:p>
      <w:pPr>
        <w:spacing w:line="240" w:lineRule="auto" w:before="0" w:after="80"/>
        <w:jc w:val="left"/>
      </w:pPr>
      <w:r>
        <w:rPr>
          <w:rFonts w:ascii="宋体" w:hAnsi="宋体" w:eastAsia="宋体"/>
          <w:b w:val="0"/>
          <w:sz w:val="21"/>
        </w:rPr>
        <w:t>五、介绍文档（800字以内）</w:t>
      </w:r>
    </w:p>
    <w:p>
      <w:pPr>
        <w:spacing w:line="240" w:lineRule="auto" w:before="160" w:after="80"/>
        <w:jc w:val="left"/>
      </w:pPr>
      <w:r>
        <w:rPr>
          <w:rFonts w:ascii="宋体" w:hAnsi="宋体" w:eastAsia="宋体"/>
          <w:b/>
          <w:sz w:val="28"/>
        </w:rPr>
        <w:t>技术方案章节目录（参考项目详细方案体例）</w:t>
      </w:r>
    </w:p>
    <w:p>
      <w:pPr>
        <w:spacing w:line="240" w:lineRule="auto" w:before="0" w:after="40"/>
        <w:jc w:val="left"/>
      </w:pPr>
      <w:r>
        <w:rPr>
          <w:rFonts w:ascii="宋体" w:hAnsi="宋体" w:eastAsia="宋体"/>
          <w:b w:val="0"/>
          <w:sz w:val="21"/>
        </w:rPr>
        <w:t>4.1 产品定位与赛题契合</w:t>
      </w:r>
    </w:p>
    <w:p>
      <w:pPr>
        <w:spacing w:line="240" w:lineRule="auto" w:before="0" w:after="40"/>
        <w:jc w:val="left"/>
      </w:pPr>
      <w:r>
        <w:rPr>
          <w:rFonts w:ascii="宋体" w:hAnsi="宋体" w:eastAsia="宋体"/>
          <w:b w:val="0"/>
          <w:sz w:val="21"/>
        </w:rPr>
        <w:t>4.2 交互设计稿</w:t>
      </w:r>
    </w:p>
    <w:p>
      <w:pPr>
        <w:spacing w:line="240" w:lineRule="auto" w:before="0" w:after="40"/>
        <w:jc w:val="left"/>
      </w:pPr>
      <w:r>
        <w:rPr>
          <w:rFonts w:ascii="宋体" w:hAnsi="宋体" w:eastAsia="宋体"/>
          <w:b w:val="0"/>
          <w:sz w:val="21"/>
        </w:rPr>
        <w:t>4.3 技术路线（文字介绍为主）</w:t>
      </w:r>
    </w:p>
    <w:p>
      <w:pPr>
        <w:spacing w:line="240" w:lineRule="auto" w:before="0" w:after="40"/>
        <w:jc w:val="left"/>
      </w:pPr>
      <w:r>
        <w:rPr>
          <w:rFonts w:ascii="宋体" w:hAnsi="宋体" w:eastAsia="宋体"/>
          <w:b w:val="0"/>
          <w:sz w:val="21"/>
        </w:rPr>
        <w:t xml:space="preserve">　　4.3.1 总体思路与设计原则</w:t>
      </w:r>
    </w:p>
    <w:p>
      <w:pPr>
        <w:spacing w:line="240" w:lineRule="auto" w:before="0" w:after="40"/>
        <w:jc w:val="left"/>
      </w:pPr>
      <w:r>
        <w:rPr>
          <w:rFonts w:ascii="宋体" w:hAnsi="宋体" w:eastAsia="宋体"/>
          <w:b w:val="0"/>
          <w:sz w:val="21"/>
        </w:rPr>
        <w:t xml:space="preserve">　　4.3.2 系统体系架构</w:t>
      </w:r>
    </w:p>
    <w:p>
      <w:pPr>
        <w:spacing w:line="240" w:lineRule="auto" w:before="0" w:after="40"/>
        <w:jc w:val="left"/>
      </w:pPr>
      <w:r>
        <w:rPr>
          <w:rFonts w:ascii="宋体" w:hAnsi="宋体" w:eastAsia="宋体"/>
          <w:b w:val="0"/>
          <w:sz w:val="21"/>
        </w:rPr>
        <w:t xml:space="preserve">　　4.3.3 端到端业务数据流</w:t>
      </w:r>
    </w:p>
    <w:p>
      <w:pPr>
        <w:spacing w:line="240" w:lineRule="auto" w:before="0" w:after="40"/>
        <w:jc w:val="left"/>
      </w:pPr>
      <w:r>
        <w:rPr>
          <w:rFonts w:ascii="宋体" w:hAnsi="宋体" w:eastAsia="宋体"/>
          <w:b w:val="0"/>
          <w:sz w:val="21"/>
        </w:rPr>
        <w:t xml:space="preserve">　　4.3.4 技术框架选型说明</w:t>
      </w:r>
    </w:p>
    <w:p>
      <w:pPr>
        <w:spacing w:line="240" w:lineRule="auto" w:before="0" w:after="40"/>
        <w:jc w:val="left"/>
      </w:pPr>
      <w:r>
        <w:rPr>
          <w:rFonts w:ascii="宋体" w:hAnsi="宋体" w:eastAsia="宋体"/>
          <w:b w:val="0"/>
          <w:sz w:val="21"/>
        </w:rPr>
        <w:t xml:space="preserve">　　4.3.5 客户端技术路线</w:t>
      </w:r>
    </w:p>
    <w:p>
      <w:pPr>
        <w:spacing w:line="240" w:lineRule="auto" w:before="0" w:after="40"/>
        <w:jc w:val="left"/>
      </w:pPr>
      <w:r>
        <w:rPr>
          <w:rFonts w:ascii="宋体" w:hAnsi="宋体" w:eastAsia="宋体"/>
          <w:b w:val="0"/>
          <w:sz w:val="21"/>
        </w:rPr>
        <w:t xml:space="preserve">　　4.3.6 分析服务技术路线</w:t>
      </w:r>
    </w:p>
    <w:p>
      <w:pPr>
        <w:spacing w:line="240" w:lineRule="auto" w:before="0" w:after="40"/>
        <w:jc w:val="left"/>
      </w:pPr>
      <w:r>
        <w:rPr>
          <w:rFonts w:ascii="宋体" w:hAnsi="宋体" w:eastAsia="宋体"/>
          <w:b w:val="0"/>
          <w:sz w:val="21"/>
        </w:rPr>
        <w:t xml:space="preserve">　　4.3.7 合同追问技术路线</w:t>
      </w:r>
    </w:p>
    <w:p>
      <w:pPr>
        <w:spacing w:line="240" w:lineRule="auto" w:before="0" w:after="40"/>
        <w:jc w:val="left"/>
      </w:pPr>
      <w:r>
        <w:rPr>
          <w:rFonts w:ascii="宋体" w:hAnsi="宋体" w:eastAsia="宋体"/>
          <w:b w:val="0"/>
          <w:sz w:val="21"/>
        </w:rPr>
        <w:t xml:space="preserve">　　4.3.8 知识库技术路线</w:t>
      </w:r>
    </w:p>
    <w:p>
      <w:pPr>
        <w:spacing w:line="240" w:lineRule="auto" w:before="0" w:after="40"/>
        <w:jc w:val="left"/>
      </w:pPr>
      <w:r>
        <w:rPr>
          <w:rFonts w:ascii="宋体" w:hAnsi="宋体" w:eastAsia="宋体"/>
          <w:b w:val="0"/>
          <w:sz w:val="21"/>
        </w:rPr>
        <w:t xml:space="preserve">　　4.3.9 鸿蒙全场景能力路线</w:t>
      </w:r>
    </w:p>
    <w:p>
      <w:pPr>
        <w:spacing w:line="240" w:lineRule="auto" w:before="0" w:after="40"/>
        <w:jc w:val="left"/>
      </w:pPr>
      <w:r>
        <w:rPr>
          <w:rFonts w:ascii="宋体" w:hAnsi="宋体" w:eastAsia="宋体"/>
          <w:b w:val="0"/>
          <w:sz w:val="21"/>
        </w:rPr>
        <w:t xml:space="preserve">　　4.3.10 稳定性与演示兜底</w:t>
      </w:r>
    </w:p>
    <w:p>
      <w:pPr>
        <w:spacing w:line="240" w:lineRule="auto" w:before="0" w:after="40"/>
        <w:jc w:val="left"/>
      </w:pPr>
      <w:r>
        <w:rPr>
          <w:rFonts w:ascii="宋体" w:hAnsi="宋体" w:eastAsia="宋体"/>
          <w:b w:val="0"/>
          <w:sz w:val="21"/>
        </w:rPr>
        <w:t xml:space="preserve">　　4.3.11 运行与协作方式</w:t>
      </w:r>
    </w:p>
    <w:p>
      <w:pPr>
        <w:spacing w:line="240" w:lineRule="auto" w:before="0" w:after="40"/>
        <w:jc w:val="left"/>
      </w:pPr>
      <w:r>
        <w:rPr>
          <w:rFonts w:ascii="宋体" w:hAnsi="宋体" w:eastAsia="宋体"/>
          <w:b w:val="0"/>
          <w:sz w:val="21"/>
        </w:rPr>
        <w:t xml:space="preserve">　　4.3.12 边界说明</w:t>
      </w:r>
    </w:p>
    <w:p>
      <w:pPr>
        <w:spacing w:line="240" w:lineRule="auto" w:before="0" w:after="40"/>
        <w:jc w:val="left"/>
      </w:pPr>
      <w:r>
        <w:rPr>
          <w:rFonts w:ascii="宋体" w:hAnsi="宋体" w:eastAsia="宋体"/>
          <w:b w:val="0"/>
          <w:sz w:val="21"/>
        </w:rPr>
        <w:t xml:space="preserve">　　4.3.13 小结</w:t>
      </w:r>
    </w:p>
    <w:p>
      <w:pPr>
        <w:spacing w:line="240" w:lineRule="auto" w:before="0" w:after="40"/>
        <w:jc w:val="left"/>
      </w:pPr>
      <w:r>
        <w:rPr>
          <w:rFonts w:ascii="宋体" w:hAnsi="宋体" w:eastAsia="宋体"/>
          <w:b w:val="0"/>
          <w:sz w:val="21"/>
        </w:rPr>
        <w:t>4.4 技术实现方案</w:t>
      </w:r>
    </w:p>
    <w:p>
      <w:pPr>
        <w:spacing w:line="240" w:lineRule="auto" w:before="0" w:after="40"/>
        <w:jc w:val="left"/>
      </w:pPr>
      <w:r>
        <w:rPr>
          <w:rFonts w:ascii="宋体" w:hAnsi="宋体" w:eastAsia="宋体"/>
          <w:b w:val="0"/>
          <w:sz w:val="21"/>
        </w:rPr>
        <w:t xml:space="preserve">　　4.4.1～4.4.9 按业务模块做文字说明（导入、分析、知识、追问、状态、协作、界面、鸿蒙、导出兜底）</w:t>
      </w:r>
    </w:p>
    <w:p>
      <w:pPr>
        <w:spacing w:line="240" w:lineRule="auto" w:before="0" w:after="40"/>
        <w:jc w:val="left"/>
      </w:pPr>
      <w:r>
        <w:rPr>
          <w:rFonts w:ascii="宋体" w:hAnsi="宋体" w:eastAsia="宋体"/>
          <w:b w:val="0"/>
          <w:sz w:val="21"/>
        </w:rPr>
        <w:t>4.5 系统实现效果</w:t>
      </w:r>
    </w:p>
    <w:p>
      <w:pPr>
        <w:spacing w:line="240" w:lineRule="auto" w:before="0" w:after="40"/>
        <w:jc w:val="left"/>
      </w:pPr>
      <w:r>
        <w:rPr>
          <w:rFonts w:ascii="宋体" w:hAnsi="宋体" w:eastAsia="宋体"/>
          <w:b w:val="0"/>
          <w:sz w:val="21"/>
        </w:rPr>
        <w:t>4.6 运行与使用说明</w:t>
      </w:r>
    </w:p>
    <w:p>
      <w:pPr>
        <w:spacing w:line="240" w:lineRule="auto" w:before="160" w:after="80"/>
        <w:jc w:val="left"/>
      </w:pPr>
      <w:r>
        <w:rPr>
          <w:rFonts w:ascii="宋体" w:hAnsi="宋体" w:eastAsia="宋体"/>
          <w:b/>
          <w:sz w:val="32"/>
        </w:rPr>
        <w:t>一、参赛团队信息表</w:t>
      </w:r>
    </w:p>
    <w:tbl>
      <w:tblPr>
        <w:tblStyle w:val="TableGrid"/>
        <w:tblW w:type="auto" w:w="0"/>
        <w:tblLook w:firstColumn="1" w:firstRow="1" w:lastColumn="0" w:lastRow="0" w:noHBand="0" w:noVBand="1" w:val="04A0"/>
      </w:tblPr>
      <w:tblGrid>
        <w:gridCol w:w="4252"/>
        <w:gridCol w:w="4252"/>
      </w:tblGrid>
      <w:tr>
        <w:tc>
          <w:tcPr>
            <w:tcW w:type="dxa" w:w="4252"/>
            <w:vAlign w:val="center"/>
            <w:shd w:fill="D9E2F3" w:val="clear"/>
          </w:tcPr>
          <w:p>
            <w:pPr>
              <w:spacing w:line="240" w:lineRule="auto" w:before="0" w:after="0"/>
              <w:jc w:val="center"/>
            </w:pPr>
            <w:r/>
            <w:r>
              <w:rPr>
                <w:rFonts w:ascii="宋体" w:hAnsi="宋体" w:eastAsia="宋体"/>
                <w:b/>
                <w:sz w:val="21"/>
              </w:rPr>
              <w:t>作品名称</w:t>
            </w:r>
          </w:p>
        </w:tc>
        <w:tc>
          <w:tcPr>
            <w:tcW w:type="dxa" w:w="4252"/>
            <w:vAlign w:val="center"/>
          </w:tcPr>
          <w:p>
            <w:pPr>
              <w:spacing w:line="240" w:lineRule="auto" w:before="0" w:after="0"/>
              <w:jc w:val="left"/>
            </w:pPr>
            <w:r/>
            <w:r>
              <w:rPr>
                <w:rFonts w:ascii="宋体" w:hAnsi="宋体" w:eastAsia="宋体"/>
                <w:b w:val="0"/>
                <w:sz w:val="21"/>
              </w:rPr>
              <w:t>法言白话（30个字符以内）</w:t>
            </w:r>
          </w:p>
        </w:tc>
      </w:tr>
      <w:tr>
        <w:tc>
          <w:tcPr>
            <w:tcW w:type="dxa" w:w="4252"/>
            <w:vAlign w:val="center"/>
            <w:shd w:fill="D9E2F3" w:val="clear"/>
          </w:tcPr>
          <w:p>
            <w:pPr>
              <w:spacing w:line="240" w:lineRule="auto" w:before="0" w:after="0"/>
              <w:jc w:val="center"/>
            </w:pPr>
            <w:r/>
            <w:r>
              <w:rPr>
                <w:rFonts w:ascii="宋体" w:hAnsi="宋体" w:eastAsia="宋体"/>
                <w:b/>
                <w:sz w:val="21"/>
              </w:rPr>
              <w:t>团队名称</w:t>
            </w:r>
          </w:p>
        </w:tc>
        <w:tc>
          <w:tcPr>
            <w:tcW w:type="dxa" w:w="4252"/>
            <w:vAlign w:val="center"/>
          </w:tcPr>
          <w:p>
            <w:pPr>
              <w:spacing w:line="240" w:lineRule="auto" w:before="0" w:after="0"/>
              <w:jc w:val="left"/>
            </w:pPr>
            <w:r/>
            <w:r>
              <w:rPr>
                <w:rFonts w:ascii="宋体" w:hAnsi="宋体" w:eastAsia="宋体"/>
                <w:b w:val="0"/>
                <w:sz w:val="21"/>
              </w:rPr>
              <w:t>法言白话队（10个字符以内，无标点）</w:t>
            </w:r>
          </w:p>
        </w:tc>
      </w:tr>
      <w:tr>
        <w:tc>
          <w:tcPr>
            <w:tcW w:type="dxa" w:w="4252"/>
            <w:vAlign w:val="center"/>
            <w:shd w:fill="D9E2F3" w:val="clear"/>
          </w:tcPr>
          <w:p>
            <w:pPr>
              <w:spacing w:line="240" w:lineRule="auto" w:before="0" w:after="0"/>
              <w:jc w:val="center"/>
            </w:pPr>
            <w:r/>
            <w:r>
              <w:rPr>
                <w:rFonts w:ascii="宋体" w:hAnsi="宋体" w:eastAsia="宋体"/>
                <w:b/>
                <w:sz w:val="21"/>
              </w:rPr>
              <w:t>参赛学校</w:t>
            </w:r>
          </w:p>
        </w:tc>
        <w:tc>
          <w:tcPr>
            <w:tcW w:type="dxa" w:w="4252"/>
            <w:vAlign w:val="center"/>
          </w:tcPr>
          <w:p>
            <w:pPr>
              <w:spacing w:line="240" w:lineRule="auto" w:before="0" w:after="0"/>
              <w:jc w:val="left"/>
            </w:pPr>
            <w:r/>
            <w:r>
              <w:rPr>
                <w:rFonts w:ascii="宋体" w:hAnsi="宋体" w:eastAsia="宋体"/>
                <w:b w:val="0"/>
                <w:sz w:val="21"/>
              </w:rPr>
              <w:t>【待填写】（以队长学校为准）</w:t>
            </w:r>
          </w:p>
        </w:tc>
      </w:tr>
      <w:tr>
        <w:tc>
          <w:tcPr>
            <w:tcW w:type="dxa" w:w="4252"/>
            <w:vAlign w:val="center"/>
            <w:shd w:fill="D9E2F3" w:val="clear"/>
          </w:tcPr>
          <w:p>
            <w:pPr>
              <w:spacing w:line="240" w:lineRule="auto" w:before="0" w:after="0"/>
              <w:jc w:val="center"/>
            </w:pPr>
            <w:r/>
            <w:r>
              <w:rPr>
                <w:rFonts w:ascii="宋体" w:hAnsi="宋体" w:eastAsia="宋体"/>
                <w:b/>
                <w:sz w:val="21"/>
              </w:rPr>
              <w:t>赛题方向</w:t>
            </w:r>
          </w:p>
        </w:tc>
        <w:tc>
          <w:tcPr>
            <w:tcW w:type="dxa" w:w="4252"/>
            <w:vAlign w:val="center"/>
          </w:tcPr>
          <w:p>
            <w:pPr>
              <w:spacing w:line="240" w:lineRule="auto" w:before="0" w:after="0"/>
              <w:jc w:val="left"/>
            </w:pPr>
            <w:r/>
            <w:r>
              <w:rPr>
                <w:rFonts w:ascii="宋体" w:hAnsi="宋体" w:eastAsia="宋体"/>
                <w:b w:val="0"/>
                <w:sz w:val="21"/>
              </w:rPr>
              <w:t>（√）应用创新   （ ）Agent创新   （ ）用户体验创新   （ ）操作系统智能创新</w:t>
            </w:r>
          </w:p>
        </w:tc>
      </w:tr>
      <w:tr>
        <w:tc>
          <w:tcPr>
            <w:tcW w:type="dxa" w:w="4252"/>
            <w:vAlign w:val="center"/>
            <w:shd w:fill="D9E2F3" w:val="clear"/>
          </w:tcPr>
          <w:p>
            <w:pPr>
              <w:spacing w:line="240" w:lineRule="auto" w:before="0" w:after="0"/>
              <w:jc w:val="center"/>
            </w:pPr>
            <w:r/>
            <w:r>
              <w:rPr>
                <w:rFonts w:ascii="宋体" w:hAnsi="宋体" w:eastAsia="宋体"/>
                <w:b/>
                <w:sz w:val="21"/>
              </w:rPr>
              <w:t>作品定位</w:t>
            </w:r>
          </w:p>
        </w:tc>
        <w:tc>
          <w:tcPr>
            <w:tcW w:type="dxa" w:w="4252"/>
            <w:vAlign w:val="center"/>
          </w:tcPr>
          <w:p>
            <w:pPr>
              <w:spacing w:line="240" w:lineRule="auto" w:before="0" w:after="0"/>
              <w:jc w:val="left"/>
            </w:pPr>
            <w:r/>
            <w:r>
              <w:rPr>
                <w:rFonts w:ascii="宋体" w:hAnsi="宋体" w:eastAsia="宋体"/>
                <w:b w:val="0"/>
                <w:sz w:val="21"/>
              </w:rPr>
              <w:t>面向非法律专业用户的合同智能解读鸿蒙应用</w:t>
            </w:r>
          </w:p>
        </w:tc>
      </w:tr>
    </w:tbl>
    <w:p>
      <w:pPr>
        <w:spacing w:line="240" w:lineRule="auto" w:before="160" w:after="80"/>
        <w:jc w:val="left"/>
      </w:pPr>
      <w:r>
        <w:rPr>
          <w:rFonts w:ascii="宋体" w:hAnsi="宋体" w:eastAsia="宋体"/>
          <w:b/>
          <w:sz w:val="24"/>
        </w:rPr>
        <w:t>团队队员基本信息（可跨校、跨专业组队）</w:t>
      </w:r>
    </w:p>
    <w:tbl>
      <w:tblPr>
        <w:tblStyle w:val="TableGrid"/>
        <w:tblW w:type="auto" w:w="0"/>
        <w:tblLook w:firstColumn="1" w:firstRow="1" w:lastColumn="0" w:lastRow="0" w:noHBand="0" w:noVBand="1" w:val="04A0"/>
      </w:tblPr>
      <w:tblGrid>
        <w:gridCol w:w="945"/>
        <w:gridCol w:w="945"/>
        <w:gridCol w:w="945"/>
        <w:gridCol w:w="945"/>
        <w:gridCol w:w="945"/>
        <w:gridCol w:w="945"/>
        <w:gridCol w:w="945"/>
        <w:gridCol w:w="945"/>
        <w:gridCol w:w="945"/>
      </w:tblGrid>
      <w:tr>
        <w:tc>
          <w:tcPr>
            <w:tcW w:type="dxa" w:w="945"/>
            <w:vAlign w:val="center"/>
            <w:shd w:fill="D9E2F3" w:val="clear"/>
          </w:tcPr>
          <w:p>
            <w:pPr>
              <w:spacing w:line="240" w:lineRule="auto" w:before="0" w:after="0"/>
              <w:jc w:val="center"/>
            </w:pPr>
            <w:r/>
            <w:r>
              <w:rPr>
                <w:rFonts w:ascii="宋体" w:hAnsi="宋体" w:eastAsia="宋体"/>
                <w:b/>
                <w:sz w:val="16"/>
              </w:rPr>
              <w:t>姓名</w:t>
            </w:r>
          </w:p>
        </w:tc>
        <w:tc>
          <w:tcPr>
            <w:tcW w:type="dxa" w:w="945"/>
            <w:vAlign w:val="center"/>
            <w:shd w:fill="D9E2F3" w:val="clear"/>
          </w:tcPr>
          <w:p>
            <w:pPr>
              <w:spacing w:line="240" w:lineRule="auto" w:before="0" w:after="0"/>
              <w:jc w:val="center"/>
            </w:pPr>
            <w:r/>
            <w:r>
              <w:rPr>
                <w:rFonts w:ascii="宋体" w:hAnsi="宋体" w:eastAsia="宋体"/>
                <w:b/>
                <w:sz w:val="16"/>
              </w:rPr>
              <w:t>学校全称</w:t>
            </w:r>
          </w:p>
        </w:tc>
        <w:tc>
          <w:tcPr>
            <w:tcW w:type="dxa" w:w="945"/>
            <w:vAlign w:val="center"/>
            <w:shd w:fill="D9E2F3" w:val="clear"/>
          </w:tcPr>
          <w:p>
            <w:pPr>
              <w:spacing w:line="240" w:lineRule="auto" w:before="0" w:after="0"/>
              <w:jc w:val="center"/>
            </w:pPr>
            <w:r/>
            <w:r>
              <w:rPr>
                <w:rFonts w:ascii="宋体" w:hAnsi="宋体" w:eastAsia="宋体"/>
                <w:b/>
                <w:sz w:val="16"/>
              </w:rPr>
              <w:t>院（系）全称</w:t>
            </w:r>
          </w:p>
        </w:tc>
        <w:tc>
          <w:tcPr>
            <w:tcW w:type="dxa" w:w="945"/>
            <w:vAlign w:val="center"/>
            <w:shd w:fill="D9E2F3" w:val="clear"/>
          </w:tcPr>
          <w:p>
            <w:pPr>
              <w:spacing w:line="240" w:lineRule="auto" w:before="0" w:after="0"/>
              <w:jc w:val="center"/>
            </w:pPr>
            <w:r/>
            <w:r>
              <w:rPr>
                <w:rFonts w:ascii="宋体" w:hAnsi="宋体" w:eastAsia="宋体"/>
                <w:b/>
                <w:sz w:val="16"/>
              </w:rPr>
              <w:t>专业全称</w:t>
            </w:r>
          </w:p>
        </w:tc>
        <w:tc>
          <w:tcPr>
            <w:tcW w:type="dxa" w:w="945"/>
            <w:vAlign w:val="center"/>
            <w:shd w:fill="D9E2F3" w:val="clear"/>
          </w:tcPr>
          <w:p>
            <w:pPr>
              <w:spacing w:line="240" w:lineRule="auto" w:before="0" w:after="0"/>
              <w:jc w:val="center"/>
            </w:pPr>
            <w:r/>
            <w:r>
              <w:rPr>
                <w:rFonts w:ascii="宋体" w:hAnsi="宋体" w:eastAsia="宋体"/>
                <w:b/>
                <w:sz w:val="16"/>
              </w:rPr>
              <w:t>年级</w:t>
            </w:r>
          </w:p>
        </w:tc>
        <w:tc>
          <w:tcPr>
            <w:tcW w:type="dxa" w:w="945"/>
            <w:vAlign w:val="center"/>
            <w:shd w:fill="D9E2F3" w:val="clear"/>
          </w:tcPr>
          <w:p>
            <w:pPr>
              <w:spacing w:line="240" w:lineRule="auto" w:before="0" w:after="0"/>
              <w:jc w:val="center"/>
            </w:pPr>
            <w:r/>
            <w:r>
              <w:rPr>
                <w:rFonts w:ascii="宋体" w:hAnsi="宋体" w:eastAsia="宋体"/>
                <w:b/>
                <w:sz w:val="16"/>
              </w:rPr>
              <w:t>毕业时间</w:t>
            </w:r>
          </w:p>
        </w:tc>
        <w:tc>
          <w:tcPr>
            <w:tcW w:type="dxa" w:w="945"/>
            <w:vAlign w:val="center"/>
            <w:shd w:fill="D9E2F3" w:val="clear"/>
          </w:tcPr>
          <w:p>
            <w:pPr>
              <w:spacing w:line="240" w:lineRule="auto" w:before="0" w:after="0"/>
              <w:jc w:val="center"/>
            </w:pPr>
            <w:r/>
            <w:r>
              <w:rPr>
                <w:rFonts w:ascii="宋体" w:hAnsi="宋体" w:eastAsia="宋体"/>
                <w:b/>
                <w:sz w:val="16"/>
              </w:rPr>
              <w:t>联系电话</w:t>
            </w:r>
          </w:p>
        </w:tc>
        <w:tc>
          <w:tcPr>
            <w:tcW w:type="dxa" w:w="945"/>
            <w:vAlign w:val="center"/>
            <w:shd w:fill="D9E2F3" w:val="clear"/>
          </w:tcPr>
          <w:p>
            <w:pPr>
              <w:spacing w:line="240" w:lineRule="auto" w:before="0" w:after="0"/>
              <w:jc w:val="center"/>
            </w:pPr>
            <w:r/>
            <w:r>
              <w:rPr>
                <w:rFonts w:ascii="宋体" w:hAnsi="宋体" w:eastAsia="宋体"/>
                <w:b/>
                <w:sz w:val="16"/>
              </w:rPr>
              <w:t>邮箱</w:t>
            </w:r>
          </w:p>
        </w:tc>
        <w:tc>
          <w:tcPr>
            <w:tcW w:type="dxa" w:w="945"/>
            <w:vAlign w:val="center"/>
            <w:shd w:fill="D9E2F3" w:val="clear"/>
          </w:tcPr>
          <w:p>
            <w:pPr>
              <w:spacing w:line="240" w:lineRule="auto" w:before="0" w:after="0"/>
              <w:jc w:val="center"/>
            </w:pPr>
            <w:r/>
            <w:r>
              <w:rPr>
                <w:rFonts w:ascii="宋体" w:hAnsi="宋体" w:eastAsia="宋体"/>
                <w:b/>
                <w:sz w:val="16"/>
              </w:rPr>
              <w:t>团队分工</w:t>
            </w:r>
          </w:p>
        </w:tc>
      </w:tr>
      <w:tr>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队长</w:t>
            </w:r>
          </w:p>
        </w:tc>
      </w:tr>
      <w:tr>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队员</w:t>
            </w:r>
          </w:p>
        </w:tc>
      </w:tr>
      <w:tr>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【待填】</w:t>
            </w:r>
          </w:p>
        </w:tc>
        <w:tc>
          <w:tcPr>
            <w:tcW w:type="dxa" w:w="945"/>
            <w:vAlign w:val="center"/>
          </w:tcPr>
          <w:p>
            <w:pPr>
              <w:spacing w:line="240" w:lineRule="auto" w:before="0" w:after="0"/>
              <w:jc w:val="center"/>
            </w:pPr>
            <w:r/>
            <w:r>
              <w:rPr>
                <w:rFonts w:ascii="宋体" w:hAnsi="宋体" w:eastAsia="宋体"/>
                <w:b w:val="0"/>
                <w:sz w:val="16"/>
              </w:rPr>
              <w:t>队员</w:t>
            </w:r>
          </w:p>
        </w:tc>
      </w:tr>
    </w:tbl>
    <w:p>
      <w:pPr>
        <w:spacing w:line="240" w:lineRule="auto" w:before="160" w:after="80"/>
        <w:jc w:val="left"/>
      </w:pPr>
      <w:r>
        <w:rPr>
          <w:rFonts w:ascii="宋体" w:hAnsi="宋体" w:eastAsia="宋体"/>
          <w:b/>
          <w:sz w:val="24"/>
        </w:rPr>
        <w:t>团队指导教师信息（指导老师须与队长同校）</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vAlign w:val="center"/>
            <w:shd w:fill="D9E2F3" w:val="clear"/>
          </w:tcPr>
          <w:p>
            <w:pPr>
              <w:spacing w:line="240" w:lineRule="auto" w:before="0" w:after="0"/>
              <w:jc w:val="center"/>
            </w:pPr>
            <w:r/>
            <w:r>
              <w:rPr>
                <w:rFonts w:ascii="宋体" w:hAnsi="宋体" w:eastAsia="宋体"/>
                <w:b/>
                <w:sz w:val="18"/>
              </w:rPr>
              <w:t>姓名</w:t>
            </w:r>
          </w:p>
        </w:tc>
        <w:tc>
          <w:tcPr>
            <w:tcW w:type="dxa" w:w="1417"/>
            <w:vAlign w:val="center"/>
            <w:shd w:fill="D9E2F3" w:val="clear"/>
          </w:tcPr>
          <w:p>
            <w:pPr>
              <w:spacing w:line="240" w:lineRule="auto" w:before="0" w:after="0"/>
              <w:jc w:val="center"/>
            </w:pPr>
            <w:r/>
            <w:r>
              <w:rPr>
                <w:rFonts w:ascii="宋体" w:hAnsi="宋体" w:eastAsia="宋体"/>
                <w:b/>
                <w:sz w:val="18"/>
              </w:rPr>
              <w:t>院（系）全称</w:t>
            </w:r>
          </w:p>
        </w:tc>
        <w:tc>
          <w:tcPr>
            <w:tcW w:type="dxa" w:w="1417"/>
            <w:vAlign w:val="center"/>
            <w:shd w:fill="D9E2F3" w:val="clear"/>
          </w:tcPr>
          <w:p>
            <w:pPr>
              <w:spacing w:line="240" w:lineRule="auto" w:before="0" w:after="0"/>
              <w:jc w:val="center"/>
            </w:pPr>
            <w:r/>
            <w:r>
              <w:rPr>
                <w:rFonts w:ascii="宋体" w:hAnsi="宋体" w:eastAsia="宋体"/>
                <w:b/>
                <w:sz w:val="18"/>
              </w:rPr>
              <w:t>职称</w:t>
            </w:r>
          </w:p>
        </w:tc>
        <w:tc>
          <w:tcPr>
            <w:tcW w:type="dxa" w:w="1417"/>
            <w:vAlign w:val="center"/>
            <w:shd w:fill="D9E2F3" w:val="clear"/>
          </w:tcPr>
          <w:p>
            <w:pPr>
              <w:spacing w:line="240" w:lineRule="auto" w:before="0" w:after="0"/>
              <w:jc w:val="center"/>
            </w:pPr>
            <w:r/>
            <w:r>
              <w:rPr>
                <w:rFonts w:ascii="宋体" w:hAnsi="宋体" w:eastAsia="宋体"/>
                <w:b/>
                <w:sz w:val="18"/>
              </w:rPr>
              <w:t>研究方向</w:t>
            </w:r>
          </w:p>
        </w:tc>
        <w:tc>
          <w:tcPr>
            <w:tcW w:type="dxa" w:w="1417"/>
            <w:vAlign w:val="center"/>
            <w:shd w:fill="D9E2F3" w:val="clear"/>
          </w:tcPr>
          <w:p>
            <w:pPr>
              <w:spacing w:line="240" w:lineRule="auto" w:before="0" w:after="0"/>
              <w:jc w:val="center"/>
            </w:pPr>
            <w:r/>
            <w:r>
              <w:rPr>
                <w:rFonts w:ascii="宋体" w:hAnsi="宋体" w:eastAsia="宋体"/>
                <w:b/>
                <w:sz w:val="18"/>
              </w:rPr>
              <w:t>联系电话</w:t>
            </w:r>
          </w:p>
        </w:tc>
        <w:tc>
          <w:tcPr>
            <w:tcW w:type="dxa" w:w="1417"/>
            <w:vAlign w:val="center"/>
            <w:shd w:fill="D9E2F3" w:val="clear"/>
          </w:tcPr>
          <w:p>
            <w:pPr>
              <w:spacing w:line="240" w:lineRule="auto" w:before="0" w:after="0"/>
              <w:jc w:val="center"/>
            </w:pPr>
            <w:r/>
            <w:r>
              <w:rPr>
                <w:rFonts w:ascii="宋体" w:hAnsi="宋体" w:eastAsia="宋体"/>
                <w:b/>
                <w:sz w:val="18"/>
              </w:rPr>
              <w:t>联系邮箱</w:t>
            </w:r>
          </w:p>
        </w:tc>
      </w:tr>
      <w:tr>
        <w:tc>
          <w:tcPr>
            <w:tcW w:type="dxa" w:w="1417"/>
            <w:vAlign w:val="center"/>
          </w:tcPr>
          <w:p>
            <w:pPr>
              <w:spacing w:line="240" w:lineRule="auto" w:before="0" w:after="0"/>
              <w:jc w:val="center"/>
            </w:pPr>
            <w:r/>
            <w:r>
              <w:rPr>
                <w:rFonts w:ascii="宋体" w:hAnsi="宋体" w:eastAsia="宋体"/>
                <w:b w:val="0"/>
                <w:sz w:val="18"/>
              </w:rPr>
              <w:t>【待填写】</w:t>
            </w:r>
          </w:p>
        </w:tc>
        <w:tc>
          <w:tcPr>
            <w:tcW w:type="dxa" w:w="1417"/>
            <w:vAlign w:val="center"/>
          </w:tcPr>
          <w:p>
            <w:pPr>
              <w:spacing w:line="240" w:lineRule="auto" w:before="0" w:after="0"/>
              <w:jc w:val="center"/>
            </w:pPr>
            <w:r/>
            <w:r>
              <w:rPr>
                <w:rFonts w:ascii="宋体" w:hAnsi="宋体" w:eastAsia="宋体"/>
                <w:b w:val="0"/>
                <w:sz w:val="18"/>
              </w:rPr>
              <w:t>【待填写】</w:t>
            </w:r>
          </w:p>
        </w:tc>
        <w:tc>
          <w:tcPr>
            <w:tcW w:type="dxa" w:w="1417"/>
            <w:vAlign w:val="center"/>
          </w:tcPr>
          <w:p>
            <w:pPr>
              <w:spacing w:line="240" w:lineRule="auto" w:before="0" w:after="0"/>
              <w:jc w:val="center"/>
            </w:pPr>
            <w:r/>
            <w:r>
              <w:rPr>
                <w:rFonts w:ascii="宋体" w:hAnsi="宋体" w:eastAsia="宋体"/>
                <w:b w:val="0"/>
                <w:sz w:val="18"/>
              </w:rPr>
              <w:t>【待填写】</w:t>
            </w:r>
          </w:p>
        </w:tc>
        <w:tc>
          <w:tcPr>
            <w:tcW w:type="dxa" w:w="1417"/>
            <w:vAlign w:val="center"/>
          </w:tcPr>
          <w:p>
            <w:pPr>
              <w:spacing w:line="240" w:lineRule="auto" w:before="0" w:after="0"/>
              <w:jc w:val="center"/>
            </w:pPr>
            <w:r/>
            <w:r>
              <w:rPr>
                <w:rFonts w:ascii="宋体" w:hAnsi="宋体" w:eastAsia="宋体"/>
                <w:b w:val="0"/>
                <w:sz w:val="18"/>
              </w:rPr>
              <w:t>【待填写】</w:t>
            </w:r>
          </w:p>
        </w:tc>
        <w:tc>
          <w:tcPr>
            <w:tcW w:type="dxa" w:w="1417"/>
            <w:vAlign w:val="center"/>
          </w:tcPr>
          <w:p>
            <w:pPr>
              <w:spacing w:line="240" w:lineRule="auto" w:before="0" w:after="0"/>
              <w:jc w:val="center"/>
            </w:pPr>
            <w:r/>
            <w:r>
              <w:rPr>
                <w:rFonts w:ascii="宋体" w:hAnsi="宋体" w:eastAsia="宋体"/>
                <w:b w:val="0"/>
                <w:sz w:val="18"/>
              </w:rPr>
              <w:t>【待填写】</w:t>
            </w:r>
          </w:p>
        </w:tc>
        <w:tc>
          <w:tcPr>
            <w:tcW w:type="dxa" w:w="1417"/>
            <w:vAlign w:val="center"/>
          </w:tcPr>
          <w:p>
            <w:pPr>
              <w:spacing w:line="240" w:lineRule="auto" w:before="0" w:after="0"/>
              <w:jc w:val="center"/>
            </w:pPr>
            <w:r/>
            <w:r>
              <w:rPr>
                <w:rFonts w:ascii="宋体" w:hAnsi="宋体" w:eastAsia="宋体"/>
                <w:b w:val="0"/>
                <w:sz w:val="18"/>
              </w:rPr>
              <w:t>【待填写】</w:t>
            </w:r>
          </w:p>
        </w:tc>
      </w:tr>
    </w:tbl>
    <w:p>
      <w:pPr>
        <w:spacing w:line="240" w:lineRule="auto" w:before="160" w:after="80"/>
        <w:jc w:val="left"/>
      </w:pPr>
      <w:r>
        <w:rPr>
          <w:rFonts w:ascii="宋体" w:hAnsi="宋体" w:eastAsia="宋体"/>
          <w:b/>
          <w:sz w:val="24"/>
        </w:rPr>
        <w:t>团队成员优势描述</w:t>
      </w:r>
    </w:p>
    <w:p>
      <w:pPr>
        <w:spacing w:line="240" w:lineRule="auto" w:before="0" w:after="60"/>
        <w:ind w:firstLine="420"/>
        <w:jc w:val="left"/>
      </w:pPr>
      <w:r>
        <w:rPr>
          <w:rFonts w:ascii="宋体" w:hAnsi="宋体" w:eastAsia="宋体"/>
          <w:b w:val="0"/>
          <w:sz w:val="21"/>
        </w:rPr>
        <w:t>本团队围绕「合同读不懂、风险看不见」这一校园与生活高频痛点组队，成员能力互补：（1）鸿蒙客户端：负责 ArkTS/ArkUI 主链路、应用接续/互动卡片/隐私防窥等系统能力接入与交互打磨；（2）后端与 AI：负责 Node.js 分析服务、大模型结构化输出、RAG 知识检索与法条引用校验；（3）产品与体验：负责信息架构（总览→风险列表→条款精读→追问）、样例合同与答辩演示预案。团队已完成可答辩版本：真实大模型分析主链路跑通，异常场景可降级演示，三项鸿蒙特性代码闭环。（请在提交前补充成员个人学术成果/项目经历与具体姓名分工。）</w:t>
      </w:r>
    </w:p>
    <w:p>
      <w:r>
        <w:br w:type="page"/>
      </w:r>
    </w:p>
    <w:p>
      <w:pPr>
        <w:spacing w:line="240" w:lineRule="auto" w:before="160" w:after="80"/>
        <w:jc w:val="left"/>
      </w:pPr>
      <w:r>
        <w:rPr>
          <w:rFonts w:ascii="宋体" w:hAnsi="宋体" w:eastAsia="宋体"/>
          <w:b/>
          <w:sz w:val="32"/>
        </w:rPr>
        <w:t>二、《法言白话》作品原创性声明</w:t>
      </w:r>
    </w:p>
    <w:p>
      <w:pPr>
        <w:spacing w:line="240" w:lineRule="auto" w:before="0" w:after="60"/>
        <w:ind w:firstLine="420"/>
        <w:jc w:val="left"/>
      </w:pPr>
      <w:r>
        <w:rPr>
          <w:rFonts w:ascii="宋体" w:hAnsi="宋体" w:eastAsia="宋体"/>
          <w:b w:val="0"/>
          <w:sz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spacing w:line="240" w:lineRule="auto" w:before="240" w:after="80"/>
        <w:jc w:val="left"/>
      </w:pPr>
      <w:r>
        <w:rPr>
          <w:rFonts w:ascii="宋体" w:hAnsi="宋体" w:eastAsia="宋体"/>
          <w:b w:val="0"/>
          <w:sz w:val="21"/>
        </w:rPr>
        <w:t>参赛队员签名（团队全部成员）：______________________________</w:t>
      </w:r>
    </w:p>
    <w:p>
      <w:pPr>
        <w:spacing w:line="240" w:lineRule="auto" w:before="0" w:after="160"/>
        <w:jc w:val="left"/>
      </w:pPr>
      <w:r>
        <w:rPr>
          <w:rFonts w:ascii="宋体" w:hAnsi="宋体" w:eastAsia="宋体"/>
          <w:b w:val="0"/>
          <w:sz w:val="21"/>
        </w:rPr>
        <w:t>日期：____年____月____日</w:t>
      </w:r>
    </w:p>
    <w:p>
      <w:pPr>
        <w:spacing w:line="240" w:lineRule="auto" w:before="120" w:after="80"/>
        <w:jc w:val="left"/>
      </w:pPr>
      <w:r>
        <w:rPr>
          <w:rFonts w:ascii="宋体" w:hAnsi="宋体" w:eastAsia="宋体"/>
          <w:b w:val="0"/>
          <w:sz w:val="21"/>
        </w:rPr>
        <w:t>指导老师审核签名：______________________________</w:t>
      </w:r>
    </w:p>
    <w:p>
      <w:pPr>
        <w:spacing w:line="240" w:lineRule="auto" w:before="0" w:after="120"/>
        <w:jc w:val="left"/>
      </w:pPr>
      <w:r>
        <w:rPr>
          <w:rFonts w:ascii="宋体" w:hAnsi="宋体" w:eastAsia="宋体"/>
          <w:b w:val="0"/>
          <w:sz w:val="21"/>
        </w:rPr>
        <w:t>日期：____年____月____日</w:t>
      </w:r>
    </w:p>
    <w:p>
      <w:pPr>
        <w:spacing w:line="240" w:lineRule="auto" w:before="0" w:after="60"/>
        <w:jc w:val="left"/>
      </w:pPr>
      <w:r>
        <w:rPr>
          <w:rFonts w:ascii="宋体" w:hAnsi="宋体" w:eastAsia="宋体"/>
          <w:b w:val="0"/>
          <w:color w:val="555555"/>
          <w:sz w:val="18"/>
        </w:rPr>
        <w:t>（注：本页签名可以打印纸质文件后签名，提供扫描件；或者使用电子签名。不论哪种方式，需保证页面内容完整、字迹清晰，请与本项目创意书作为同一文档提交，否则项目创意书提交可能无效。）</w:t>
      </w:r>
    </w:p>
    <w:p>
      <w:r>
        <w:br w:type="page"/>
      </w:r>
    </w:p>
    <w:p>
      <w:pPr>
        <w:spacing w:line="240" w:lineRule="auto" w:before="160" w:after="80"/>
        <w:jc w:val="left"/>
      </w:pPr>
      <w:r>
        <w:rPr>
          <w:rFonts w:ascii="宋体" w:hAnsi="宋体" w:eastAsia="宋体"/>
          <w:b/>
          <w:sz w:val="32"/>
        </w:rPr>
        <w:t>三、创意描述</w:t>
      </w:r>
    </w:p>
    <w:p>
      <w:pPr>
        <w:spacing w:line="240" w:lineRule="auto" w:before="0" w:after="60"/>
        <w:jc w:val="left"/>
      </w:pPr>
      <w:r>
        <w:rPr>
          <w:rFonts w:ascii="宋体" w:hAnsi="宋体" w:eastAsia="宋体"/>
          <w:b w:val="0"/>
          <w:sz w:val="21"/>
        </w:rPr>
        <w:t>一句话抽取关键创新点（不超过30字）：</w:t>
      </w:r>
    </w:p>
    <w:p>
      <w:pPr>
        <w:spacing w:line="240" w:lineRule="auto" w:before="80" w:after="40"/>
        <w:jc w:val="center"/>
      </w:pPr>
      <w:r>
        <w:rPr>
          <w:rFonts w:ascii="宋体" w:hAnsi="宋体" w:eastAsia="宋体"/>
          <w:b/>
          <w:color w:val="1D4ED8"/>
          <w:sz w:val="28"/>
        </w:rPr>
        <w:t>签前看懂合同：摘要、风险分级、白话对照</w:t>
      </w:r>
    </w:p>
    <w:p>
      <w:pPr>
        <w:spacing w:line="240" w:lineRule="auto" w:before="0" w:after="120"/>
        <w:jc w:val="center"/>
      </w:pPr>
      <w:r>
        <w:rPr>
          <w:rFonts w:ascii="宋体" w:hAnsi="宋体" w:eastAsia="宋体"/>
          <w:b w:val="0"/>
          <w:color w:val="666666"/>
          <w:sz w:val="18"/>
        </w:rPr>
        <w:t>（字数：19字）</w:t>
      </w:r>
    </w:p>
    <w:p>
      <w:pPr>
        <w:spacing w:line="240" w:lineRule="auto" w:before="160" w:after="80"/>
        <w:jc w:val="left"/>
      </w:pPr>
      <w:r>
        <w:rPr>
          <w:rFonts w:ascii="宋体" w:hAnsi="宋体" w:eastAsia="宋体"/>
          <w:b/>
          <w:sz w:val="32"/>
        </w:rPr>
        <w:t>四、设计稿 / 技术方案</w:t>
      </w:r>
    </w:p>
    <w:p>
      <w:pPr>
        <w:spacing w:line="240" w:lineRule="auto" w:before="160" w:after="80"/>
        <w:jc w:val="left"/>
      </w:pPr>
      <w:r>
        <w:rPr>
          <w:rFonts w:ascii="宋体" w:hAnsi="宋体" w:eastAsia="宋体"/>
          <w:b/>
          <w:sz w:val="28"/>
        </w:rPr>
        <w:t>4.1 产品定位与赛题契合</w:t>
      </w:r>
    </w:p>
    <w:p>
      <w:pPr>
        <w:spacing w:line="240" w:lineRule="auto" w:before="0" w:after="60"/>
        <w:ind w:firstLine="420"/>
        <w:jc w:val="left"/>
      </w:pPr>
      <w:r>
        <w:rPr>
          <w:rFonts w:ascii="宋体" w:hAnsi="宋体" w:eastAsia="宋体"/>
          <w:b w:val="0"/>
          <w:sz w:val="21"/>
        </w:rPr>
        <w:t>《法言白话》定位为基于 HarmonyOS 的「小而美」合同智能解读应用，赛题方向选择应用创新。作品面向租房、实习、培训、服务协议等校园与生活高频场景，将大模型能力与鸿蒙全场景能力结合：用 AI 解决「看不懂、找不准、怕踩坑」，用鸿蒙解决「跨端续看、桌面回看、隐私防窥」。已落地 ≥3 项鸿蒙特性：应用接续、互动卡片、隐私防窥，符合赛题对技术创新、体验新颖、场景实用与 AI 融合的要求。</w:t>
      </w:r>
    </w:p>
    <w:p>
      <w:pPr>
        <w:spacing w:line="240" w:lineRule="auto" w:before="0" w:after="60"/>
        <w:ind w:firstLine="420"/>
        <w:jc w:val="left"/>
      </w:pPr>
      <w:r>
        <w:rPr>
          <w:rFonts w:ascii="宋体" w:hAnsi="宋体" w:eastAsia="宋体"/>
          <w:b w:val="0"/>
          <w:sz w:val="21"/>
        </w:rPr>
        <w:t>产品边界明确：不做电子签署、律师咨询、合同自动改写、多人协作与法律意见书导出；OCR 为轻量提取与兜底，核心交付是大模型结构化解读与可理解的分层阅读体验。</w:t>
      </w:r>
    </w:p>
    <w:p>
      <w:pPr>
        <w:spacing w:line="240" w:lineRule="auto" w:before="160" w:after="80"/>
        <w:jc w:val="left"/>
      </w:pPr>
      <w:r>
        <w:rPr>
          <w:rFonts w:ascii="宋体" w:hAnsi="宋体" w:eastAsia="宋体"/>
          <w:b/>
          <w:sz w:val="28"/>
        </w:rPr>
        <w:t>4.2 交互设计稿</w:t>
      </w:r>
    </w:p>
    <w:p>
      <w:pPr>
        <w:spacing w:line="240" w:lineRule="auto" w:before="160" w:after="80"/>
        <w:jc w:val="left"/>
      </w:pPr>
      <w:r>
        <w:rPr>
          <w:rFonts w:ascii="宋体" w:hAnsi="宋体" w:eastAsia="宋体"/>
          <w:b/>
          <w:sz w:val="24"/>
        </w:rPr>
        <w:t>4.2.1 主交互流程</w:t>
      </w:r>
    </w:p>
    <w:p>
      <w:pPr>
        <w:spacing w:line="240" w:lineRule="auto" w:before="0" w:after="60"/>
        <w:ind w:firstLine="420"/>
        <w:jc w:val="left"/>
      </w:pPr>
      <w:r>
        <w:rPr>
          <w:rFonts w:ascii="宋体" w:hAnsi="宋体" w:eastAsia="宋体"/>
          <w:b w:val="0"/>
          <w:sz w:val="21"/>
        </w:rPr>
        <w:t>主链路采用「分层阅读」：先结论、再重点、后精读，必要时追问，避免一次性抛出长文造成认知过载。</w:t>
      </w:r>
    </w:p>
    <w:p>
      <w:pPr>
        <w:spacing w:line="240" w:lineRule="auto" w:before="40" w:after="40"/>
        <w:jc w:val="center"/>
      </w:pPr>
      <w:r>
        <w:drawing>
          <wp:inline xmlns:a="http://schemas.openxmlformats.org/drawingml/2006/main" xmlns:pic="http://schemas.openxmlformats.org/drawingml/2006/picture">
            <wp:extent cx="4860000" cy="1805143"/>
            <wp:docPr id="1" name="Picture 1"/>
            <wp:cNvGraphicFramePr>
              <a:graphicFrameLocks noChangeAspect="1"/>
            </wp:cNvGraphicFramePr>
            <a:graphic>
              <a:graphicData uri="http://schemas.openxmlformats.org/drawingml/2006/picture">
                <pic:pic>
                  <pic:nvPicPr>
                    <pic:cNvPr id="0" name="fig1_interaction_flow.png"/>
                    <pic:cNvPicPr/>
                  </pic:nvPicPr>
                  <pic:blipFill>
                    <a:blip r:embed="rId10"/>
                    <a:stretch>
                      <a:fillRect/>
                    </a:stretch>
                  </pic:blipFill>
                  <pic:spPr>
                    <a:xfrm>
                      <a:off x="0" y="0"/>
                      <a:ext cx="4860000" cy="1805143"/>
                    </a:xfrm>
                    <a:prstGeom prst="rect"/>
                  </pic:spPr>
                </pic:pic>
              </a:graphicData>
            </a:graphic>
          </wp:inline>
        </w:drawing>
      </w:r>
    </w:p>
    <w:p>
      <w:pPr>
        <w:spacing w:line="240" w:lineRule="auto" w:before="0" w:after="120"/>
        <w:jc w:val="center"/>
      </w:pPr>
      <w:r>
        <w:rPr>
          <w:rFonts w:ascii="宋体" w:hAnsi="宋体" w:eastAsia="宋体"/>
          <w:b w:val="0"/>
          <w:color w:val="555555"/>
          <w:sz w:val="18"/>
        </w:rPr>
        <w:t>图1 《法言白话》主交互流程</w:t>
      </w:r>
    </w:p>
    <w:p>
      <w:pPr>
        <w:spacing w:line="240" w:lineRule="auto" w:before="160" w:after="80"/>
        <w:jc w:val="left"/>
      </w:pPr>
      <w:r>
        <w:rPr>
          <w:rFonts w:ascii="宋体" w:hAnsi="宋体" w:eastAsia="宋体"/>
          <w:b/>
          <w:sz w:val="24"/>
        </w:rPr>
        <w:t>4.2.2 结果阅读信息架构</w:t>
      </w:r>
    </w:p>
    <w:p>
      <w:pPr>
        <w:spacing w:line="240" w:lineRule="auto" w:before="0" w:after="60"/>
        <w:ind w:firstLine="420"/>
        <w:jc w:val="left"/>
      </w:pPr>
      <w:r>
        <w:rPr>
          <w:rFonts w:ascii="宋体" w:hAnsi="宋体" w:eastAsia="宋体"/>
          <w:b w:val="0"/>
          <w:sz w:val="21"/>
        </w:rPr>
        <w:t>L1 总览给出整体摘要与签署前确认项；L2 用红/黄/绿快速定位；L3 条款页对照原文、白话、风险原因与修改建议；L4 在分析结果上下文中自然语言追问。</w:t>
      </w:r>
    </w:p>
    <w:p>
      <w:pPr>
        <w:spacing w:line="240" w:lineRule="auto" w:before="40" w:after="40"/>
        <w:jc w:val="center"/>
      </w:pPr>
      <w:r>
        <w:drawing>
          <wp:inline xmlns:a="http://schemas.openxmlformats.org/drawingml/2006/main" xmlns:pic="http://schemas.openxmlformats.org/drawingml/2006/picture">
            <wp:extent cx="4860000" cy="1944000"/>
            <wp:docPr id="2" name="Picture 2"/>
            <wp:cNvGraphicFramePr>
              <a:graphicFrameLocks noChangeAspect="1"/>
            </wp:cNvGraphicFramePr>
            <a:graphic>
              <a:graphicData uri="http://schemas.openxmlformats.org/drawingml/2006/picture">
                <pic:pic>
                  <pic:nvPicPr>
                    <pic:cNvPr id="0" name="fig3_info_architecture.png"/>
                    <pic:cNvPicPr/>
                  </pic:nvPicPr>
                  <pic:blipFill>
                    <a:blip r:embed="rId11"/>
                    <a:stretch>
                      <a:fillRect/>
                    </a:stretch>
                  </pic:blipFill>
                  <pic:spPr>
                    <a:xfrm>
                      <a:off x="0" y="0"/>
                      <a:ext cx="4860000" cy="1944000"/>
                    </a:xfrm>
                    <a:prstGeom prst="rect"/>
                  </pic:spPr>
                </pic:pic>
              </a:graphicData>
            </a:graphic>
          </wp:inline>
        </w:drawing>
      </w:r>
    </w:p>
    <w:p>
      <w:pPr>
        <w:spacing w:line="240" w:lineRule="auto" w:before="0" w:after="120"/>
        <w:jc w:val="center"/>
      </w:pPr>
      <w:r>
        <w:rPr>
          <w:rFonts w:ascii="宋体" w:hAnsi="宋体" w:eastAsia="宋体"/>
          <w:b w:val="0"/>
          <w:color w:val="555555"/>
          <w:sz w:val="18"/>
        </w:rPr>
        <w:t>图3 结果阅读信息架构（由浅入深）</w:t>
      </w:r>
    </w:p>
    <w:p>
      <w:pPr>
        <w:spacing w:line="240" w:lineRule="auto" w:before="160" w:after="80"/>
        <w:jc w:val="left"/>
      </w:pPr>
      <w:r>
        <w:rPr>
          <w:rFonts w:ascii="宋体" w:hAnsi="宋体" w:eastAsia="宋体"/>
          <w:b/>
          <w:sz w:val="28"/>
        </w:rPr>
        <w:t>4.3 技术路线</w:t>
      </w:r>
    </w:p>
    <w:p>
      <w:pPr>
        <w:spacing w:line="240" w:lineRule="auto" w:before="0" w:after="60"/>
        <w:ind w:firstLine="420"/>
        <w:jc w:val="left"/>
      </w:pPr>
      <w:r>
        <w:rPr>
          <w:rFonts w:ascii="宋体" w:hAnsi="宋体" w:eastAsia="宋体"/>
          <w:b w:val="0"/>
          <w:sz w:val="21"/>
        </w:rPr>
        <w:t>本节说明《法言白话》如何把「看不懂的合同」变成「能看懂的风险结论」。叙述以已实现能力为准：凡仓库未落地的能力，一律放在边界说明中，不写入实现描写。技术名词尽量用业务语言解释；需要核对细节时，在段末标注出处，便于对照源码与文档。</w:t>
      </w:r>
    </w:p>
    <w:p>
      <w:pPr>
        <w:spacing w:line="240" w:lineRule="auto" w:before="160" w:after="80"/>
        <w:jc w:val="left"/>
      </w:pPr>
      <w:r>
        <w:rPr>
          <w:rFonts w:ascii="宋体" w:hAnsi="宋体" w:eastAsia="宋体"/>
          <w:b/>
          <w:sz w:val="24"/>
        </w:rPr>
        <w:t>4.3.1 总体思路与设计原则</w:t>
      </w:r>
    </w:p>
    <w:p>
      <w:pPr>
        <w:spacing w:line="240" w:lineRule="auto" w:before="0" w:after="60"/>
        <w:ind w:firstLine="420"/>
        <w:jc w:val="left"/>
      </w:pPr>
      <w:r>
        <w:rPr>
          <w:rFonts w:ascii="宋体" w:hAnsi="宋体" w:eastAsia="宋体"/>
          <w:b w:val="0"/>
          <w:sz w:val="21"/>
        </w:rPr>
        <w:t>总体思路可以概括成一句话：手机端负责「拿得到合同、看得懂结果」；云端分析服务负责「读得完合同、说得清风险」；知识库负责「给得准依据、挡得住编造」。三者分工清晰：客户端不直连大模型，模型调用统一放在服务端，既便于保管密钥，也便于在知识库故障时自动降级，保证主链路仍能给出结构化解读。</w:t>
      </w:r>
    </w:p>
    <w:p>
      <w:pPr>
        <w:spacing w:line="240" w:lineRule="auto" w:before="0" w:after="40"/>
        <w:jc w:val="left"/>
      </w:pPr>
      <w:r>
        <w:rPr>
          <w:rFonts w:ascii="宋体" w:hAnsi="宋体" w:eastAsia="宋体"/>
          <w:b w:val="0"/>
          <w:color w:val="666666"/>
          <w:sz w:val="18"/>
        </w:rPr>
        <w:t>（出处：README.md）</w:t>
      </w:r>
    </w:p>
    <w:p>
      <w:pPr>
        <w:spacing w:line="240" w:lineRule="auto" w:before="0" w:after="60"/>
        <w:ind w:firstLine="420"/>
        <w:jc w:val="left"/>
      </w:pPr>
      <w:r>
        <w:rPr>
          <w:rFonts w:ascii="宋体" w:hAnsi="宋体" w:eastAsia="宋体"/>
          <w:b w:val="0"/>
          <w:sz w:val="21"/>
        </w:rPr>
        <w:t>围绕这一思路，项目坚持四条原则：</w:t>
      </w:r>
    </w:p>
    <w:p>
      <w:pPr>
        <w:spacing w:line="240" w:lineRule="auto" w:before="0" w:after="60"/>
        <w:ind w:firstLine="420"/>
        <w:jc w:val="left"/>
      </w:pPr>
      <w:r>
        <w:rPr>
          <w:rFonts w:ascii="宋体" w:hAnsi="宋体" w:eastAsia="宋体"/>
          <w:b w:val="0"/>
          <w:sz w:val="21"/>
        </w:rPr>
        <w:t>第一，可信优先。白话解释与风险判断可以借助大模型生成，但具体法条引用必须来自知识库中的法条摘录；没有检索到依据时，宁可不写法律条文，也不允许模型凭空编造条号。第二，先看懂再求全。产品首要交付是摘要、红黄绿分级、原文对照白话与修改建议，而不是做成完整的 OCR 产品或法律意见书系统。第三，全场景贴合签约场景。应用接续支持换设备继续看结果，桌面卡片方便回看最近摘要，隐私防窥降低敏感页被截录屏的风险。第四，边界清晰。电子签署、律师咨询、合同自动改写、多人协作、正式法律意见书导出等，首版明确不做，避免方案夸大。</w:t>
      </w:r>
    </w:p>
    <w:p>
      <w:pPr>
        <w:spacing w:line="240" w:lineRule="auto" w:before="0" w:after="40"/>
        <w:jc w:val="left"/>
      </w:pPr>
      <w:r>
        <w:rPr>
          <w:rFonts w:ascii="宋体" w:hAnsi="宋体" w:eastAsia="宋体"/>
          <w:b w:val="0"/>
          <w:color w:val="666666"/>
          <w:sz w:val="18"/>
        </w:rPr>
        <w:t>（出处：README.md；doc/交接文档.md）</w:t>
      </w:r>
    </w:p>
    <w:p>
      <w:pPr>
        <w:spacing w:line="240" w:lineRule="auto" w:before="160" w:after="80"/>
        <w:jc w:val="left"/>
      </w:pPr>
      <w:r>
        <w:rPr>
          <w:rFonts w:ascii="宋体" w:hAnsi="宋体" w:eastAsia="宋体"/>
          <w:b/>
          <w:sz w:val="24"/>
        </w:rPr>
        <w:t>4.3.2 系统体系架构</w:t>
      </w:r>
    </w:p>
    <w:p>
      <w:pPr>
        <w:spacing w:line="240" w:lineRule="auto" w:before="0" w:after="60"/>
        <w:ind w:firstLine="420"/>
        <w:jc w:val="left"/>
      </w:pPr>
      <w:r>
        <w:rPr>
          <w:rFonts w:ascii="宋体" w:hAnsi="宋体" w:eastAsia="宋体"/>
          <w:b w:val="0"/>
          <w:sz w:val="21"/>
        </w:rPr>
        <w:t>系统采用「端—分析服务—知识库」三层结构。第一层是 HarmonyOS 客户端，负责导入合同、展示分析进度、呈现结果总览与条款对照，并提供合同追问；同时接入应用接续、互动卡片与隐私防窥。第二层是 Node.js 分析服务，负责任务排队与状态推进，完成文本提取与清洗、条款提示切分、向知识库检索、调用大模型生成结构化结果，并对法条字段做引用校验。第三层是 Python 知识库服务，基于向量检索返回风险规则、样例标注与法条摘录，供分析服务注入提示词。</w:t>
      </w:r>
    </w:p>
    <w:p>
      <w:pPr>
        <w:spacing w:line="240" w:lineRule="auto" w:before="0" w:after="40"/>
        <w:jc w:val="left"/>
      </w:pPr>
      <w:r>
        <w:rPr>
          <w:rFonts w:ascii="宋体" w:hAnsi="宋体" w:eastAsia="宋体"/>
          <w:b w:val="0"/>
          <w:color w:val="666666"/>
          <w:sz w:val="18"/>
        </w:rPr>
        <w:t>（出处：README.md「技术架构」；doc/交接文档.md）</w:t>
      </w:r>
    </w:p>
    <w:p>
      <w:pPr>
        <w:spacing w:line="240" w:lineRule="auto" w:before="40" w:after="40"/>
        <w:jc w:val="center"/>
      </w:pPr>
      <w:r>
        <w:drawing>
          <wp:inline xmlns:a="http://schemas.openxmlformats.org/drawingml/2006/main" xmlns:pic="http://schemas.openxmlformats.org/drawingml/2006/picture">
            <wp:extent cx="4680000" cy="2607429"/>
            <wp:docPr id="3" name="Picture 3"/>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4680000" cy="2607429"/>
                    </a:xfrm>
                    <a:prstGeom prst="rect"/>
                  </pic:spPr>
                </pic:pic>
              </a:graphicData>
            </a:graphic>
          </wp:inline>
        </w:drawing>
      </w:r>
    </w:p>
    <w:p>
      <w:pPr>
        <w:spacing w:line="240" w:lineRule="auto" w:before="0" w:after="120"/>
        <w:jc w:val="center"/>
      </w:pPr>
      <w:r>
        <w:rPr>
          <w:rFonts w:ascii="宋体" w:hAnsi="宋体" w:eastAsia="宋体"/>
          <w:b w:val="0"/>
          <w:color w:val="555555"/>
          <w:sz w:val="18"/>
        </w:rPr>
        <w:t>图2 系统体系架构</w:t>
      </w:r>
    </w:p>
    <w:p>
      <w:pPr>
        <w:spacing w:line="240" w:lineRule="auto" w:before="0" w:after="60"/>
        <w:ind w:firstLine="420"/>
        <w:jc w:val="left"/>
      </w:pPr>
      <w:r>
        <w:rPr>
          <w:rFonts w:ascii="宋体" w:hAnsi="宋体" w:eastAsia="宋体"/>
          <w:b w:val="0"/>
          <w:sz w:val="21"/>
        </w:rPr>
        <w:t>三层之间的协作方式是异步任务制：客户端提交分析请求后，先拿到任务编号；服务端在后台推进「识别与清洗—知识检索—模型分析」；客户端轮询任务状态，成功后再拉取完整结果。这样即使用户合同较长、模型耗时较高，界面仍能持续反馈进度，而不是长时间无响应。</w:t>
      </w:r>
    </w:p>
    <w:p>
      <w:pPr>
        <w:spacing w:line="240" w:lineRule="auto" w:before="40" w:after="40"/>
        <w:jc w:val="center"/>
      </w:pPr>
      <w:r>
        <w:drawing>
          <wp:inline xmlns:a="http://schemas.openxmlformats.org/drawingml/2006/main" xmlns:pic="http://schemas.openxmlformats.org/drawingml/2006/picture">
            <wp:extent cx="4608000" cy="2764800"/>
            <wp:docPr id="4" name="Picture 4"/>
            <wp:cNvGraphicFramePr>
              <a:graphicFrameLocks noChangeAspect="1"/>
            </wp:cNvGraphicFramePr>
            <a:graphic>
              <a:graphicData uri="http://schemas.openxmlformats.org/drawingml/2006/picture">
                <pic:pic>
                  <pic:nvPicPr>
                    <pic:cNvPr id="0" name="fig4_sequence.png"/>
                    <pic:cNvPicPr/>
                  </pic:nvPicPr>
                  <pic:blipFill>
                    <a:blip r:embed="rId13"/>
                    <a:stretch>
                      <a:fillRect/>
                    </a:stretch>
                  </pic:blipFill>
                  <pic:spPr>
                    <a:xfrm>
                      <a:off x="0" y="0"/>
                      <a:ext cx="4608000" cy="2764800"/>
                    </a:xfrm>
                    <a:prstGeom prst="rect"/>
                  </pic:spPr>
                </pic:pic>
              </a:graphicData>
            </a:graphic>
          </wp:inline>
        </w:drawing>
      </w:r>
    </w:p>
    <w:p>
      <w:pPr>
        <w:spacing w:line="240" w:lineRule="auto" w:before="0" w:after="120"/>
        <w:jc w:val="center"/>
      </w:pPr>
      <w:r>
        <w:rPr>
          <w:rFonts w:ascii="宋体" w:hAnsi="宋体" w:eastAsia="宋体"/>
          <w:b w:val="0"/>
          <w:color w:val="555555"/>
          <w:sz w:val="18"/>
        </w:rPr>
        <w:t>图4 合同分析任务协作关系</w:t>
      </w:r>
    </w:p>
    <w:p>
      <w:pPr>
        <w:spacing w:line="240" w:lineRule="auto" w:before="0" w:after="60"/>
        <w:ind w:firstLine="420"/>
        <w:jc w:val="left"/>
      </w:pPr>
      <w:r>
        <w:rPr>
          <w:rFonts w:ascii="宋体" w:hAnsi="宋体" w:eastAsia="宋体"/>
          <w:b w:val="0"/>
          <w:sz w:val="21"/>
        </w:rPr>
        <w:t>需要特别说明的是：当前分析任务保存在服务进程的内存中，适合比赛演示与联调；进程重启后历史任务不会自动保留。这是现阶段实现方式，并不等同于已上线的生产数据库方案。</w:t>
      </w:r>
    </w:p>
    <w:p>
      <w:pPr>
        <w:spacing w:line="240" w:lineRule="auto" w:before="0" w:after="40"/>
        <w:jc w:val="left"/>
      </w:pPr>
      <w:r>
        <w:rPr>
          <w:rFonts w:ascii="宋体" w:hAnsi="宋体" w:eastAsia="宋体"/>
          <w:b w:val="0"/>
          <w:color w:val="666666"/>
          <w:sz w:val="18"/>
        </w:rPr>
        <w:t>（出处：doc/交接文档.md）</w:t>
      </w:r>
    </w:p>
    <w:p>
      <w:pPr>
        <w:spacing w:line="240" w:lineRule="auto" w:before="160" w:after="80"/>
        <w:jc w:val="left"/>
      </w:pPr>
      <w:r>
        <w:rPr>
          <w:rFonts w:ascii="宋体" w:hAnsi="宋体" w:eastAsia="宋体"/>
          <w:b/>
          <w:sz w:val="24"/>
        </w:rPr>
        <w:t>4.3.3 端到端业务数据流</w:t>
      </w:r>
    </w:p>
    <w:p>
      <w:pPr>
        <w:spacing w:line="240" w:lineRule="auto" w:before="0" w:after="60"/>
        <w:ind w:firstLine="420"/>
        <w:jc w:val="left"/>
      </w:pPr>
      <w:r>
        <w:rPr>
          <w:rFonts w:ascii="宋体" w:hAnsi="宋体" w:eastAsia="宋体"/>
          <w:b w:val="0"/>
          <w:sz w:val="21"/>
        </w:rPr>
        <w:t>一次完整分析，在业务上可以分成五个阶段，各阶段状态对用户可见：等待开始、识别整理中、智能分析中、成功、失败。端侧与服务侧使用同一套状态含义，避免「后端已经成功、前端还在转圈」的语义错位。</w:t>
      </w:r>
    </w:p>
    <w:p>
      <w:pPr>
        <w:spacing w:line="240" w:lineRule="auto" w:before="0" w:after="60"/>
        <w:ind w:firstLine="420"/>
        <w:jc w:val="left"/>
      </w:pPr>
      <w:r>
        <w:rPr>
          <w:rFonts w:ascii="宋体" w:hAnsi="宋体" w:eastAsia="宋体"/>
          <w:b w:val="0"/>
          <w:sz w:val="21"/>
        </w:rPr>
        <w:t>进入分析后，服务端首先尽量拿到合同正文。优先使用客户端直接提交的文本内容（例如用户导入的文本，或手机端对合同照片识文后上传的正文）；若暂时拿不到正文，则仅作为联调兜底使用模板文本。若用户尝试直接上传尚未支持直解析的 PDF/DOCX 二进制文件，系统会明确提示改为导出图片或 TXT，而不是假装已经读完文件。这一设计与「OCR 是轻量能力、核心是解读」的产品定位一致。</w:t>
      </w:r>
    </w:p>
    <w:p>
      <w:pPr>
        <w:spacing w:line="240" w:lineRule="auto" w:before="0" w:after="40"/>
        <w:jc w:val="left"/>
      </w:pPr>
      <w:r>
        <w:rPr>
          <w:rFonts w:ascii="宋体" w:hAnsi="宋体" w:eastAsia="宋体"/>
          <w:b w:val="0"/>
          <w:color w:val="666666"/>
          <w:sz w:val="18"/>
        </w:rPr>
        <w:t>（出处：服务端文本提取与分析控制器实现；README 关于 OCR 边界的说明）</w:t>
      </w:r>
    </w:p>
    <w:p>
      <w:pPr>
        <w:spacing w:line="240" w:lineRule="auto" w:before="0" w:after="60"/>
        <w:ind w:firstLine="420"/>
        <w:jc w:val="left"/>
      </w:pPr>
      <w:r>
        <w:rPr>
          <w:rFonts w:ascii="宋体" w:hAnsi="宋体" w:eastAsia="宋体"/>
          <w:b w:val="0"/>
          <w:sz w:val="21"/>
        </w:rPr>
        <w:t>正文就绪后，系统做两件「为模型减负」的事：一是清洗换行与多余空白，让文本更整齐；二是按段落切出有限条条款提示，帮助后续知识检索更聚焦。接着，若知识库开启，则先根据合同开头与条款提示检索相关风险知识与允许引用的法条列表；检索失败时不中断分析，而是带着「本次无可引用法条」的约束继续调用大模型。最后由大模型输出结构化结果：整体摘要、签署前确认清单、若干条重点条款的原文、白话、风险等级、原因与建议。若模型试图填写法条，系统会再做一次核对，只保留本轮知识库允许列表中的内容。</w:t>
      </w:r>
    </w:p>
    <w:p>
      <w:pPr>
        <w:spacing w:line="240" w:lineRule="auto" w:before="0" w:after="40"/>
        <w:jc w:val="left"/>
      </w:pPr>
      <w:r>
        <w:rPr>
          <w:rFonts w:ascii="宋体" w:hAnsi="宋体" w:eastAsia="宋体"/>
          <w:b w:val="0"/>
          <w:color w:val="666666"/>
          <w:sz w:val="18"/>
        </w:rPr>
        <w:t>（出处：分析流水线与风险引用校验实现）</w:t>
      </w:r>
    </w:p>
    <w:p>
      <w:pPr>
        <w:spacing w:line="240" w:lineRule="auto" w:before="160" w:after="80"/>
        <w:jc w:val="left"/>
      </w:pPr>
      <w:r>
        <w:rPr>
          <w:rFonts w:ascii="宋体" w:hAnsi="宋体" w:eastAsia="宋体"/>
          <w:b/>
          <w:sz w:val="24"/>
        </w:rPr>
        <w:t>4.3.4 技术框架选型说明</w:t>
      </w:r>
    </w:p>
    <w:p>
      <w:pPr>
        <w:spacing w:line="240" w:lineRule="auto" w:before="0" w:after="60"/>
        <w:ind w:firstLine="420"/>
        <w:jc w:val="left"/>
      </w:pPr>
      <w:r>
        <w:rPr>
          <w:rFonts w:ascii="宋体" w:hAnsi="宋体" w:eastAsia="宋体"/>
          <w:b w:val="0"/>
          <w:sz w:val="21"/>
        </w:rPr>
        <w:t>选型服务于三个目标：鸿蒙赛道可演示、主链路可闭环、现场可兜底。客户端采用 HarmonyOS 的 ArkTS/ArkUI 与 Stage 模型，覆盖手机、平板与二合一设备形态，以便讲述全场景续看与卡片回看。分析服务采用 Express 与 TypeScript，便于快速定义任务接口、状态查询与结果协议。知识库服务采用 FastAPI 与 Chroma，把风险规则、样例标注、法条摘录做成可检索语料。大模型侧对接阿里云百炼的 OpenAI 兼容接口，默认使用可配置的通义模型，温度设置偏低，以换取更稳定的结构化输出。</w:t>
      </w:r>
    </w:p>
    <w:p>
      <w:pPr>
        <w:spacing w:line="240" w:lineRule="auto" w:before="0" w:after="40"/>
        <w:jc w:val="left"/>
      </w:pPr>
      <w:r>
        <w:rPr>
          <w:rFonts w:ascii="宋体" w:hAnsi="宋体" w:eastAsia="宋体"/>
          <w:b w:val="0"/>
          <w:color w:val="666666"/>
          <w:sz w:val="18"/>
        </w:rPr>
        <w:t>（出处：README 技术表；server 环境配置示例）</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shd w:fill="D9E2F3" w:val="clear"/>
          </w:tcPr>
          <w:p>
            <w:pPr>
              <w:spacing w:line="240" w:lineRule="auto" w:before="0" w:after="0"/>
              <w:jc w:val="center"/>
            </w:pPr>
            <w:r/>
            <w:r>
              <w:rPr>
                <w:rFonts w:ascii="宋体" w:hAnsi="宋体" w:eastAsia="宋体"/>
                <w:b/>
                <w:sz w:val="18"/>
              </w:rPr>
              <w:t>层级</w:t>
            </w:r>
          </w:p>
        </w:tc>
        <w:tc>
          <w:tcPr>
            <w:tcW w:type="dxa" w:w="2835"/>
            <w:vAlign w:val="center"/>
            <w:shd w:fill="D9E2F3" w:val="clear"/>
          </w:tcPr>
          <w:p>
            <w:pPr>
              <w:spacing w:line="240" w:lineRule="auto" w:before="0" w:after="0"/>
              <w:jc w:val="center"/>
            </w:pPr>
            <w:r/>
            <w:r>
              <w:rPr>
                <w:rFonts w:ascii="宋体" w:hAnsi="宋体" w:eastAsia="宋体"/>
                <w:b/>
                <w:sz w:val="18"/>
              </w:rPr>
              <w:t>主要技术</w:t>
            </w:r>
          </w:p>
        </w:tc>
        <w:tc>
          <w:tcPr>
            <w:tcW w:type="dxa" w:w="2835"/>
            <w:vAlign w:val="center"/>
            <w:shd w:fill="D9E2F3" w:val="clear"/>
          </w:tcPr>
          <w:p>
            <w:pPr>
              <w:spacing w:line="240" w:lineRule="auto" w:before="0" w:after="0"/>
              <w:jc w:val="center"/>
            </w:pPr>
            <w:r/>
            <w:r>
              <w:rPr>
                <w:rFonts w:ascii="宋体" w:hAnsi="宋体" w:eastAsia="宋体"/>
                <w:b/>
                <w:sz w:val="18"/>
              </w:rPr>
              <w:t>在本项目中的作用</w:t>
            </w:r>
          </w:p>
        </w:tc>
      </w:tr>
      <w:tr>
        <w:tc>
          <w:tcPr>
            <w:tcW w:type="dxa" w:w="2835"/>
            <w:vAlign w:val="center"/>
          </w:tcPr>
          <w:p>
            <w:pPr>
              <w:spacing w:line="240" w:lineRule="auto" w:before="0" w:after="0"/>
              <w:jc w:val="center"/>
            </w:pPr>
            <w:r/>
            <w:r>
              <w:rPr>
                <w:rFonts w:ascii="宋体" w:hAnsi="宋体" w:eastAsia="宋体"/>
                <w:b w:val="0"/>
                <w:sz w:val="18"/>
              </w:rPr>
              <w:t>客户端</w:t>
            </w:r>
          </w:p>
        </w:tc>
        <w:tc>
          <w:tcPr>
            <w:tcW w:type="dxa" w:w="2835"/>
            <w:vAlign w:val="center"/>
          </w:tcPr>
          <w:p>
            <w:pPr>
              <w:spacing w:line="240" w:lineRule="auto" w:before="0" w:after="0"/>
              <w:jc w:val="left"/>
            </w:pPr>
            <w:r/>
            <w:r>
              <w:rPr>
                <w:rFonts w:ascii="宋体" w:hAnsi="宋体" w:eastAsia="宋体"/>
                <w:b w:val="0"/>
                <w:sz w:val="18"/>
              </w:rPr>
              <w:t>HarmonyOS / ArkTS / ArkUI</w:t>
            </w:r>
          </w:p>
        </w:tc>
        <w:tc>
          <w:tcPr>
            <w:tcW w:type="dxa" w:w="2835"/>
            <w:vAlign w:val="center"/>
          </w:tcPr>
          <w:p>
            <w:pPr>
              <w:spacing w:line="240" w:lineRule="auto" w:before="0" w:after="0"/>
              <w:jc w:val="left"/>
            </w:pPr>
            <w:r/>
            <w:r>
              <w:rPr>
                <w:rFonts w:ascii="宋体" w:hAnsi="宋体" w:eastAsia="宋体"/>
                <w:b w:val="0"/>
                <w:sz w:val="18"/>
              </w:rPr>
              <w:t>导入、进度、分层阅读、鸿蒙特性</w:t>
            </w:r>
          </w:p>
        </w:tc>
      </w:tr>
      <w:tr>
        <w:tc>
          <w:tcPr>
            <w:tcW w:type="dxa" w:w="2835"/>
            <w:vAlign w:val="center"/>
          </w:tcPr>
          <w:p>
            <w:pPr>
              <w:spacing w:line="240" w:lineRule="auto" w:before="0" w:after="0"/>
              <w:jc w:val="center"/>
            </w:pPr>
            <w:r/>
            <w:r>
              <w:rPr>
                <w:rFonts w:ascii="宋体" w:hAnsi="宋体" w:eastAsia="宋体"/>
                <w:b w:val="0"/>
                <w:sz w:val="18"/>
              </w:rPr>
              <w:t>分析服务</w:t>
            </w:r>
          </w:p>
        </w:tc>
        <w:tc>
          <w:tcPr>
            <w:tcW w:type="dxa" w:w="2835"/>
            <w:vAlign w:val="center"/>
          </w:tcPr>
          <w:p>
            <w:pPr>
              <w:spacing w:line="240" w:lineRule="auto" w:before="0" w:after="0"/>
              <w:jc w:val="left"/>
            </w:pPr>
            <w:r/>
            <w:r>
              <w:rPr>
                <w:rFonts w:ascii="宋体" w:hAnsi="宋体" w:eastAsia="宋体"/>
                <w:b w:val="0"/>
                <w:sz w:val="18"/>
              </w:rPr>
              <w:t>Express / TypeScript</w:t>
            </w:r>
          </w:p>
        </w:tc>
        <w:tc>
          <w:tcPr>
            <w:tcW w:type="dxa" w:w="2835"/>
            <w:vAlign w:val="center"/>
          </w:tcPr>
          <w:p>
            <w:pPr>
              <w:spacing w:line="240" w:lineRule="auto" w:before="0" w:after="0"/>
              <w:jc w:val="left"/>
            </w:pPr>
            <w:r/>
            <w:r>
              <w:rPr>
                <w:rFonts w:ascii="宋体" w:hAnsi="宋体" w:eastAsia="宋体"/>
                <w:b w:val="0"/>
                <w:sz w:val="18"/>
              </w:rPr>
              <w:t>任务编排、清洗切分、模型调用、引用校验</w:t>
            </w:r>
          </w:p>
        </w:tc>
      </w:tr>
      <w:tr>
        <w:tc>
          <w:tcPr>
            <w:tcW w:type="dxa" w:w="2835"/>
            <w:vAlign w:val="center"/>
          </w:tcPr>
          <w:p>
            <w:pPr>
              <w:spacing w:line="240" w:lineRule="auto" w:before="0" w:after="0"/>
              <w:jc w:val="center"/>
            </w:pPr>
            <w:r/>
            <w:r>
              <w:rPr>
                <w:rFonts w:ascii="宋体" w:hAnsi="宋体" w:eastAsia="宋体"/>
                <w:b w:val="0"/>
                <w:sz w:val="18"/>
              </w:rPr>
              <w:t>知识库</w:t>
            </w:r>
          </w:p>
        </w:tc>
        <w:tc>
          <w:tcPr>
            <w:tcW w:type="dxa" w:w="2835"/>
            <w:vAlign w:val="center"/>
          </w:tcPr>
          <w:p>
            <w:pPr>
              <w:spacing w:line="240" w:lineRule="auto" w:before="0" w:after="0"/>
              <w:jc w:val="left"/>
            </w:pPr>
            <w:r/>
            <w:r>
              <w:rPr>
                <w:rFonts w:ascii="宋体" w:hAnsi="宋体" w:eastAsia="宋体"/>
                <w:b w:val="0"/>
                <w:sz w:val="18"/>
              </w:rPr>
              <w:t>FastAPI / Chroma / Python</w:t>
            </w:r>
          </w:p>
        </w:tc>
        <w:tc>
          <w:tcPr>
            <w:tcW w:type="dxa" w:w="2835"/>
            <w:vAlign w:val="center"/>
          </w:tcPr>
          <w:p>
            <w:pPr>
              <w:spacing w:line="240" w:lineRule="auto" w:before="0" w:after="0"/>
              <w:jc w:val="left"/>
            </w:pPr>
            <w:r/>
            <w:r>
              <w:rPr>
                <w:rFonts w:ascii="宋体" w:hAnsi="宋体" w:eastAsia="宋体"/>
                <w:b w:val="0"/>
                <w:sz w:val="18"/>
              </w:rPr>
              <w:t>风险与法条检索</w:t>
            </w:r>
          </w:p>
        </w:tc>
      </w:tr>
      <w:tr>
        <w:tc>
          <w:tcPr>
            <w:tcW w:type="dxa" w:w="2835"/>
            <w:vAlign w:val="center"/>
          </w:tcPr>
          <w:p>
            <w:pPr>
              <w:spacing w:line="240" w:lineRule="auto" w:before="0" w:after="0"/>
              <w:jc w:val="center"/>
            </w:pPr>
            <w:r/>
            <w:r>
              <w:rPr>
                <w:rFonts w:ascii="宋体" w:hAnsi="宋体" w:eastAsia="宋体"/>
                <w:b w:val="0"/>
                <w:sz w:val="18"/>
              </w:rPr>
              <w:t>大模型</w:t>
            </w:r>
          </w:p>
        </w:tc>
        <w:tc>
          <w:tcPr>
            <w:tcW w:type="dxa" w:w="2835"/>
            <w:vAlign w:val="center"/>
          </w:tcPr>
          <w:p>
            <w:pPr>
              <w:spacing w:line="240" w:lineRule="auto" w:before="0" w:after="0"/>
              <w:jc w:val="left"/>
            </w:pPr>
            <w:r/>
            <w:r>
              <w:rPr>
                <w:rFonts w:ascii="宋体" w:hAnsi="宋体" w:eastAsia="宋体"/>
                <w:b w:val="0"/>
                <w:sz w:val="18"/>
              </w:rPr>
              <w:t>百炼兼容接口</w:t>
            </w:r>
          </w:p>
        </w:tc>
        <w:tc>
          <w:tcPr>
            <w:tcW w:type="dxa" w:w="2835"/>
            <w:vAlign w:val="center"/>
          </w:tcPr>
          <w:p>
            <w:pPr>
              <w:spacing w:line="240" w:lineRule="auto" w:before="0" w:after="0"/>
              <w:jc w:val="left"/>
            </w:pPr>
            <w:r/>
            <w:r>
              <w:rPr>
                <w:rFonts w:ascii="宋体" w:hAnsi="宋体" w:eastAsia="宋体"/>
                <w:b w:val="0"/>
                <w:sz w:val="18"/>
              </w:rPr>
              <w:t>摘要、风险、白话、建议、追问回答</w:t>
            </w:r>
          </w:p>
        </w:tc>
      </w:tr>
      <w:tr>
        <w:tc>
          <w:tcPr>
            <w:tcW w:type="dxa" w:w="2835"/>
            <w:vAlign w:val="center"/>
          </w:tcPr>
          <w:p>
            <w:pPr>
              <w:spacing w:line="240" w:lineRule="auto" w:before="0" w:after="0"/>
              <w:jc w:val="center"/>
            </w:pPr>
            <w:r/>
            <w:r>
              <w:rPr>
                <w:rFonts w:ascii="宋体" w:hAnsi="宋体" w:eastAsia="宋体"/>
                <w:b w:val="0"/>
                <w:sz w:val="18"/>
              </w:rPr>
              <w:t>端侧存储</w:t>
            </w:r>
          </w:p>
        </w:tc>
        <w:tc>
          <w:tcPr>
            <w:tcW w:type="dxa" w:w="2835"/>
            <w:vAlign w:val="center"/>
          </w:tcPr>
          <w:p>
            <w:pPr>
              <w:spacing w:line="240" w:lineRule="auto" w:before="0" w:after="0"/>
              <w:jc w:val="left"/>
            </w:pPr>
            <w:r/>
            <w:r>
              <w:rPr>
                <w:rFonts w:ascii="宋体" w:hAnsi="宋体" w:eastAsia="宋体"/>
                <w:b w:val="0"/>
                <w:sz w:val="18"/>
              </w:rPr>
              <w:t>Preferences</w:t>
            </w:r>
          </w:p>
        </w:tc>
        <w:tc>
          <w:tcPr>
            <w:tcW w:type="dxa" w:w="2835"/>
            <w:vAlign w:val="center"/>
          </w:tcPr>
          <w:p>
            <w:pPr>
              <w:spacing w:line="240" w:lineRule="auto" w:before="0" w:after="0"/>
              <w:jc w:val="left"/>
            </w:pPr>
            <w:r/>
            <w:r>
              <w:rPr>
                <w:rFonts w:ascii="宋体" w:hAnsi="宋体" w:eastAsia="宋体"/>
                <w:b w:val="0"/>
                <w:sz w:val="18"/>
              </w:rPr>
              <w:t>最近记录、设置、接续与卡片上下文</w:t>
            </w:r>
          </w:p>
        </w:tc>
      </w:tr>
      <w:tr>
        <w:tc>
          <w:tcPr>
            <w:tcW w:type="dxa" w:w="2835"/>
            <w:vAlign w:val="center"/>
          </w:tcPr>
          <w:p>
            <w:pPr>
              <w:spacing w:line="240" w:lineRule="auto" w:before="0" w:after="0"/>
              <w:jc w:val="center"/>
            </w:pPr>
            <w:r/>
            <w:r>
              <w:rPr>
                <w:rFonts w:ascii="宋体" w:hAnsi="宋体" w:eastAsia="宋体"/>
                <w:b w:val="0"/>
                <w:sz w:val="18"/>
              </w:rPr>
              <w:t>任务存储</w:t>
            </w:r>
          </w:p>
        </w:tc>
        <w:tc>
          <w:tcPr>
            <w:tcW w:type="dxa" w:w="2835"/>
            <w:vAlign w:val="center"/>
          </w:tcPr>
          <w:p>
            <w:pPr>
              <w:spacing w:line="240" w:lineRule="auto" w:before="0" w:after="0"/>
              <w:jc w:val="left"/>
            </w:pPr>
            <w:r/>
            <w:r>
              <w:rPr>
                <w:rFonts w:ascii="宋体" w:hAnsi="宋体" w:eastAsia="宋体"/>
                <w:b w:val="0"/>
                <w:sz w:val="18"/>
              </w:rPr>
              <w:t>内存仓储</w:t>
            </w:r>
          </w:p>
        </w:tc>
        <w:tc>
          <w:tcPr>
            <w:tcW w:type="dxa" w:w="2835"/>
            <w:vAlign w:val="center"/>
          </w:tcPr>
          <w:p>
            <w:pPr>
              <w:spacing w:line="240" w:lineRule="auto" w:before="0" w:after="0"/>
              <w:jc w:val="left"/>
            </w:pPr>
            <w:r/>
            <w:r>
              <w:rPr>
                <w:rFonts w:ascii="宋体" w:hAnsi="宋体" w:eastAsia="宋体"/>
                <w:b w:val="0"/>
                <w:sz w:val="18"/>
              </w:rPr>
              <w:t>演示期保存任务状态与结果</w:t>
            </w:r>
          </w:p>
        </w:tc>
      </w:tr>
    </w:tbl>
    <w:p>
      <w:pPr>
        <w:spacing w:line="240" w:lineRule="auto" w:before="0" w:after="40"/>
        <w:jc w:val="left"/>
      </w:pPr>
      <w:r>
        <w:rPr>
          <w:rFonts w:ascii="宋体" w:hAnsi="宋体" w:eastAsia="宋体"/>
          <w:b w:val="0"/>
          <w:sz w:val="21"/>
        </w:rPr>
      </w:r>
    </w:p>
    <w:p>
      <w:pPr>
        <w:spacing w:line="240" w:lineRule="auto" w:before="0" w:after="60"/>
        <w:ind w:firstLine="420"/>
        <w:jc w:val="left"/>
      </w:pPr>
      <w:r>
        <w:rPr>
          <w:rFonts w:ascii="宋体" w:hAnsi="宋体" w:eastAsia="宋体"/>
          <w:b w:val="0"/>
          <w:sz w:val="21"/>
        </w:rPr>
        <w:t>模块关系上，客户端展示层、鸿蒙能力层、网络协议层、分析流水线、知识库与模型层各司其职。下图用于帮助理解「谁负责对用户说话、谁负责调用模型、谁负责提供依据」，不意味着存在额外未实现的中间件。</w:t>
      </w:r>
    </w:p>
    <w:p>
      <w:pPr>
        <w:spacing w:line="240" w:lineRule="auto" w:before="40" w:after="40"/>
        <w:jc w:val="center"/>
      </w:pPr>
      <w:r>
        <w:drawing>
          <wp:inline xmlns:a="http://schemas.openxmlformats.org/drawingml/2006/main" xmlns:pic="http://schemas.openxmlformats.org/drawingml/2006/picture">
            <wp:extent cx="4608000" cy="3010560"/>
            <wp:docPr id="5" name="Picture 5"/>
            <wp:cNvGraphicFramePr>
              <a:graphicFrameLocks noChangeAspect="1"/>
            </wp:cNvGraphicFramePr>
            <a:graphic>
              <a:graphicData uri="http://schemas.openxmlformats.org/drawingml/2006/picture">
                <pic:pic>
                  <pic:nvPicPr>
                    <pic:cNvPr id="0" name="fig5_modules.png"/>
                    <pic:cNvPicPr/>
                  </pic:nvPicPr>
                  <pic:blipFill>
                    <a:blip r:embed="rId14"/>
                    <a:stretch>
                      <a:fillRect/>
                    </a:stretch>
                  </pic:blipFill>
                  <pic:spPr>
                    <a:xfrm>
                      <a:off x="0" y="0"/>
                      <a:ext cx="4608000" cy="3010560"/>
                    </a:xfrm>
                    <a:prstGeom prst="rect"/>
                  </pic:spPr>
                </pic:pic>
              </a:graphicData>
            </a:graphic>
          </wp:inline>
        </w:drawing>
      </w:r>
    </w:p>
    <w:p>
      <w:pPr>
        <w:spacing w:line="240" w:lineRule="auto" w:before="0" w:after="120"/>
        <w:jc w:val="center"/>
      </w:pPr>
      <w:r>
        <w:rPr>
          <w:rFonts w:ascii="宋体" w:hAnsi="宋体" w:eastAsia="宋体"/>
          <w:b w:val="0"/>
          <w:color w:val="555555"/>
          <w:sz w:val="18"/>
        </w:rPr>
        <w:t>图5 模块职责分解</w:t>
      </w:r>
    </w:p>
    <w:p>
      <w:pPr>
        <w:spacing w:line="240" w:lineRule="auto" w:before="160" w:after="80"/>
        <w:jc w:val="left"/>
      </w:pPr>
      <w:r>
        <w:rPr>
          <w:rFonts w:ascii="宋体" w:hAnsi="宋体" w:eastAsia="宋体"/>
          <w:b/>
          <w:sz w:val="24"/>
        </w:rPr>
        <w:t>4.3.5 客户端技术路线：如何让用户「用得顺」</w:t>
      </w:r>
    </w:p>
    <w:p>
      <w:pPr>
        <w:spacing w:line="240" w:lineRule="auto" w:before="0" w:after="60"/>
        <w:ind w:firstLine="420"/>
        <w:jc w:val="left"/>
      </w:pPr>
      <w:r>
        <w:rPr>
          <w:rFonts w:ascii="宋体" w:hAnsi="宋体" w:eastAsia="宋体"/>
          <w:b w:val="0"/>
          <w:sz w:val="21"/>
        </w:rPr>
        <w:t>客户端技术路线围绕主链路展开：从首页进入导入，提交后进入分析中页面；成功后先看结果总览，再进入条款对照精读，必要时打开合同问答继续追问。设置页用于配置服务地址、密钥与隐私开关，并提供答辩用的异常演示模式。另有文档扫描页，支持对合同照片做端侧识文，再把识别出的正文交给分析服务。</w:t>
      </w:r>
    </w:p>
    <w:p>
      <w:pPr>
        <w:spacing w:line="240" w:lineRule="auto" w:before="0" w:after="60"/>
        <w:ind w:firstLine="420"/>
        <w:jc w:val="left"/>
      </w:pPr>
      <w:r>
        <w:rPr>
          <w:rFonts w:ascii="宋体" w:hAnsi="宋体" w:eastAsia="宋体"/>
          <w:b w:val="0"/>
          <w:sz w:val="21"/>
        </w:rPr>
        <w:t>交互上坚持「分层阅读」。先给整体结论和签署前确认项，再用红、黄、绿帮助用户抓住重点，然后才进入单条条款的原文与白话对照；追问放在最后，避免一上来就被长文淹没。这一信息架构直接对应结果总览、条款对照、合同问答三个页面，而不是停留在概念层。</w:t>
      </w:r>
    </w:p>
    <w:p>
      <w:pPr>
        <w:spacing w:line="240" w:lineRule="auto" w:before="40" w:after="40"/>
        <w:jc w:val="center"/>
      </w:pPr>
      <w:r>
        <w:drawing>
          <wp:inline xmlns:a="http://schemas.openxmlformats.org/drawingml/2006/main" xmlns:pic="http://schemas.openxmlformats.org/drawingml/2006/picture">
            <wp:extent cx="4680000" cy="1738286"/>
            <wp:docPr id="6" name="Picture 6"/>
            <wp:cNvGraphicFramePr>
              <a:graphicFrameLocks noChangeAspect="1"/>
            </wp:cNvGraphicFramePr>
            <a:graphic>
              <a:graphicData uri="http://schemas.openxmlformats.org/drawingml/2006/picture">
                <pic:pic>
                  <pic:nvPicPr>
                    <pic:cNvPr id="0" name="fig1_interaction_flow.png"/>
                    <pic:cNvPicPr/>
                  </pic:nvPicPr>
                  <pic:blipFill>
                    <a:blip r:embed="rId10"/>
                    <a:stretch>
                      <a:fillRect/>
                    </a:stretch>
                  </pic:blipFill>
                  <pic:spPr>
                    <a:xfrm>
                      <a:off x="0" y="0"/>
                      <a:ext cx="4680000" cy="1738286"/>
                    </a:xfrm>
                    <a:prstGeom prst="rect"/>
                  </pic:spPr>
                </pic:pic>
              </a:graphicData>
            </a:graphic>
          </wp:inline>
        </w:drawing>
      </w:r>
    </w:p>
    <w:p>
      <w:pPr>
        <w:spacing w:line="240" w:lineRule="auto" w:before="0" w:after="120"/>
        <w:jc w:val="center"/>
      </w:pPr>
      <w:r>
        <w:rPr>
          <w:rFonts w:ascii="宋体" w:hAnsi="宋体" w:eastAsia="宋体"/>
          <w:b w:val="0"/>
          <w:color w:val="555555"/>
          <w:sz w:val="18"/>
        </w:rPr>
        <w:t>图1 主交互流程</w:t>
      </w:r>
    </w:p>
    <w:p>
      <w:pPr>
        <w:spacing w:line="240" w:lineRule="auto" w:before="40" w:after="40"/>
        <w:jc w:val="center"/>
      </w:pPr>
      <w:r>
        <w:drawing>
          <wp:inline xmlns:a="http://schemas.openxmlformats.org/drawingml/2006/main" xmlns:pic="http://schemas.openxmlformats.org/drawingml/2006/picture">
            <wp:extent cx="4680000" cy="1872000"/>
            <wp:docPr id="7" name="Picture 7"/>
            <wp:cNvGraphicFramePr>
              <a:graphicFrameLocks noChangeAspect="1"/>
            </wp:cNvGraphicFramePr>
            <a:graphic>
              <a:graphicData uri="http://schemas.openxmlformats.org/drawingml/2006/picture">
                <pic:pic>
                  <pic:nvPicPr>
                    <pic:cNvPr id="0" name="fig3_info_architecture.png"/>
                    <pic:cNvPicPr/>
                  </pic:nvPicPr>
                  <pic:blipFill>
                    <a:blip r:embed="rId11"/>
                    <a:stretch>
                      <a:fillRect/>
                    </a:stretch>
                  </pic:blipFill>
                  <pic:spPr>
                    <a:xfrm>
                      <a:off x="0" y="0"/>
                      <a:ext cx="4680000" cy="1872000"/>
                    </a:xfrm>
                    <a:prstGeom prst="rect"/>
                  </pic:spPr>
                </pic:pic>
              </a:graphicData>
            </a:graphic>
          </wp:inline>
        </w:drawing>
      </w:r>
    </w:p>
    <w:p>
      <w:pPr>
        <w:spacing w:line="240" w:lineRule="auto" w:before="0" w:after="120"/>
        <w:jc w:val="center"/>
      </w:pPr>
      <w:r>
        <w:rPr>
          <w:rFonts w:ascii="宋体" w:hAnsi="宋体" w:eastAsia="宋体"/>
          <w:b w:val="0"/>
          <w:color w:val="555555"/>
          <w:sz w:val="18"/>
        </w:rPr>
        <w:t>图3 结果阅读信息架构</w:t>
      </w:r>
    </w:p>
    <w:p>
      <w:pPr>
        <w:spacing w:line="240" w:lineRule="auto" w:before="0" w:after="60"/>
        <w:ind w:firstLine="420"/>
        <w:jc w:val="left"/>
      </w:pPr>
      <w:r>
        <w:rPr>
          <w:rFonts w:ascii="宋体" w:hAnsi="宋体" w:eastAsia="宋体"/>
          <w:b w:val="0"/>
          <w:sz w:val="21"/>
        </w:rPr>
        <w:t>为了让等待过程可感知，分析页会根据任务状态更新文案，并以小步进度反馈减少「空白等待」。导入失败、分析失败、结果加载失败时，页面提供统一的空态/错误态与重试入口，用户可以明确知道下一步该重试、改服务地址，还是切换到本地演示样例。最近分析记录会缓存在本地，首页可回看，也作为桌面卡片的数据来源之一。</w:t>
      </w:r>
    </w:p>
    <w:p>
      <w:pPr>
        <w:spacing w:line="240" w:lineRule="auto" w:before="0" w:after="40"/>
        <w:jc w:val="left"/>
      </w:pPr>
      <w:r>
        <w:rPr>
          <w:rFonts w:ascii="宋体" w:hAnsi="宋体" w:eastAsia="宋体"/>
          <w:b w:val="0"/>
          <w:color w:val="666666"/>
          <w:sz w:val="18"/>
        </w:rPr>
        <w:t>（出处：客户端页面、AnalyzeVM、EmptyState/LoadingState、CacheService）</w:t>
      </w:r>
    </w:p>
    <w:p>
      <w:pPr>
        <w:spacing w:line="240" w:lineRule="auto" w:before="0" w:after="60"/>
        <w:ind w:firstLine="420"/>
        <w:jc w:val="left"/>
      </w:pPr>
      <w:r>
        <w:rPr>
          <w:rFonts w:ascii="宋体" w:hAnsi="宋体" w:eastAsia="宋体"/>
          <w:b w:val="0"/>
          <w:sz w:val="21"/>
        </w:rPr>
        <w:t>联调方面，模拟器与真机对「本机地址」的理解不同。项目会按运行环境解析默认服务地址，并支持在设置页改为电脑局域网 IP；同时提供健康检查探测，降低「服务其实没起来却一直转圈」的排查成本。关于文件格式：文本与图片识文路径是主推荐路径；对尚不支持直接解析的二进制文档，会明确提示转换后再导入。</w:t>
      </w:r>
    </w:p>
    <w:p>
      <w:pPr>
        <w:spacing w:line="240" w:lineRule="auto" w:before="0" w:after="40"/>
        <w:jc w:val="left"/>
      </w:pPr>
      <w:r>
        <w:rPr>
          <w:rFonts w:ascii="宋体" w:hAnsi="宋体" w:eastAsia="宋体"/>
          <w:b w:val="0"/>
          <w:color w:val="666666"/>
          <w:sz w:val="18"/>
        </w:rPr>
        <w:t>（出处：服务地址解析与导入服务实现）</w:t>
      </w:r>
    </w:p>
    <w:p>
      <w:pPr>
        <w:spacing w:line="240" w:lineRule="auto" w:before="160" w:after="80"/>
        <w:jc w:val="left"/>
      </w:pPr>
      <w:r>
        <w:rPr>
          <w:rFonts w:ascii="宋体" w:hAnsi="宋体" w:eastAsia="宋体"/>
          <w:b/>
          <w:sz w:val="24"/>
        </w:rPr>
        <w:t>4.3.6 分析服务技术路线：如何把合同变成结构化结论</w:t>
      </w:r>
    </w:p>
    <w:p>
      <w:pPr>
        <w:spacing w:line="240" w:lineRule="auto" w:before="0" w:after="60"/>
        <w:ind w:firstLine="420"/>
        <w:jc w:val="left"/>
      </w:pPr>
      <w:r>
        <w:rPr>
          <w:rFonts w:ascii="宋体" w:hAnsi="宋体" w:eastAsia="宋体"/>
          <w:b w:val="0"/>
          <w:sz w:val="21"/>
        </w:rPr>
        <w:t>分析服务对外提供简洁协议：创建分析任务、查询任务状态、获取分析结果，以及基于本次结果的追问。创建成功后立即返回任务编号，真正耗时的识别、检索与模型调用在后台进行。只有任务成功时才返回完整结果；失败时返回可读的错误原因，便于客户端展示与重试。</w:t>
      </w:r>
    </w:p>
    <w:p>
      <w:pPr>
        <w:spacing w:line="240" w:lineRule="auto" w:before="0" w:after="60"/>
        <w:ind w:firstLine="420"/>
        <w:jc w:val="left"/>
      </w:pPr>
      <w:r>
        <w:rPr>
          <w:rFonts w:ascii="宋体" w:hAnsi="宋体" w:eastAsia="宋体"/>
          <w:b w:val="0"/>
          <w:sz w:val="21"/>
        </w:rPr>
        <w:t>结构化结果是整条技术路线的「合同」。它至少包含：合同名称、整体摘要、签署前确认清单、红黄绿统计，以及若干条款条目。每条条款包含标题、原文摘录、白话解释、风险等级、风险原因，并可附修改建议；法条依据仅在有知识库支撑时出现。客户端把该结构映射为界面卡片与对照阅读块，保证「服务端说什么，页面就展示什么」，减少二次加工带来的偏差。</w:t>
      </w:r>
    </w:p>
    <w:p>
      <w:pPr>
        <w:spacing w:line="240" w:lineRule="auto" w:before="0" w:after="40"/>
        <w:jc w:val="left"/>
      </w:pPr>
      <w:r>
        <w:rPr>
          <w:rFonts w:ascii="宋体" w:hAnsi="宋体" w:eastAsia="宋体"/>
          <w:b w:val="0"/>
          <w:color w:val="666666"/>
          <w:sz w:val="18"/>
        </w:rPr>
        <w:t>（出处：doc/交接文档.md 数据契约；服务端响应结构）</w:t>
      </w:r>
    </w:p>
    <w:p>
      <w:pPr>
        <w:spacing w:line="240" w:lineRule="auto" w:before="0" w:after="60"/>
        <w:ind w:firstLine="420"/>
        <w:jc w:val="left"/>
      </w:pPr>
      <w:r>
        <w:rPr>
          <w:rFonts w:ascii="宋体" w:hAnsi="宋体" w:eastAsia="宋体"/>
          <w:b w:val="0"/>
          <w:sz w:val="21"/>
        </w:rPr>
        <w:t>知识注入策略强调「先检索、再生成、再校验」。检索时会结合合同开头与条款提示，尽量覆盖自动续约、押金、违约金等高频风险主题；注入给模型的内容分成两块：一块是可参考的风险知识，一块是「允许引用的法律条例」清单。模型被明确要求：原文必须来自本合同，法条只能从允许清单中选择，不能把风险规则标题伪装成法条。模型返回后，系统再次清洗法条字段，未匹配允许清单的内容会被去掉。这样形成「提示词约束 + 结果校验」的双重保险。</w:t>
      </w:r>
    </w:p>
    <w:p>
      <w:pPr>
        <w:spacing w:line="240" w:lineRule="auto" w:before="0" w:after="40"/>
        <w:jc w:val="left"/>
      </w:pPr>
      <w:r>
        <w:rPr>
          <w:rFonts w:ascii="宋体" w:hAnsi="宋体" w:eastAsia="宋体"/>
          <w:b w:val="0"/>
          <w:color w:val="666666"/>
          <w:sz w:val="18"/>
        </w:rPr>
        <w:t>（出处：大模型提示约束与 CitationGuard 实现；doc/交接文档.md）</w:t>
      </w:r>
    </w:p>
    <w:p>
      <w:pPr>
        <w:spacing w:line="240" w:lineRule="auto" w:before="0" w:after="60"/>
        <w:ind w:firstLine="420"/>
        <w:jc w:val="left"/>
      </w:pPr>
      <w:r>
        <w:rPr>
          <w:rFonts w:ascii="宋体" w:hAnsi="宋体" w:eastAsia="宋体"/>
          <w:b w:val="0"/>
          <w:sz w:val="21"/>
        </w:rPr>
        <w:t>在提示词设计上，系统角色被定义为中文合同审查助手，要求只输出结构化内容，不要额外说明文字；风险等级只能是红、黄、绿三档；签署前确认项需要给出可执行的检查建议。同时要求输出重点条款数量适中，避免一次抛出过多条目造成阅读负担。若模型偶发在结果前后附加解释，服务端会尽量提取其中完整的结构化对象，提升联调稳定性。</w:t>
      </w:r>
    </w:p>
    <w:p>
      <w:pPr>
        <w:spacing w:line="240" w:lineRule="auto" w:before="0" w:after="40"/>
        <w:jc w:val="left"/>
      </w:pPr>
      <w:r>
        <w:rPr>
          <w:rFonts w:ascii="宋体" w:hAnsi="宋体" w:eastAsia="宋体"/>
          <w:b w:val="0"/>
          <w:color w:val="666666"/>
          <w:sz w:val="18"/>
        </w:rPr>
        <w:t>（出处：服务端大模型分析模块）</w:t>
      </w:r>
    </w:p>
    <w:p>
      <w:pPr>
        <w:spacing w:line="240" w:lineRule="auto" w:before="160" w:after="80"/>
        <w:jc w:val="left"/>
      </w:pPr>
      <w:r>
        <w:rPr>
          <w:rFonts w:ascii="宋体" w:hAnsi="宋体" w:eastAsia="宋体"/>
          <w:b/>
          <w:sz w:val="24"/>
        </w:rPr>
        <w:t>4.3.7 合同追问技术路线：如何在结果之上继续澄清</w:t>
      </w:r>
    </w:p>
    <w:p>
      <w:pPr>
        <w:spacing w:line="240" w:lineRule="auto" w:before="0" w:after="60"/>
        <w:ind w:firstLine="420"/>
        <w:jc w:val="left"/>
      </w:pPr>
      <w:r>
        <w:rPr>
          <w:rFonts w:ascii="宋体" w:hAnsi="宋体" w:eastAsia="宋体"/>
          <w:b w:val="0"/>
          <w:sz w:val="21"/>
        </w:rPr>
        <w:t>一次性分析解决「先看懂」，追问解决「看懂之后还有疑惑」。追问不是开放域闲聊，而是绑定「本次已经完成的合同分析结果」：回答必须依据本合同原文、本次结构化结论，以及本轮检索到的知识；不确定时要明确说明不确定，并提醒用户结合原文或咨询专业人士。每次回答末尾固定附带免责声明，强调内容仅为解读辅助，不构成正式法律意见。</w:t>
      </w:r>
    </w:p>
    <w:p>
      <w:pPr>
        <w:spacing w:line="240" w:lineRule="auto" w:before="0" w:after="40"/>
        <w:jc w:val="left"/>
      </w:pPr>
      <w:r>
        <w:rPr>
          <w:rFonts w:ascii="宋体" w:hAnsi="宋体" w:eastAsia="宋体"/>
          <w:b w:val="0"/>
          <w:color w:val="666666"/>
          <w:sz w:val="18"/>
        </w:rPr>
        <w:t>（出处：合同追问模块实现）</w:t>
      </w:r>
    </w:p>
    <w:p>
      <w:pPr>
        <w:spacing w:line="240" w:lineRule="auto" w:before="0" w:after="60"/>
        <w:ind w:firstLine="420"/>
        <w:jc w:val="left"/>
      </w:pPr>
      <w:r>
        <w:rPr>
          <w:rFonts w:ascii="宋体" w:hAnsi="宋体" w:eastAsia="宋体"/>
          <w:b w:val="0"/>
          <w:sz w:val="21"/>
        </w:rPr>
        <w:t>为控制成本与跑偏风险，对话历史只保留有限轮次，合同原文过长时会截断后送入模型；回答可以附带相关条款编号，方便用户跳回对照页继续精读，但面向用户的正文中不暴露内部技术字段。客户端聊天页负责组织提问与展示回答，服务端负责在已成功任务上下文中生成答复。</w:t>
      </w:r>
    </w:p>
    <w:p>
      <w:pPr>
        <w:spacing w:line="240" w:lineRule="auto" w:before="160" w:after="80"/>
        <w:jc w:val="left"/>
      </w:pPr>
      <w:r>
        <w:rPr>
          <w:rFonts w:ascii="宋体" w:hAnsi="宋体" w:eastAsia="宋体"/>
          <w:b/>
          <w:sz w:val="24"/>
        </w:rPr>
        <w:t>4.3.8 知识库技术路线：如何让依据可追溯</w:t>
      </w:r>
    </w:p>
    <w:p>
      <w:pPr>
        <w:spacing w:line="240" w:lineRule="auto" w:before="0" w:after="60"/>
        <w:ind w:firstLine="420"/>
        <w:jc w:val="left"/>
      </w:pPr>
      <w:r>
        <w:rPr>
          <w:rFonts w:ascii="宋体" w:hAnsi="宋体" w:eastAsia="宋体"/>
          <w:b w:val="0"/>
          <w:sz w:val="21"/>
        </w:rPr>
        <w:t>知识库的目标不是「什么都往里塞」，而是服务两类用途：一是提示模型常见风险模式与样例经验，二是提供可引用的法条短摘录。因此语料分成风险规则、样例标注、法条摘录三类。其中只有法条摘录可以作为结果里的法律依据来源；风险规则可以指导风险识别，但不能冒充法条。</w:t>
      </w:r>
    </w:p>
    <w:p>
      <w:pPr>
        <w:spacing w:line="240" w:lineRule="auto" w:before="0" w:after="40"/>
        <w:jc w:val="left"/>
      </w:pPr>
      <w:r>
        <w:rPr>
          <w:rFonts w:ascii="宋体" w:hAnsi="宋体" w:eastAsia="宋体"/>
          <w:b w:val="0"/>
          <w:color w:val="666666"/>
          <w:sz w:val="18"/>
        </w:rPr>
        <w:t>（出处：agent/README.md）</w:t>
      </w:r>
    </w:p>
    <w:p>
      <w:pPr>
        <w:spacing w:line="240" w:lineRule="auto" w:before="0" w:after="60"/>
        <w:ind w:firstLine="420"/>
        <w:jc w:val="left"/>
      </w:pPr>
      <w:r>
        <w:rPr>
          <w:rFonts w:ascii="宋体" w:hAnsi="宋体" w:eastAsia="宋体"/>
          <w:b w:val="0"/>
          <w:sz w:val="21"/>
        </w:rPr>
        <w:t>以租房场景为例，风险规则会描述「超长自动续约」为何高风险、常见坑点是什么、更稳妥的改法方向是什么；样例标注则对应具体样例合同中的句子，说明它为什么被标红；法条摘录则提供如格式条款提示说明义务等短文本，供模型在相关时引用。当前仓库中，风险规则、样例标注、人工精选法条与批量导入法条均已建库可检索；无模型密钥时，知识库仍可用本地向量方式完成离线建库联调，保证开发与答辩准备不被密钥问题阻断。</w:t>
      </w:r>
    </w:p>
    <w:p>
      <w:pPr>
        <w:spacing w:line="240" w:lineRule="auto" w:before="0" w:after="40"/>
        <w:jc w:val="left"/>
      </w:pPr>
      <w:r>
        <w:rPr>
          <w:rFonts w:ascii="宋体" w:hAnsi="宋体" w:eastAsia="宋体"/>
          <w:b w:val="0"/>
          <w:color w:val="666666"/>
          <w:sz w:val="18"/>
        </w:rPr>
        <w:t>（出处：知识库语料与 agent/README.md）</w:t>
      </w:r>
    </w:p>
    <w:p>
      <w:pPr>
        <w:spacing w:line="240" w:lineRule="auto" w:before="0" w:after="60"/>
        <w:ind w:firstLine="420"/>
        <w:jc w:val="left"/>
      </w:pPr>
      <w:r>
        <w:rPr>
          <w:rFonts w:ascii="宋体" w:hAnsi="宋体" w:eastAsia="宋体"/>
          <w:b w:val="0"/>
          <w:sz w:val="21"/>
        </w:rPr>
        <w:t>知识库服务对外提供健康检查、检索与重建索引能力。分析服务通过检索接口获取命中结果，再整理成「知识说明」和「允许引用清单」两段文字交给大模型。若知识库关闭或超时，分析不会因此失败，而是降级为纯提示词分析，并禁止输出具体法条。这一降级策略是现场稳定性的关键保障。</w:t>
      </w:r>
    </w:p>
    <w:p>
      <w:pPr>
        <w:spacing w:line="240" w:lineRule="auto" w:before="0" w:after="40"/>
        <w:jc w:val="left"/>
      </w:pPr>
      <w:r>
        <w:rPr>
          <w:rFonts w:ascii="宋体" w:hAnsi="宋体" w:eastAsia="宋体"/>
          <w:b w:val="0"/>
          <w:color w:val="666666"/>
          <w:sz w:val="18"/>
        </w:rPr>
        <w:t>（出处：README；分析服务 RAG 降级逻辑）</w:t>
      </w:r>
    </w:p>
    <w:p>
      <w:pPr>
        <w:spacing w:line="240" w:lineRule="auto" w:before="160" w:after="80"/>
        <w:jc w:val="left"/>
      </w:pPr>
      <w:r>
        <w:rPr>
          <w:rFonts w:ascii="宋体" w:hAnsi="宋体" w:eastAsia="宋体"/>
          <w:b/>
          <w:sz w:val="24"/>
        </w:rPr>
        <w:t>4.3.9 鸿蒙全场景能力路线：如何让「看合同」发生在多设备生活里</w:t>
      </w:r>
    </w:p>
    <w:p>
      <w:pPr>
        <w:spacing w:line="240" w:lineRule="auto" w:before="0" w:after="60"/>
        <w:ind w:firstLine="420"/>
        <w:jc w:val="left"/>
      </w:pPr>
      <w:r>
        <w:rPr>
          <w:rFonts w:ascii="宋体" w:hAnsi="宋体" w:eastAsia="宋体"/>
          <w:b w:val="0"/>
          <w:sz w:val="21"/>
        </w:rPr>
        <w:t>赛题鼓励融合鸿蒙特性。本项目不堆砌无关能力，而是选择与签约阅读强相关的三项：应用接续、互动卡片、隐私防窥。</w:t>
      </w:r>
    </w:p>
    <w:p>
      <w:pPr>
        <w:spacing w:line="240" w:lineRule="auto" w:before="0" w:after="60"/>
        <w:ind w:firstLine="420"/>
        <w:jc w:val="left"/>
      </w:pPr>
      <w:r>
        <w:rPr>
          <w:rFonts w:ascii="宋体" w:hAnsi="宋体" w:eastAsia="宋体"/>
          <w:b w:val="0"/>
          <w:sz w:val="21"/>
        </w:rPr>
        <w:t>应用接续解决的是「手机上分析完，想换到平板慢慢读」。当用户在结果页停留时，系统会保存当前查看的任务上下文；在同账号其他设备上接续后，可以恢复到同一份结果继续阅读。代码链路已打通；跨设备实机效果建议在答辩前用同账号设备彩排一次。</w:t>
      </w:r>
    </w:p>
    <w:p>
      <w:pPr>
        <w:spacing w:line="240" w:lineRule="auto" w:before="0" w:after="40"/>
        <w:jc w:val="left"/>
      </w:pPr>
      <w:r>
        <w:rPr>
          <w:rFonts w:ascii="宋体" w:hAnsi="宋体" w:eastAsia="宋体"/>
          <w:b w:val="0"/>
          <w:color w:val="666666"/>
          <w:sz w:val="18"/>
        </w:rPr>
        <w:t>（出处：接续服务与 EntryAbility；doc/交接文档.md）</w:t>
      </w:r>
    </w:p>
    <w:p>
      <w:pPr>
        <w:spacing w:line="240" w:lineRule="auto" w:before="0" w:after="60"/>
        <w:ind w:firstLine="420"/>
        <w:jc w:val="left"/>
      </w:pPr>
      <w:r>
        <w:rPr>
          <w:rFonts w:ascii="宋体" w:hAnsi="宋体" w:eastAsia="宋体"/>
          <w:b w:val="0"/>
          <w:sz w:val="21"/>
        </w:rPr>
        <w:t>互动卡片解决的是「不用打开应用，也能回看最近一份合同摘要」。桌面卡片展示最近合同的关键信息，点击后可回到对应结果页。若暂无分析记录，卡片会显示空态提示，避免空白误导。</w:t>
      </w:r>
    </w:p>
    <w:p>
      <w:pPr>
        <w:spacing w:line="240" w:lineRule="auto" w:before="0" w:after="40"/>
        <w:jc w:val="left"/>
      </w:pPr>
      <w:r>
        <w:rPr>
          <w:rFonts w:ascii="宋体" w:hAnsi="宋体" w:eastAsia="宋体"/>
          <w:b w:val="0"/>
          <w:color w:val="666666"/>
          <w:sz w:val="18"/>
        </w:rPr>
        <w:t>（出处：卡片服务与桌面卡片配置）</w:t>
      </w:r>
    </w:p>
    <w:p>
      <w:pPr>
        <w:spacing w:line="240" w:lineRule="auto" w:before="0" w:after="60"/>
        <w:ind w:firstLine="420"/>
        <w:jc w:val="left"/>
      </w:pPr>
      <w:r>
        <w:rPr>
          <w:rFonts w:ascii="宋体" w:hAnsi="宋体" w:eastAsia="宋体"/>
          <w:b w:val="0"/>
          <w:sz w:val="21"/>
        </w:rPr>
        <w:t>隐私防窥解决的是「地铁、教室里看合同怕被偷看」。用户可在设置中开关该能力；开启后，进入结果总览与条款对照等敏感页时启用隐私窗口，限制截屏与录屏，离开页面后再恢复。它保护的是关键阅读页面，而不是宣称整机级安全产品。</w:t>
      </w:r>
    </w:p>
    <w:p>
      <w:pPr>
        <w:spacing w:line="240" w:lineRule="auto" w:before="0" w:after="40"/>
        <w:jc w:val="left"/>
      </w:pPr>
      <w:r>
        <w:rPr>
          <w:rFonts w:ascii="宋体" w:hAnsi="宋体" w:eastAsia="宋体"/>
          <w:b w:val="0"/>
          <w:color w:val="666666"/>
          <w:sz w:val="18"/>
        </w:rPr>
        <w:t>（出处：隐私防窥服务与结果/对照页调用）</w:t>
      </w:r>
    </w:p>
    <w:p>
      <w:pPr>
        <w:spacing w:line="240" w:lineRule="auto" w:before="160" w:after="80"/>
        <w:jc w:val="left"/>
      </w:pPr>
      <w:r>
        <w:rPr>
          <w:rFonts w:ascii="宋体" w:hAnsi="宋体" w:eastAsia="宋体"/>
          <w:b/>
          <w:sz w:val="24"/>
        </w:rPr>
        <w:t>4.3.10 稳定性与演示兜底路线</w:t>
      </w:r>
    </w:p>
    <w:p>
      <w:pPr>
        <w:spacing w:line="240" w:lineRule="auto" w:before="0" w:after="60"/>
        <w:ind w:firstLine="420"/>
        <w:jc w:val="left"/>
      </w:pPr>
      <w:r>
        <w:rPr>
          <w:rFonts w:ascii="宋体" w:hAnsi="宋体" w:eastAsia="宋体"/>
          <w:b w:val="0"/>
          <w:sz w:val="21"/>
        </w:rPr>
        <w:t>比赛与真实使用都可能遇到网络波动、服务未启动、模型超时等情况。因此技术路线把「失败可见、路径可替」当作一等需求。服务端侧：知识库不可用时降级继续分析；文本获取不到位时给出明确错误或联调提示。客户端侧：提供高风险与低风险本地样例，以及弱网、超时、服务失败、降级展示等答辩演示模式，可以在不依赖现场网络运气的前提下讲清主链路与异常反馈。</w:t>
      </w:r>
    </w:p>
    <w:p>
      <w:pPr>
        <w:spacing w:line="240" w:lineRule="auto" w:before="0" w:after="40"/>
        <w:jc w:val="left"/>
      </w:pPr>
      <w:r>
        <w:rPr>
          <w:rFonts w:ascii="宋体" w:hAnsi="宋体" w:eastAsia="宋体"/>
          <w:b w:val="0"/>
          <w:color w:val="666666"/>
          <w:sz w:val="18"/>
        </w:rPr>
        <w:t>（出处：Mock 与设置页演示模式；doc/交接文档.md 现场预案）</w:t>
      </w:r>
    </w:p>
    <w:p>
      <w:pPr>
        <w:spacing w:line="240" w:lineRule="auto" w:before="0" w:after="60"/>
        <w:ind w:firstLine="420"/>
        <w:jc w:val="left"/>
      </w:pPr>
      <w:r>
        <w:rPr>
          <w:rFonts w:ascii="宋体" w:hAnsi="宋体" w:eastAsia="宋体"/>
          <w:b w:val="0"/>
          <w:sz w:val="21"/>
        </w:rPr>
        <w:t>此外，分析结果可导出为便于手机打开的 Word 兼容报告，内容包含摘要、风险统计与条款明细，并再次声明不构成正式法律意见。导出是「带走备忘」，不是「自动生成法律文书」。</w:t>
      </w:r>
    </w:p>
    <w:p>
      <w:pPr>
        <w:spacing w:line="240" w:lineRule="auto" w:before="0" w:after="40"/>
        <w:jc w:val="left"/>
      </w:pPr>
      <w:r>
        <w:rPr>
          <w:rFonts w:ascii="宋体" w:hAnsi="宋体" w:eastAsia="宋体"/>
          <w:b w:val="0"/>
          <w:color w:val="666666"/>
          <w:sz w:val="18"/>
        </w:rPr>
        <w:t>（出处：报告导出实现）</w:t>
      </w:r>
    </w:p>
    <w:p>
      <w:pPr>
        <w:spacing w:line="240" w:lineRule="auto" w:before="160" w:after="80"/>
        <w:jc w:val="left"/>
      </w:pPr>
      <w:r>
        <w:rPr>
          <w:rFonts w:ascii="宋体" w:hAnsi="宋体" w:eastAsia="宋体"/>
          <w:b/>
          <w:sz w:val="24"/>
        </w:rPr>
        <w:t>4.3.11 运行与协作方式</w:t>
      </w:r>
    </w:p>
    <w:p>
      <w:pPr>
        <w:spacing w:line="240" w:lineRule="auto" w:before="0" w:after="60"/>
        <w:ind w:firstLine="420"/>
        <w:jc w:val="left"/>
      </w:pPr>
      <w:r>
        <w:rPr>
          <w:rFonts w:ascii="宋体" w:hAnsi="宋体" w:eastAsia="宋体"/>
          <w:b w:val="0"/>
          <w:sz w:val="21"/>
        </w:rPr>
        <w:t>日常运行顺序是：先启动知识库服务并完成索引，再启动分析服务并配置模型密钥，最后用 DevEco Studio 运行鸿蒙客户端。健康检查用于确认分析服务已就绪；真机联调时把服务地址改成电脑局域网地址。密钥只放在本地环境或设置页，不进入公开仓库。</w:t>
      </w:r>
    </w:p>
    <w:p>
      <w:pPr>
        <w:spacing w:line="240" w:lineRule="auto" w:before="0" w:after="40"/>
        <w:jc w:val="left"/>
      </w:pPr>
      <w:r>
        <w:rPr>
          <w:rFonts w:ascii="宋体" w:hAnsi="宋体" w:eastAsia="宋体"/>
          <w:b w:val="0"/>
          <w:color w:val="666666"/>
          <w:sz w:val="18"/>
        </w:rPr>
        <w:t>（出处：README 快速开始；agent/README.md）</w:t>
      </w:r>
    </w:p>
    <w:p>
      <w:pPr>
        <w:spacing w:line="240" w:lineRule="auto" w:before="0" w:after="60"/>
        <w:ind w:firstLine="420"/>
        <w:jc w:val="left"/>
      </w:pPr>
      <w:r>
        <w:rPr>
          <w:rFonts w:ascii="宋体" w:hAnsi="宋体" w:eastAsia="宋体"/>
          <w:b w:val="0"/>
          <w:sz w:val="21"/>
        </w:rPr>
        <w:t>仓库按职责分目录：客户端、分析服务、知识库与文档样例各成一块，便于分工协作，也便于评委按层核对。客户端侧重体验与鸿蒙能力，服务端侧重协议与模型约束，知识库侧重语料与检索，文档目录沉淀赛题说明、交接要点与测试样例合同。</w:t>
      </w:r>
    </w:p>
    <w:p>
      <w:pPr>
        <w:spacing w:line="240" w:lineRule="auto" w:before="160" w:after="80"/>
        <w:jc w:val="left"/>
      </w:pPr>
      <w:r>
        <w:rPr>
          <w:rFonts w:ascii="宋体" w:hAnsi="宋体" w:eastAsia="宋体"/>
          <w:b/>
          <w:sz w:val="24"/>
        </w:rPr>
        <w:t>4.3.12 边界说明：我们明确不声称什么</w:t>
      </w:r>
    </w:p>
    <w:p>
      <w:pPr>
        <w:spacing w:line="240" w:lineRule="auto" w:before="0" w:after="60"/>
        <w:ind w:firstLine="420"/>
        <w:jc w:val="left"/>
      </w:pPr>
      <w:r>
        <w:rPr>
          <w:rFonts w:ascii="宋体" w:hAnsi="宋体" w:eastAsia="宋体"/>
          <w:b w:val="0"/>
          <w:sz w:val="21"/>
        </w:rPr>
        <w:t>为避免「方案写得很满、代码对不上」，本节集中说明当前版本的边界。这些边界来自 README、交接文档与源码现实，不是额外营销话术。</w:t>
      </w:r>
    </w:p>
    <w:p>
      <w:pPr>
        <w:spacing w:line="240" w:lineRule="auto" w:before="0" w:after="60"/>
        <w:ind w:firstLine="420"/>
        <w:jc w:val="left"/>
      </w:pPr>
      <w:r>
        <w:rPr>
          <w:rFonts w:ascii="宋体" w:hAnsi="宋体" w:eastAsia="宋体"/>
          <w:b w:val="0"/>
          <w:sz w:val="21"/>
        </w:rPr>
        <w:t>当前没有生产级数据库、消息队列与对象存储，任务状态以内存方式保存，适合演示与开发联调。服务端没有做成商用 OCR/PDF 解析引擎；推荐路径是文本导入或图片识文后上传正文，对不支持直解析的文档会明确失败提示。仓库中存在个别占位或未接线文件，不以它们作为已交付能力来宣传。产品不提供电子签署、在线律师咨询、合同自动改写、多人协作编辑，也不输出正式法律意见书。客户端不会绕过服务端直接调用大模型。除已落地的应用接续、互动卡片、隐私防窥外，本说明不声称集成了其他未实现的鸿蒙特性。</w:t>
      </w:r>
    </w:p>
    <w:p>
      <w:pPr>
        <w:spacing w:line="240" w:lineRule="auto" w:before="0" w:after="40"/>
        <w:jc w:val="left"/>
      </w:pPr>
      <w:r>
        <w:rPr>
          <w:rFonts w:ascii="宋体" w:hAnsi="宋体" w:eastAsia="宋体"/>
          <w:b w:val="0"/>
          <w:color w:val="666666"/>
          <w:sz w:val="18"/>
        </w:rPr>
        <w:t>（出处：README「首版边界」；doc/交接文档.md；源码现状）</w:t>
      </w:r>
    </w:p>
    <w:p>
      <w:pPr>
        <w:spacing w:line="240" w:lineRule="auto" w:before="160" w:after="80"/>
        <w:jc w:val="left"/>
      </w:pPr>
      <w:r>
        <w:rPr>
          <w:rFonts w:ascii="宋体" w:hAnsi="宋体" w:eastAsia="宋体"/>
          <w:b/>
          <w:sz w:val="24"/>
        </w:rPr>
        <w:t>4.3.13 技术路线小结</w:t>
      </w:r>
    </w:p>
    <w:p>
      <w:pPr>
        <w:spacing w:line="240" w:lineRule="auto" w:before="0" w:after="60"/>
        <w:ind w:firstLine="420"/>
        <w:jc w:val="left"/>
      </w:pPr>
      <w:r>
        <w:rPr>
          <w:rFonts w:ascii="宋体" w:hAnsi="宋体" w:eastAsia="宋体"/>
          <w:b w:val="0"/>
          <w:sz w:val="21"/>
        </w:rPr>
        <w:t>《法言白话》的技术路线，本质是一条可验证的「读懂合同」闭环：用鸿蒙客户端完成导入与分层阅读，用分析服务完成清洗、检索增强与结构化生成，用知识库与引用校验保证法条可追溯，用接续、卡片与防窥贴合真实阅读场景，再用降级与演示模式保证答辩与联调稳定。它追求的不是堆砌技术名词，而是让非法律用户在签字前，先看懂重点、看见风险、知道下一步该确认什么。</w:t>
      </w:r>
    </w:p>
    <w:p>
      <w:pPr>
        <w:spacing w:line="240" w:lineRule="auto" w:before="160" w:after="80"/>
        <w:jc w:val="left"/>
      </w:pPr>
      <w:r>
        <w:rPr>
          <w:rFonts w:ascii="宋体" w:hAnsi="宋体" w:eastAsia="宋体"/>
          <w:b/>
          <w:sz w:val="28"/>
        </w:rPr>
        <w:t>4.4 技术实现方案</w:t>
      </w:r>
    </w:p>
    <w:p>
      <w:pPr>
        <w:spacing w:line="240" w:lineRule="auto" w:before="0" w:after="60"/>
        <w:ind w:firstLine="420"/>
        <w:jc w:val="left"/>
      </w:pPr>
      <w:r>
        <w:rPr>
          <w:rFonts w:ascii="宋体" w:hAnsi="宋体" w:eastAsia="宋体"/>
          <w:b w:val="0"/>
          <w:sz w:val="21"/>
        </w:rPr>
        <w:t>本节在 4.3 文字技术路线基础上，按模块说明「解决什么问题、用户看到什么、系统如何协作」。不展开源码清单与接口字段表，细节以仓库实现为准。</w:t>
      </w:r>
    </w:p>
    <w:p>
      <w:pPr>
        <w:spacing w:line="240" w:lineRule="auto" w:before="160" w:after="80"/>
        <w:jc w:val="left"/>
      </w:pPr>
      <w:r>
        <w:rPr>
          <w:rFonts w:ascii="宋体" w:hAnsi="宋体" w:eastAsia="宋体"/>
          <w:b/>
          <w:sz w:val="24"/>
        </w:rPr>
        <w:t>4.4.1 合同导入与文本预处理</w:t>
      </w:r>
    </w:p>
    <w:p>
      <w:pPr>
        <w:spacing w:line="240" w:lineRule="auto" w:before="0" w:after="60"/>
        <w:ind w:firstLine="420"/>
        <w:jc w:val="left"/>
      </w:pPr>
      <w:r>
        <w:rPr>
          <w:rFonts w:ascii="宋体" w:hAnsi="宋体" w:eastAsia="宋体"/>
          <w:b w:val="0"/>
          <w:sz w:val="21"/>
        </w:rPr>
        <w:t>该模块解决「合同怎么进来」。用户可在导入页选择拍照、相册或本地文件，也可使用高低风险样例快速体验。对合同照片，客户端可先做识文，再把正文交给分析服务；对文本内容，则直接进入后续流程。服务端拿到正文后会做清洗与段落提示切分，为知识检索和大模型分析做准备。若文件格式尚不支持直接解析，系统会给出明确提示，而不是静默失败或假装读完。</w:t>
      </w:r>
    </w:p>
    <w:p>
      <w:pPr>
        <w:spacing w:line="240" w:lineRule="auto" w:before="160" w:after="80"/>
        <w:jc w:val="left"/>
      </w:pPr>
      <w:r>
        <w:rPr>
          <w:rFonts w:ascii="宋体" w:hAnsi="宋体" w:eastAsia="宋体"/>
          <w:b/>
          <w:sz w:val="24"/>
        </w:rPr>
        <w:t>4.4.2 结构化风险分析</w:t>
      </w:r>
    </w:p>
    <w:p>
      <w:pPr>
        <w:spacing w:line="240" w:lineRule="auto" w:before="0" w:after="60"/>
        <w:ind w:firstLine="420"/>
        <w:jc w:val="left"/>
      </w:pPr>
      <w:r>
        <w:rPr>
          <w:rFonts w:ascii="宋体" w:hAnsi="宋体" w:eastAsia="宋体"/>
          <w:b w:val="0"/>
          <w:sz w:val="21"/>
        </w:rPr>
        <w:t>该模块解决「分析完给什么」。输出不是长篇评论文，而是可直接上屏的结构化结论：整体摘要告诉用户这份合同总体怎样；签署前清单告诉用户签字前先确认什么；红黄绿统计告诉用户重点在哪里；条款列表则提供原文、白话、原因与建议。模型被约束只能基于本合同原文解释，法条只能在有知识库依据时出现，避免「看起来很专业、其实不可追溯」。</w:t>
      </w:r>
    </w:p>
    <w:tbl>
      <w:tblPr>
        <w:tblStyle w:val="TableGrid"/>
        <w:tblW w:type="auto" w:w="0"/>
        <w:jc w:val="center"/>
        <w:tblLook w:firstColumn="1" w:firstRow="1" w:lastColumn="0" w:lastRow="0" w:noHBand="0" w:noVBand="1" w:val="04A0"/>
      </w:tblPr>
      <w:tblGrid>
        <w:gridCol w:w="4252"/>
        <w:gridCol w:w="4252"/>
      </w:tblGrid>
      <w:tr>
        <w:tc>
          <w:tcPr>
            <w:tcW w:type="dxa" w:w="4252"/>
            <w:vAlign w:val="center"/>
            <w:shd w:fill="D9E2F3" w:val="clear"/>
          </w:tcPr>
          <w:p>
            <w:pPr>
              <w:spacing w:line="240" w:lineRule="auto" w:before="0" w:after="0"/>
              <w:jc w:val="center"/>
            </w:pPr>
            <w:r/>
            <w:r>
              <w:rPr>
                <w:rFonts w:ascii="宋体" w:hAnsi="宋体" w:eastAsia="宋体"/>
                <w:b/>
                <w:sz w:val="18"/>
              </w:rPr>
              <w:t>结果内容</w:t>
            </w:r>
          </w:p>
        </w:tc>
        <w:tc>
          <w:tcPr>
            <w:tcW w:type="dxa" w:w="4252"/>
            <w:vAlign w:val="center"/>
            <w:shd w:fill="D9E2F3" w:val="clear"/>
          </w:tcPr>
          <w:p>
            <w:pPr>
              <w:spacing w:line="240" w:lineRule="auto" w:before="0" w:after="0"/>
              <w:jc w:val="center"/>
            </w:pPr>
            <w:r/>
            <w:r>
              <w:rPr>
                <w:rFonts w:ascii="宋体" w:hAnsi="宋体" w:eastAsia="宋体"/>
                <w:b/>
                <w:sz w:val="18"/>
              </w:rPr>
              <w:t>对用户的意义</w:t>
            </w:r>
          </w:p>
        </w:tc>
      </w:tr>
      <w:tr>
        <w:tc>
          <w:tcPr>
            <w:tcW w:type="dxa" w:w="4252"/>
            <w:vAlign w:val="center"/>
          </w:tcPr>
          <w:p>
            <w:pPr>
              <w:spacing w:line="240" w:lineRule="auto" w:before="0" w:after="0"/>
              <w:jc w:val="center"/>
            </w:pPr>
            <w:r/>
            <w:r>
              <w:rPr>
                <w:rFonts w:ascii="宋体" w:hAnsi="宋体" w:eastAsia="宋体"/>
                <w:b w:val="0"/>
                <w:sz w:val="18"/>
              </w:rPr>
              <w:t>整体摘要</w:t>
            </w:r>
          </w:p>
        </w:tc>
        <w:tc>
          <w:tcPr>
            <w:tcW w:type="dxa" w:w="4252"/>
            <w:vAlign w:val="center"/>
          </w:tcPr>
          <w:p>
            <w:pPr>
              <w:spacing w:line="240" w:lineRule="auto" w:before="0" w:after="0"/>
              <w:jc w:val="left"/>
            </w:pPr>
            <w:r/>
            <w:r>
              <w:rPr>
                <w:rFonts w:ascii="宋体" w:hAnsi="宋体" w:eastAsia="宋体"/>
                <w:b w:val="0"/>
                <w:sz w:val="18"/>
              </w:rPr>
              <w:t>先抓住总判断</w:t>
            </w:r>
          </w:p>
        </w:tc>
      </w:tr>
      <w:tr>
        <w:tc>
          <w:tcPr>
            <w:tcW w:type="dxa" w:w="4252"/>
            <w:vAlign w:val="center"/>
          </w:tcPr>
          <w:p>
            <w:pPr>
              <w:spacing w:line="240" w:lineRule="auto" w:before="0" w:after="0"/>
              <w:jc w:val="center"/>
            </w:pPr>
            <w:r/>
            <w:r>
              <w:rPr>
                <w:rFonts w:ascii="宋体" w:hAnsi="宋体" w:eastAsia="宋体"/>
                <w:b w:val="0"/>
                <w:sz w:val="18"/>
              </w:rPr>
              <w:t>签署前确认项</w:t>
            </w:r>
          </w:p>
        </w:tc>
        <w:tc>
          <w:tcPr>
            <w:tcW w:type="dxa" w:w="4252"/>
            <w:vAlign w:val="center"/>
          </w:tcPr>
          <w:p>
            <w:pPr>
              <w:spacing w:line="240" w:lineRule="auto" w:before="0" w:after="0"/>
              <w:jc w:val="left"/>
            </w:pPr>
            <w:r/>
            <w:r>
              <w:rPr>
                <w:rFonts w:ascii="宋体" w:hAnsi="宋体" w:eastAsia="宋体"/>
                <w:b w:val="0"/>
                <w:sz w:val="18"/>
              </w:rPr>
              <w:t>知道签字前该核对什么</w:t>
            </w:r>
          </w:p>
        </w:tc>
      </w:tr>
      <w:tr>
        <w:tc>
          <w:tcPr>
            <w:tcW w:type="dxa" w:w="4252"/>
            <w:vAlign w:val="center"/>
          </w:tcPr>
          <w:p>
            <w:pPr>
              <w:spacing w:line="240" w:lineRule="auto" w:before="0" w:after="0"/>
              <w:jc w:val="center"/>
            </w:pPr>
            <w:r/>
            <w:r>
              <w:rPr>
                <w:rFonts w:ascii="宋体" w:hAnsi="宋体" w:eastAsia="宋体"/>
                <w:b w:val="0"/>
                <w:sz w:val="18"/>
              </w:rPr>
              <w:t>红 / 黄 / 绿统计</w:t>
            </w:r>
          </w:p>
        </w:tc>
        <w:tc>
          <w:tcPr>
            <w:tcW w:type="dxa" w:w="4252"/>
            <w:vAlign w:val="center"/>
          </w:tcPr>
          <w:p>
            <w:pPr>
              <w:spacing w:line="240" w:lineRule="auto" w:before="0" w:after="0"/>
              <w:jc w:val="left"/>
            </w:pPr>
            <w:r/>
            <w:r>
              <w:rPr>
                <w:rFonts w:ascii="宋体" w:hAnsi="宋体" w:eastAsia="宋体"/>
                <w:b w:val="0"/>
                <w:sz w:val="18"/>
              </w:rPr>
              <w:t>快速分辨高风险与可保留点</w:t>
            </w:r>
          </w:p>
        </w:tc>
      </w:tr>
      <w:tr>
        <w:tc>
          <w:tcPr>
            <w:tcW w:type="dxa" w:w="4252"/>
            <w:vAlign w:val="center"/>
          </w:tcPr>
          <w:p>
            <w:pPr>
              <w:spacing w:line="240" w:lineRule="auto" w:before="0" w:after="0"/>
              <w:jc w:val="center"/>
            </w:pPr>
            <w:r/>
            <w:r>
              <w:rPr>
                <w:rFonts w:ascii="宋体" w:hAnsi="宋体" w:eastAsia="宋体"/>
                <w:b w:val="0"/>
                <w:sz w:val="18"/>
              </w:rPr>
              <w:t>条款白话与建议</w:t>
            </w:r>
          </w:p>
        </w:tc>
        <w:tc>
          <w:tcPr>
            <w:tcW w:type="dxa" w:w="4252"/>
            <w:vAlign w:val="center"/>
          </w:tcPr>
          <w:p>
            <w:pPr>
              <w:spacing w:line="240" w:lineRule="auto" w:before="0" w:after="0"/>
              <w:jc w:val="left"/>
            </w:pPr>
            <w:r/>
            <w:r>
              <w:rPr>
                <w:rFonts w:ascii="宋体" w:hAnsi="宋体" w:eastAsia="宋体"/>
                <w:b w:val="0"/>
                <w:sz w:val="18"/>
              </w:rPr>
              <w:t>看懂条款并知道可协商方向</w:t>
            </w:r>
          </w:p>
        </w:tc>
      </w:tr>
      <w:tr>
        <w:tc>
          <w:tcPr>
            <w:tcW w:type="dxa" w:w="4252"/>
            <w:vAlign w:val="center"/>
          </w:tcPr>
          <w:p>
            <w:pPr>
              <w:spacing w:line="240" w:lineRule="auto" w:before="0" w:after="0"/>
              <w:jc w:val="center"/>
            </w:pPr>
            <w:r/>
            <w:r>
              <w:rPr>
                <w:rFonts w:ascii="宋体" w:hAnsi="宋体" w:eastAsia="宋体"/>
                <w:b w:val="0"/>
                <w:sz w:val="18"/>
              </w:rPr>
              <w:t>有据法条（可选）</w:t>
            </w:r>
          </w:p>
        </w:tc>
        <w:tc>
          <w:tcPr>
            <w:tcW w:type="dxa" w:w="4252"/>
            <w:vAlign w:val="center"/>
          </w:tcPr>
          <w:p>
            <w:pPr>
              <w:spacing w:line="240" w:lineRule="auto" w:before="0" w:after="0"/>
              <w:jc w:val="left"/>
            </w:pPr>
            <w:r/>
            <w:r>
              <w:rPr>
                <w:rFonts w:ascii="宋体" w:hAnsi="宋体" w:eastAsia="宋体"/>
                <w:b w:val="0"/>
                <w:sz w:val="18"/>
              </w:rPr>
              <w:t>在有依据时增强可信度</w:t>
            </w:r>
          </w:p>
        </w:tc>
      </w:tr>
    </w:tbl>
    <w:p>
      <w:pPr>
        <w:spacing w:line="240" w:lineRule="auto" w:before="160" w:after="80"/>
        <w:jc w:val="left"/>
      </w:pPr>
      <w:r>
        <w:rPr>
          <w:rFonts w:ascii="宋体" w:hAnsi="宋体" w:eastAsia="宋体"/>
          <w:b/>
          <w:sz w:val="24"/>
        </w:rPr>
        <w:t>4.4.3 知识检索与法条校验</w:t>
      </w:r>
    </w:p>
    <w:p>
      <w:pPr>
        <w:spacing w:line="240" w:lineRule="auto" w:before="0" w:after="60"/>
        <w:ind w:firstLine="420"/>
        <w:jc w:val="left"/>
      </w:pPr>
      <w:r>
        <w:rPr>
          <w:rFonts w:ascii="宋体" w:hAnsi="宋体" w:eastAsia="宋体"/>
          <w:b w:val="0"/>
          <w:sz w:val="21"/>
        </w:rPr>
        <w:t>该模块解决「依据从哪来」。知识库提供风险规则、样例经验与法条摘录；分析服务先检索再生成，再在结果里核对法条是否属于本轮允许范围。没有检索到可用法条时，系统宁可留空，也不输出编造条文。知识库不可用时，分析仍可继续，只是不再给出具体法条引用，从而保证主链路可用。</w:t>
      </w:r>
    </w:p>
    <w:p>
      <w:pPr>
        <w:spacing w:line="240" w:lineRule="auto" w:before="160" w:after="80"/>
        <w:jc w:val="left"/>
      </w:pPr>
      <w:r>
        <w:rPr>
          <w:rFonts w:ascii="宋体" w:hAnsi="宋体" w:eastAsia="宋体"/>
          <w:b/>
          <w:sz w:val="24"/>
        </w:rPr>
        <w:t>4.4.4 合同追问</w:t>
      </w:r>
    </w:p>
    <w:p>
      <w:pPr>
        <w:spacing w:line="240" w:lineRule="auto" w:before="0" w:after="60"/>
        <w:ind w:firstLine="420"/>
        <w:jc w:val="left"/>
      </w:pPr>
      <w:r>
        <w:rPr>
          <w:rFonts w:ascii="宋体" w:hAnsi="宋体" w:eastAsia="宋体"/>
          <w:b w:val="0"/>
          <w:sz w:val="21"/>
        </w:rPr>
        <w:t>该模块解决「看完结果还有问题怎么办」。用户可围绕本次合同继续提问，回答绑定已有分析结果与合同原文，并附带免责声明。它是精读之后的澄清工具，不是替代律师的开放咨询台。</w:t>
      </w:r>
    </w:p>
    <w:p>
      <w:pPr>
        <w:spacing w:line="240" w:lineRule="auto" w:before="160" w:after="80"/>
        <w:jc w:val="left"/>
      </w:pPr>
      <w:r>
        <w:rPr>
          <w:rFonts w:ascii="宋体" w:hAnsi="宋体" w:eastAsia="宋体"/>
          <w:b/>
          <w:sz w:val="24"/>
        </w:rPr>
        <w:t>4.4.5 本地记录与任务状态</w:t>
      </w:r>
    </w:p>
    <w:p>
      <w:pPr>
        <w:spacing w:line="240" w:lineRule="auto" w:before="0" w:after="60"/>
        <w:ind w:firstLine="420"/>
        <w:jc w:val="left"/>
      </w:pPr>
      <w:r>
        <w:rPr>
          <w:rFonts w:ascii="宋体" w:hAnsi="宋体" w:eastAsia="宋体"/>
          <w:b w:val="0"/>
          <w:sz w:val="21"/>
        </w:rPr>
        <w:t>分析过程以任务状态推进，用户能感知「正在识别整理」还是「正在智能分析」。客户端会保存最近若干条分析记录，方便首页回看，也为桌面卡片提供内容。设置项如服务地址、隐私开关、演示模式等保存在本地，便于真机联调与答辩切换。服务端当前以内存保存任务，适合演示；这与长期生产存储不是同一回事。</w:t>
      </w:r>
    </w:p>
    <w:p>
      <w:pPr>
        <w:spacing w:line="240" w:lineRule="auto" w:before="160" w:after="80"/>
        <w:jc w:val="left"/>
      </w:pPr>
      <w:r>
        <w:rPr>
          <w:rFonts w:ascii="宋体" w:hAnsi="宋体" w:eastAsia="宋体"/>
          <w:b/>
          <w:sz w:val="24"/>
        </w:rPr>
        <w:t>4.4.6 服务协作方式</w:t>
      </w:r>
    </w:p>
    <w:p>
      <w:pPr>
        <w:spacing w:line="240" w:lineRule="auto" w:before="0" w:after="60"/>
        <w:ind w:firstLine="420"/>
        <w:jc w:val="left"/>
      </w:pPr>
      <w:r>
        <w:rPr>
          <w:rFonts w:ascii="宋体" w:hAnsi="宋体" w:eastAsia="宋体"/>
          <w:b w:val="0"/>
          <w:sz w:val="21"/>
        </w:rPr>
        <w:t>客户端与分析服务之间采用「先建任务、再查进度、最后取结果」的协作方式，并支持基于本次结果的追问。健康检查用于确认服务是否就绪。出错时返回可读原因，页面展示重试或替代路径，避免用户卡在无提示等待中。</w:t>
      </w:r>
    </w:p>
    <w:p>
      <w:pPr>
        <w:spacing w:line="240" w:lineRule="auto" w:before="160" w:after="80"/>
        <w:jc w:val="left"/>
      </w:pPr>
      <w:r>
        <w:rPr>
          <w:rFonts w:ascii="宋体" w:hAnsi="宋体" w:eastAsia="宋体"/>
          <w:b/>
          <w:sz w:val="24"/>
        </w:rPr>
        <w:t>4.4.7 界面展示与反馈</w:t>
      </w:r>
    </w:p>
    <w:p>
      <w:pPr>
        <w:spacing w:line="240" w:lineRule="auto" w:before="0" w:after="60"/>
        <w:ind w:firstLine="420"/>
        <w:jc w:val="left"/>
      </w:pPr>
      <w:r>
        <w:rPr>
          <w:rFonts w:ascii="宋体" w:hAnsi="宋体" w:eastAsia="宋体"/>
          <w:b w:val="0"/>
          <w:sz w:val="21"/>
        </w:rPr>
        <w:t>页面覆盖首页、导入、分析中、结果总览、条款对照、合同问答与设置。统一的加载态、空态与错误态，让等待和失败都可理解、可操作。真机联调时可在设置中修改服务地址；异常时可切换演示样例，保证讲解不中断。</w:t>
      </w:r>
    </w:p>
    <w:p>
      <w:pPr>
        <w:spacing w:line="240" w:lineRule="auto" w:before="160" w:after="80"/>
        <w:jc w:val="left"/>
      </w:pPr>
      <w:r>
        <w:rPr>
          <w:rFonts w:ascii="宋体" w:hAnsi="宋体" w:eastAsia="宋体"/>
          <w:b/>
          <w:sz w:val="24"/>
        </w:rPr>
        <w:t>4.4.8 鸿蒙全场景能力</w:t>
      </w:r>
    </w:p>
    <w:p>
      <w:pPr>
        <w:spacing w:line="240" w:lineRule="auto" w:before="0" w:after="60"/>
        <w:ind w:firstLine="420"/>
        <w:jc w:val="left"/>
      </w:pPr>
      <w:r>
        <w:rPr>
          <w:rFonts w:ascii="宋体" w:hAnsi="宋体" w:eastAsia="宋体"/>
          <w:b w:val="0"/>
          <w:sz w:val="21"/>
        </w:rPr>
        <w:t>应用接续支持在结果阅读场景下跨设备继续查看同一份分析；互动卡片支持在桌面回看最近合同摘要并进入结果；隐私防窥支持在敏感阅读页降低截录屏风险。三项能力都服务于「签前读合同」这件事，而不是为了凑特性数量。</w:t>
      </w:r>
    </w:p>
    <w:p>
      <w:pPr>
        <w:spacing w:line="240" w:lineRule="auto" w:before="160" w:after="80"/>
        <w:jc w:val="left"/>
      </w:pPr>
      <w:r>
        <w:rPr>
          <w:rFonts w:ascii="宋体" w:hAnsi="宋体" w:eastAsia="宋体"/>
          <w:b/>
          <w:sz w:val="24"/>
        </w:rPr>
        <w:t>4.4.9 报告导出与演示兜底</w:t>
      </w:r>
    </w:p>
    <w:p>
      <w:pPr>
        <w:spacing w:line="240" w:lineRule="auto" w:before="0" w:after="60"/>
        <w:ind w:firstLine="420"/>
        <w:jc w:val="left"/>
      </w:pPr>
      <w:r>
        <w:rPr>
          <w:rFonts w:ascii="宋体" w:hAnsi="宋体" w:eastAsia="宋体"/>
          <w:b w:val="0"/>
          <w:sz w:val="21"/>
        </w:rPr>
        <w:t>用户可将分析结果导出为便于留存的报告，内容包含摘要与风险明细，并再次声明不构成正式法律意见。答辩场景下，可通过本地样例与弱网、超时、服务失败、降级等模式，主动演示异常反馈，不依赖现场网络偶然性。</w:t>
      </w:r>
    </w:p>
    <w:p>
      <w:pPr>
        <w:spacing w:line="240" w:lineRule="auto" w:before="160" w:after="80"/>
        <w:jc w:val="left"/>
      </w:pPr>
      <w:r>
        <w:rPr>
          <w:rFonts w:ascii="宋体" w:hAnsi="宋体" w:eastAsia="宋体"/>
          <w:b/>
          <w:sz w:val="28"/>
        </w:rPr>
        <w:t>4.5 系统实现效果</w:t>
      </w:r>
    </w:p>
    <w:p>
      <w:pPr>
        <w:spacing w:line="240" w:lineRule="auto" w:before="0" w:after="60"/>
        <w:ind w:firstLine="420"/>
        <w:jc w:val="left"/>
      </w:pPr>
      <w:r>
        <w:rPr>
          <w:rFonts w:ascii="宋体" w:hAnsi="宋体" w:eastAsia="宋体"/>
          <w:b w:val="0"/>
          <w:sz w:val="21"/>
        </w:rPr>
        <w:t>当前版本已形成可答辩闭环：导入后能完成分析，结果页能看懂摘要与风险，条款页能对照白话，必要时可追问；知识库可用时提供有据法条，不可用时仍能给出结构化解读；首页可回看最近记录，报告可导出备忘；鸿蒙三项特性具备可讲解的实现链路；异常路径可主动演示。跨设备接续建议在同账号设备上彩排确认。</w:t>
      </w:r>
    </w:p>
    <w:tbl>
      <w:tblPr>
        <w:tblStyle w:val="TableGrid"/>
        <w:tblW w:type="auto" w:w="0"/>
        <w:jc w:val="center"/>
        <w:tblLook w:firstColumn="1" w:firstRow="1" w:lastColumn="0" w:lastRow="0" w:noHBand="0" w:noVBand="1" w:val="04A0"/>
      </w:tblPr>
      <w:tblGrid>
        <w:gridCol w:w="4252"/>
        <w:gridCol w:w="4252"/>
      </w:tblGrid>
      <w:tr>
        <w:tc>
          <w:tcPr>
            <w:tcW w:type="dxa" w:w="4252"/>
            <w:vAlign w:val="center"/>
            <w:shd w:fill="D9E2F3" w:val="clear"/>
          </w:tcPr>
          <w:p>
            <w:pPr>
              <w:spacing w:line="240" w:lineRule="auto" w:before="0" w:after="0"/>
              <w:jc w:val="center"/>
            </w:pPr>
            <w:r/>
            <w:r>
              <w:rPr>
                <w:rFonts w:ascii="宋体" w:hAnsi="宋体" w:eastAsia="宋体"/>
                <w:b/>
                <w:sz w:val="18"/>
              </w:rPr>
              <w:t>效果项</w:t>
            </w:r>
          </w:p>
        </w:tc>
        <w:tc>
          <w:tcPr>
            <w:tcW w:type="dxa" w:w="4252"/>
            <w:vAlign w:val="center"/>
            <w:shd w:fill="D9E2F3" w:val="clear"/>
          </w:tcPr>
          <w:p>
            <w:pPr>
              <w:spacing w:line="240" w:lineRule="auto" w:before="0" w:after="0"/>
              <w:jc w:val="center"/>
            </w:pPr>
            <w:r/>
            <w:r>
              <w:rPr>
                <w:rFonts w:ascii="宋体" w:hAnsi="宋体" w:eastAsia="宋体"/>
                <w:b/>
                <w:sz w:val="18"/>
              </w:rPr>
              <w:t>用户可感知结果</w:t>
            </w:r>
          </w:p>
        </w:tc>
      </w:tr>
      <w:tr>
        <w:tc>
          <w:tcPr>
            <w:tcW w:type="dxa" w:w="4252"/>
            <w:vAlign w:val="center"/>
          </w:tcPr>
          <w:p>
            <w:pPr>
              <w:spacing w:line="240" w:lineRule="auto" w:before="0" w:after="0"/>
              <w:jc w:val="center"/>
            </w:pPr>
            <w:r/>
            <w:r>
              <w:rPr>
                <w:rFonts w:ascii="宋体" w:hAnsi="宋体" w:eastAsia="宋体"/>
                <w:b w:val="0"/>
                <w:sz w:val="18"/>
              </w:rPr>
              <w:t>主链路</w:t>
            </w:r>
          </w:p>
        </w:tc>
        <w:tc>
          <w:tcPr>
            <w:tcW w:type="dxa" w:w="4252"/>
            <w:vAlign w:val="center"/>
          </w:tcPr>
          <w:p>
            <w:pPr>
              <w:spacing w:line="240" w:lineRule="auto" w:before="0" w:after="0"/>
              <w:jc w:val="left"/>
            </w:pPr>
            <w:r/>
            <w:r>
              <w:rPr>
                <w:rFonts w:ascii="宋体" w:hAnsi="宋体" w:eastAsia="宋体"/>
                <w:b w:val="0"/>
                <w:sz w:val="18"/>
              </w:rPr>
              <w:t>导入到对照/追问可走通</w:t>
            </w:r>
          </w:p>
        </w:tc>
      </w:tr>
      <w:tr>
        <w:tc>
          <w:tcPr>
            <w:tcW w:type="dxa" w:w="4252"/>
            <w:vAlign w:val="center"/>
          </w:tcPr>
          <w:p>
            <w:pPr>
              <w:spacing w:line="240" w:lineRule="auto" w:before="0" w:after="0"/>
              <w:jc w:val="center"/>
            </w:pPr>
            <w:r/>
            <w:r>
              <w:rPr>
                <w:rFonts w:ascii="宋体" w:hAnsi="宋体" w:eastAsia="宋体"/>
                <w:b w:val="0"/>
                <w:sz w:val="18"/>
              </w:rPr>
              <w:t>智能解读</w:t>
            </w:r>
          </w:p>
        </w:tc>
        <w:tc>
          <w:tcPr>
            <w:tcW w:type="dxa" w:w="4252"/>
            <w:vAlign w:val="center"/>
          </w:tcPr>
          <w:p>
            <w:pPr>
              <w:spacing w:line="240" w:lineRule="auto" w:before="0" w:after="0"/>
              <w:jc w:val="left"/>
            </w:pPr>
            <w:r/>
            <w:r>
              <w:rPr>
                <w:rFonts w:ascii="宋体" w:hAnsi="宋体" w:eastAsia="宋体"/>
                <w:b w:val="0"/>
                <w:sz w:val="18"/>
              </w:rPr>
              <w:t>摘要、红黄绿、白话与建议可见</w:t>
            </w:r>
          </w:p>
        </w:tc>
      </w:tr>
      <w:tr>
        <w:tc>
          <w:tcPr>
            <w:tcW w:type="dxa" w:w="4252"/>
            <w:vAlign w:val="center"/>
          </w:tcPr>
          <w:p>
            <w:pPr>
              <w:spacing w:line="240" w:lineRule="auto" w:before="0" w:after="0"/>
              <w:jc w:val="center"/>
            </w:pPr>
            <w:r/>
            <w:r>
              <w:rPr>
                <w:rFonts w:ascii="宋体" w:hAnsi="宋体" w:eastAsia="宋体"/>
                <w:b w:val="0"/>
                <w:sz w:val="18"/>
              </w:rPr>
              <w:t>依据约束</w:t>
            </w:r>
          </w:p>
        </w:tc>
        <w:tc>
          <w:tcPr>
            <w:tcW w:type="dxa" w:w="4252"/>
            <w:vAlign w:val="center"/>
          </w:tcPr>
          <w:p>
            <w:pPr>
              <w:spacing w:line="240" w:lineRule="auto" w:before="0" w:after="0"/>
              <w:jc w:val="left"/>
            </w:pPr>
            <w:r/>
            <w:r>
              <w:rPr>
                <w:rFonts w:ascii="宋体" w:hAnsi="宋体" w:eastAsia="宋体"/>
                <w:b w:val="0"/>
                <w:sz w:val="18"/>
              </w:rPr>
              <w:t>无法条依据时不编造条文</w:t>
            </w:r>
          </w:p>
        </w:tc>
      </w:tr>
      <w:tr>
        <w:tc>
          <w:tcPr>
            <w:tcW w:type="dxa" w:w="4252"/>
            <w:vAlign w:val="center"/>
          </w:tcPr>
          <w:p>
            <w:pPr>
              <w:spacing w:line="240" w:lineRule="auto" w:before="0" w:after="0"/>
              <w:jc w:val="center"/>
            </w:pPr>
            <w:r/>
            <w:r>
              <w:rPr>
                <w:rFonts w:ascii="宋体" w:hAnsi="宋体" w:eastAsia="宋体"/>
                <w:b w:val="0"/>
                <w:sz w:val="18"/>
              </w:rPr>
              <w:t>回看与导出</w:t>
            </w:r>
          </w:p>
        </w:tc>
        <w:tc>
          <w:tcPr>
            <w:tcW w:type="dxa" w:w="4252"/>
            <w:vAlign w:val="center"/>
          </w:tcPr>
          <w:p>
            <w:pPr>
              <w:spacing w:line="240" w:lineRule="auto" w:before="0" w:after="0"/>
              <w:jc w:val="left"/>
            </w:pPr>
            <w:r/>
            <w:r>
              <w:rPr>
                <w:rFonts w:ascii="宋体" w:hAnsi="宋体" w:eastAsia="宋体"/>
                <w:b w:val="0"/>
                <w:sz w:val="18"/>
              </w:rPr>
              <w:t>最近记录与报告备忘可用</w:t>
            </w:r>
          </w:p>
        </w:tc>
      </w:tr>
      <w:tr>
        <w:tc>
          <w:tcPr>
            <w:tcW w:type="dxa" w:w="4252"/>
            <w:vAlign w:val="center"/>
          </w:tcPr>
          <w:p>
            <w:pPr>
              <w:spacing w:line="240" w:lineRule="auto" w:before="0" w:after="0"/>
              <w:jc w:val="center"/>
            </w:pPr>
            <w:r/>
            <w:r>
              <w:rPr>
                <w:rFonts w:ascii="宋体" w:hAnsi="宋体" w:eastAsia="宋体"/>
                <w:b w:val="0"/>
                <w:sz w:val="18"/>
              </w:rPr>
              <w:t>鸿蒙能力</w:t>
            </w:r>
          </w:p>
        </w:tc>
        <w:tc>
          <w:tcPr>
            <w:tcW w:type="dxa" w:w="4252"/>
            <w:vAlign w:val="center"/>
          </w:tcPr>
          <w:p>
            <w:pPr>
              <w:spacing w:line="240" w:lineRule="auto" w:before="0" w:after="0"/>
              <w:jc w:val="left"/>
            </w:pPr>
            <w:r/>
            <w:r>
              <w:rPr>
                <w:rFonts w:ascii="宋体" w:hAnsi="宋体" w:eastAsia="宋体"/>
                <w:b w:val="0"/>
                <w:sz w:val="18"/>
              </w:rPr>
              <w:t>接续、卡片、防窥可讲述</w:t>
            </w:r>
          </w:p>
        </w:tc>
      </w:tr>
      <w:tr>
        <w:tc>
          <w:tcPr>
            <w:tcW w:type="dxa" w:w="4252"/>
            <w:vAlign w:val="center"/>
          </w:tcPr>
          <w:p>
            <w:pPr>
              <w:spacing w:line="240" w:lineRule="auto" w:before="0" w:after="0"/>
              <w:jc w:val="center"/>
            </w:pPr>
            <w:r/>
            <w:r>
              <w:rPr>
                <w:rFonts w:ascii="宋体" w:hAnsi="宋体" w:eastAsia="宋体"/>
                <w:b w:val="0"/>
                <w:sz w:val="18"/>
              </w:rPr>
              <w:t>现场兜底</w:t>
            </w:r>
          </w:p>
        </w:tc>
        <w:tc>
          <w:tcPr>
            <w:tcW w:type="dxa" w:w="4252"/>
            <w:vAlign w:val="center"/>
          </w:tcPr>
          <w:p>
            <w:pPr>
              <w:spacing w:line="240" w:lineRule="auto" w:before="0" w:after="0"/>
              <w:jc w:val="left"/>
            </w:pPr>
            <w:r/>
            <w:r>
              <w:rPr>
                <w:rFonts w:ascii="宋体" w:hAnsi="宋体" w:eastAsia="宋体"/>
                <w:b w:val="0"/>
                <w:sz w:val="18"/>
              </w:rPr>
              <w:t>样例与异常模式可切换</w:t>
            </w:r>
          </w:p>
        </w:tc>
      </w:tr>
    </w:tbl>
    <w:p>
      <w:pPr>
        <w:spacing w:line="240" w:lineRule="auto" w:before="160" w:after="80"/>
        <w:jc w:val="left"/>
      </w:pPr>
      <w:r>
        <w:rPr>
          <w:rFonts w:ascii="宋体" w:hAnsi="宋体" w:eastAsia="宋体"/>
          <w:b/>
          <w:sz w:val="28"/>
        </w:rPr>
        <w:t>4.6 运行与使用说明</w:t>
      </w:r>
    </w:p>
    <w:p>
      <w:pPr>
        <w:spacing w:line="240" w:lineRule="auto" w:before="0" w:after="60"/>
        <w:ind w:firstLine="420"/>
        <w:jc w:val="left"/>
      </w:pPr>
      <w:r>
        <w:rPr>
          <w:rFonts w:ascii="宋体" w:hAnsi="宋体" w:eastAsia="宋体"/>
          <w:b w:val="0"/>
          <w:sz w:val="21"/>
        </w:rPr>
        <w:t>运行时先启动知识库并完成索引，再启动分析服务并配置模型密钥，最后用 DevEco Studio 运行客户端。真机联调请使用电脑局域网地址，不要使用仅对本机有效的回环地址。仓库按客户端、分析服务、知识库与文档分目录组织，便于分工与核对。具体命令与环境变量以 README 及知识库说明为准。</w:t>
      </w:r>
    </w:p>
    <w:p>
      <w:pPr>
        <w:spacing w:line="240" w:lineRule="auto" w:before="160" w:after="80"/>
        <w:jc w:val="left"/>
      </w:pPr>
      <w:r>
        <w:rPr>
          <w:rFonts w:ascii="宋体" w:hAnsi="宋体" w:eastAsia="宋体"/>
          <w:b/>
          <w:sz w:val="32"/>
        </w:rPr>
        <w:t>五、介绍文档</w:t>
      </w:r>
    </w:p>
    <w:p>
      <w:pPr>
        <w:spacing w:line="240" w:lineRule="auto" w:before="0" w:after="160"/>
        <w:jc w:val="left"/>
      </w:pPr>
      <w:r>
        <w:rPr>
          <w:rFonts w:ascii="宋体" w:hAnsi="宋体" w:eastAsia="宋体"/>
          <w:b w:val="0"/>
          <w:color w:val="666666"/>
          <w:sz w:val="18"/>
        </w:rPr>
        <w:t>（不超过800字；以下为正式提交正文）</w:t>
      </w:r>
    </w:p>
    <w:p>
      <w:pPr>
        <w:spacing w:line="240" w:lineRule="auto" w:before="0" w:after="60"/>
        <w:ind w:firstLine="420"/>
        <w:jc w:val="left"/>
      </w:pPr>
      <w:r>
        <w:rPr>
          <w:rFonts w:ascii="宋体" w:hAnsi="宋体" w:eastAsia="宋体"/>
          <w:b w:val="0"/>
          <w:sz w:val="21"/>
        </w:rPr>
        <w:t>租房、实习、培训与服务协议里，条款冗长且充满专业表述，普通人常读不完、看不懂，风险容易藏在字缝里，签完才发现被动。《法言白话》面向非法律专业用户，基于 HarmonyOS 打造「签合同前先看懂」的智能解读应用：导入合同后，先给出整体摘要与签署前确认项，再用红、黄、绿风险分级快速定位重点，并在条款页对照展示原文、白话解释、风险原因与修改建议；必要时可围绕本次分析结果继续自然语言追问。作品明确不替代律师，目标是降低理解门槛、突出必须确认的关键点。实现上采用端—云—知识库协同：ArkTS 客户端负责导入、状态轮询与分层展示；Node 分析服务完成文本清洗、条款切分与大模型结构化输出；Python RAG 检索风险规则与法条摘录，经引用校验后注入提示词，无知识库依据不输出法条，知识库不可用时可降级为纯 Prompt，保证主链路可用。客户端不直连大模型，模型调用统一收敛于服务端，便于密钥管理与现场演示兜底。鸿蒙侧已落地应用接续、互动卡片与隐私防窥：分别支撑手机分析后平板/PC 续看、桌面卡片回看最近摘要，以及敏感结果页限制截屏录屏，贴合全场景与安全诉求。应用前景上，高校与青年群体在租房、实习、就业签约中持续存在「先读懂再签字」的刚需，轻量解读工具具备清晰使用场景与扩散空间；首版聚焦解读主链路的稳定可用与可讲清楚，后续可按场景扩展合同类型与端侧体验。</w:t>
      </w:r>
    </w:p>
    <w:p>
      <w:pPr>
        <w:spacing w:line="240" w:lineRule="auto" w:before="0" w:after="60"/>
        <w:jc w:val="right"/>
      </w:pPr>
      <w:r>
        <w:rPr>
          <w:rFonts w:ascii="宋体" w:hAnsi="宋体" w:eastAsia="宋体"/>
          <w:b w:val="0"/>
          <w:color w:val="666666"/>
          <w:sz w:val="18"/>
        </w:rPr>
        <w:t>【介绍文档正文字数：578 字】</w:t>
      </w:r>
    </w:p>
    <w:p>
      <w:pPr>
        <w:spacing w:line="240" w:lineRule="auto" w:before="160" w:after="80"/>
        <w:jc w:val="left"/>
      </w:pPr>
      <w:r>
        <w:rPr>
          <w:rFonts w:ascii="宋体" w:hAnsi="宋体" w:eastAsia="宋体"/>
          <w:b/>
          <w:sz w:val="28"/>
        </w:rPr>
        <w:t>5.1 补充说明（不计入 800 字正文）</w:t>
      </w:r>
    </w:p>
    <w:p>
      <w:pPr>
        <w:spacing w:line="240" w:lineRule="auto" w:before="0" w:after="60"/>
        <w:ind w:firstLine="420"/>
        <w:jc w:val="left"/>
      </w:pPr>
      <w:r>
        <w:rPr>
          <w:rFonts w:ascii="宋体" w:hAnsi="宋体" w:eastAsia="宋体"/>
          <w:b w:val="0"/>
          <w:sz w:val="21"/>
        </w:rPr>
        <w:t>首版边界：不做电子签署、律师咨询、合同自动改写、多人协作与法律意见书导出；OCR 为轻量提取+兜底，核心交付是大模型结构化解读。答辩可演示高低风险样例及异常模式。</w:t>
      </w:r>
    </w:p>
    <w:sectPr w:rsidR="00FC693F" w:rsidRPr="0006063C" w:rsidSect="00034616">
      <w:footerReference w:type="default" r:id="rId9"/>
      <w:pgSz w:w="11906" w:h="16838"/>
      <w:pgMar w:top="1417" w:right="1701"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