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92734"/>
          <w:sz w:val="44"/>
        </w:rPr>
        <w:t>Drug Order Scoring Specification</w:t>
      </w:r>
    </w:p>
    <w:p>
      <w:pPr>
        <w:spacing w:after="240"/>
      </w:pPr>
      <w:r>
        <w:rPr>
          <w:rFonts w:ascii="Arial" w:hAnsi="Arial"/>
          <w:color w:val="5A636C"/>
          <w:sz w:val="21"/>
        </w:rPr>
        <w:t>LINCS candidate flow, exact equations, thresholds, weight sensitivity, and audit findings</w:t>
      </w:r>
    </w:p>
    <w:p>
      <w:pPr>
        <w:spacing w:before="60" w:after="120"/>
      </w:pPr>
      <w:r>
        <w:rPr>
          <w:b/>
          <w:color w:val="1F4E79"/>
        </w:rPr>
        <w:t xml:space="preserve">Evidence tier: </w:t>
      </w:r>
      <w:r>
        <w:t>Hypothesis-generating computational prioritization. The score predicts order-dependent control profiles and does not estimate clinical efficacy, synergy, pharmacokinetics, or safety.</w:t>
      </w:r>
    </w:p>
    <w:p>
      <w:pPr>
        <w:pStyle w:val="Heading1"/>
      </w:pPr>
      <w:r>
        <w:t>Candidate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304"/>
            <w:shd w:fill="E8EEF5"/>
          </w:tcPr>
          <w:p>
            <w:r>
              <w:rPr>
                <w:rFonts w:ascii="Arial" w:hAnsi="Arial"/>
                <w:b/>
                <w:sz w:val="17"/>
              </w:rPr>
              <w:t>Step</w:t>
            </w:r>
          </w:p>
        </w:tc>
        <w:tc>
          <w:tcPr>
            <w:tcW w:type="dxa" w:w="792"/>
            <w:shd w:fill="E8EEF5"/>
          </w:tcPr>
          <w:p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4464"/>
            <w:shd w:fill="E8EEF5"/>
          </w:tcPr>
          <w:p>
            <w:r>
              <w:rPr>
                <w:rFonts w:ascii="Arial" w:hAnsi="Arial"/>
                <w:b/>
                <w:sz w:val="17"/>
              </w:rPr>
              <w:t>Rule</w:t>
            </w:r>
          </w:p>
        </w:tc>
        <w:tc>
          <w:tcPr>
            <w:tcW w:type="dxa" w:w="2088"/>
            <w:shd w:fill="E8EEF5"/>
          </w:tcPr>
          <w:p>
            <w:r>
              <w:rPr>
                <w:rFonts w:ascii="Arial" w:hAnsi="Arial"/>
                <w:b/>
                <w:sz w:val="17"/>
              </w:rPr>
              <w:t>Exclusion/accounting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Candidate liver/hepatic trt_cp signatures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8632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Candidate table; liver-relevant definition inherited from LINCS_candidate_liver_or_hepatic_signatures.tsv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Exact upstream prefilter audit not present in final name-level table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Name-collapsed compounds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575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Median/Q25 across signatures after requiring &gt;=3 signatures and &gt;=2 cell lines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Upstream signature insufficiency removed before this table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Sequence-eligible compounds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394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identity resolved; &gt;=3 signatures; &gt;=2 cell lines; no pert-ID direction conflict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181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Early resolver primers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resolver floor &gt;=0.10; mean resolver &gt;=0.20; retention &gt;=-0.10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From 394 eligible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Late lock suppressors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median retention &gt;=0.20; Q25 retention &gt;=0.10; resolver floor &gt;=-0.15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From 394 eligible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Ordered pairs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299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 x 15 minus identical self-pair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Self-pair excluded: wz-4002</w:t>
            </w:r>
          </w:p>
        </w:tc>
      </w:tr>
    </w:tbl>
    <w:p>
      <w:pPr>
        <w:spacing w:after="40"/>
      </w:pPr>
    </w:p>
    <w:p>
      <w:pPr>
        <w:spacing w:before="60" w:after="120"/>
      </w:pPr>
      <w:r>
        <w:rPr>
          <w:b/>
          <w:color w:val="9C232D"/>
        </w:rPr>
        <w:t xml:space="preserve">Important implementation finding: </w:t>
      </w:r>
      <w:r>
        <w:t>The sequential-pair script does not require computational_hard_gate and does not apply the safety exclusion label. Consequently, safety-excluded compounds such as panobinostat remain among the 299 scored pairs. This must be described or corrected before submission.</w:t>
      </w:r>
    </w:p>
    <w:p>
      <w:pPr>
        <w:pStyle w:val="Heading1"/>
      </w:pPr>
      <w:r>
        <w:t>Single-signature and compound-level scoring</w:t>
      </w:r>
    </w:p>
    <w:p>
      <w:r>
        <w:rPr>
          <w:b/>
        </w:rPr>
        <w:t xml:space="preserve">Retention suppression R: </w:t>
      </w:r>
      <w:r>
        <w:t>-mean(L1000 z over retention genes) Range: Unbounded in principle; empirical L1000 z-score mean. Scaling: L1000 Level-5 z values.</w:t>
      </w:r>
    </w:p>
    <w:p>
      <w:r>
        <w:rPr>
          <w:b/>
        </w:rPr>
        <w:t xml:space="preserve">Endothelial support E: </w:t>
      </w:r>
      <w:r>
        <w:t>mean(L1000 z over endothelial resolver genes) Range: Unbounded in principle. Scaling: L1000 Level-5 z values.</w:t>
      </w:r>
    </w:p>
    <w:p>
      <w:r>
        <w:rPr>
          <w:b/>
        </w:rPr>
        <w:t xml:space="preserve">Macrophage support M: </w:t>
      </w:r>
      <w:r>
        <w:t>mean(L1000 z over macrophage resolver genes) Range: Unbounded in principle. Scaling: L1000 Level-5 z values.</w:t>
      </w:r>
    </w:p>
    <w:p>
      <w:r>
        <w:rPr>
          <w:b/>
        </w:rPr>
        <w:t xml:space="preserve">Resolver floor F: </w:t>
      </w:r>
      <w:r>
        <w:t>min(E,M) Range: Unbounded in principle. Scaling: None.</w:t>
      </w:r>
    </w:p>
    <w:p>
      <w:r>
        <w:rPr>
          <w:b/>
        </w:rPr>
        <w:t xml:space="preserve">Single-signature dual score D: </w:t>
      </w:r>
      <w:r>
        <w:t>R + 0.5E + 0.5M - 1.5*max(0,-F) Range: Unbounded in principle. Scaling: None.</w:t>
      </w:r>
    </w:p>
    <w:p>
      <w:r>
        <w:rPr>
          <w:b/>
        </w:rPr>
        <w:t xml:space="preserve">Early score: </w:t>
      </w:r>
      <w:r>
        <w:t>robust_z(mean(median E, median M)) + 0.5*robust_z(median resolver floor) Range: Unbounded. Scaling: Median/MAD robust z across name-collapsed compounds.</w:t>
      </w:r>
    </w:p>
    <w:p>
      <w:r>
        <w:rPr>
          <w:b/>
        </w:rPr>
        <w:t xml:space="preserve">Late score: </w:t>
      </w:r>
      <w:r>
        <w:t>robust_z(median R) + 0.5*robust_z(Q25 R) Range: Unbounded. Scaling: Median/MAD robust z.</w:t>
      </w:r>
    </w:p>
    <w:p>
      <w:pPr>
        <w:pStyle w:val="Heading1"/>
      </w:pPr>
      <w:r>
        <w:t>Ordered sequence score</w:t>
      </w:r>
    </w:p>
    <w:p>
      <w:pPr>
        <w:pStyle w:val="ListBullet"/>
        <w:spacing w:after="60"/>
      </w:pPr>
      <w:r>
        <w:t>E_pair = E_early + 0.5 x E_late; M_pair = M_early + 0.5 x M_late.</w:t>
      </w:r>
    </w:p>
    <w:p>
      <w:pPr>
        <w:pStyle w:val="ListBullet"/>
        <w:spacing w:after="60"/>
      </w:pPr>
      <w:r>
        <w:t>R_pair = R_late + 0.5 x R_early.</w:t>
      </w:r>
    </w:p>
    <w:p>
      <w:pPr>
        <w:pStyle w:val="ListBullet"/>
        <w:spacing w:after="60"/>
      </w:pPr>
      <w:r>
        <w:t>Penalty = 1.5 x max(0, -min(E_pair, M_pair)).</w:t>
      </w:r>
    </w:p>
    <w:p>
      <w:pPr>
        <w:pStyle w:val="ListBullet"/>
        <w:spacing w:after="60"/>
      </w:pPr>
      <w:r>
        <w:t>S(early -&gt; late) = R_pair + 0.5 x E_pair + 0.5 x M_pair - Penalty.</w:t>
      </w:r>
    </w:p>
    <w:p>
      <w:pPr>
        <w:pStyle w:val="ListBullet"/>
        <w:spacing w:after="60"/>
      </w:pPr>
      <w:r>
        <w:t>Reverse score uses the identical equation after swapping the two compounds.</w:t>
      </w:r>
    </w:p>
    <w:p>
      <w:pPr>
        <w:pStyle w:val="ListBullet"/>
        <w:spacing w:after="60"/>
      </w:pPr>
      <w:r>
        <w:t>Order advantage = forward score - reverse score.</w:t>
      </w:r>
    </w:p>
    <w:p>
      <w:pPr>
        <w:pStyle w:val="ListBullet"/>
        <w:spacing w:after="60"/>
      </w:pPr>
      <w:r>
        <w:t>Basin-switch index = 0.65 x percentile(forward score) + 0.35 x percentile(order advantage).</w:t>
      </w:r>
    </w:p>
    <w:p>
      <w:pPr>
        <w:pStyle w:val="Heading1"/>
      </w:pPr>
      <w:r>
        <w:t>Eligibility thresholds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088"/>
            <w:shd w:fill="E8EEF5"/>
          </w:tcPr>
          <w:p>
            <w:r>
              <w:rPr>
                <w:rFonts w:ascii="Arial" w:hAnsi="Arial"/>
                <w:b/>
                <w:sz w:val="17"/>
              </w:rPr>
              <w:t>Set</w:t>
            </w:r>
          </w:p>
        </w:tc>
        <w:tc>
          <w:tcPr>
            <w:tcW w:type="dxa" w:w="7560"/>
            <w:shd w:fill="E8EEF5"/>
          </w:tcPr>
          <w:p>
            <w:r>
              <w:rPr>
                <w:rFonts w:ascii="Arial" w:hAnsi="Arial"/>
                <w:b/>
                <w:sz w:val="17"/>
              </w:rPr>
              <w:t>Thresholds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General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Identity resolved; &gt;=3 signatures; &gt;=2 cell lines; no cross-perturbation-ID direction conflict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Early primer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Median resolver floor &gt;=0.10; mean endothelial/macrophage support &gt;=0.20; median retention suppression &gt;=-0.10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Late suppressor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Median retention suppression &gt;=0.20; Q25 retention suppression &gt;=0.10; median resolver floor &gt;=-0.15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Self-pair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Excluded when normalized compound names are identical</w:t>
            </w:r>
          </w:p>
        </w:tc>
      </w:tr>
    </w:tbl>
    <w:p>
      <w:pPr>
        <w:spacing w:after="40"/>
      </w:pPr>
    </w:p>
    <w:p>
      <w:pPr>
        <w:spacing w:before="60" w:after="120"/>
      </w:pPr>
      <w:r>
        <w:rPr>
          <w:b/>
          <w:color w:val="1F4E79"/>
        </w:rPr>
        <w:t xml:space="preserve">299-pair arithmetic: </w:t>
      </w:r>
      <w:r>
        <w:t>Self-pair excluded: wz-4002</w:t>
      </w:r>
    </w:p>
    <w:p>
      <w:pPr>
        <w:pStyle w:val="Heading1"/>
      </w:pPr>
      <w:r>
        <w:t>Primary and sensitivity weights</w:t>
      </w:r>
    </w:p>
    <w:p>
      <w:pPr>
        <w:pStyle w:val="ListBullet"/>
        <w:spacing w:after="60"/>
      </w:pPr>
      <w:r>
        <w:t>Primary: early-retention weight 0.50; resolver weight 0.50 for each resolver arm; repair penalty weight 1.50; basin-switch percentile weights 0.65/0.35.</w:t>
      </w:r>
    </w:p>
    <w:p>
      <w:pPr>
        <w:pStyle w:val="ListBullet"/>
        <w:spacing w:after="60"/>
      </w:pPr>
      <w:r>
        <w:t>Sensitivity grid: early-retention weight 0.25/0.50/0.75 x resolver weight 0.35/0.50/0.65 x penalty weight 1.0/1.5/2.0 = 27 combinations.</w:t>
      </w:r>
    </w:p>
    <w:p>
      <w:pPr>
        <w:pStyle w:val="ListBullet"/>
        <w:spacing w:after="60"/>
      </w:pPr>
      <w:r>
        <w:t>The archive does not demonstrate that the primary weights or eligibility thresholds were frozen before ezetimibe and verteporfin were observed. Treat them as post-hoc scoring rules with a systematic sensitivity analysis.</w:t>
      </w:r>
    </w:p>
    <w:p>
      <w:pPr>
        <w:pStyle w:val="Heading1"/>
      </w:pPr>
      <w:r>
        <w:t>Ezetimibe-verteporfin decomposition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2952"/>
            <w:shd w:fill="E8EEF5"/>
          </w:tcPr>
          <w:p>
            <w:r>
              <w:rPr>
                <w:rFonts w:ascii="Arial" w:hAnsi="Arial"/>
                <w:b/>
                <w:sz w:val="17"/>
              </w:rPr>
              <w:t>Order</w:t>
            </w:r>
          </w:p>
        </w:tc>
        <w:tc>
          <w:tcPr>
            <w:tcW w:type="dxa" w:w="1296"/>
            <w:shd w:fill="E8EEF5"/>
          </w:tcPr>
          <w:p>
            <w:r>
              <w:rPr>
                <w:rFonts w:ascii="Arial" w:hAnsi="Arial"/>
                <w:b/>
                <w:sz w:val="17"/>
              </w:rPr>
              <w:t>E_pair</w:t>
            </w:r>
          </w:p>
        </w:tc>
        <w:tc>
          <w:tcPr>
            <w:tcW w:type="dxa" w:w="1296"/>
            <w:shd w:fill="E8EEF5"/>
          </w:tcPr>
          <w:p>
            <w:r>
              <w:rPr>
                <w:rFonts w:ascii="Arial" w:hAnsi="Arial"/>
                <w:b/>
                <w:sz w:val="17"/>
              </w:rPr>
              <w:t>M_pair</w:t>
            </w:r>
          </w:p>
        </w:tc>
        <w:tc>
          <w:tcPr>
            <w:tcW w:type="dxa" w:w="1296"/>
            <w:shd w:fill="E8EEF5"/>
          </w:tcPr>
          <w:p>
            <w:r>
              <w:rPr>
                <w:rFonts w:ascii="Arial" w:hAnsi="Arial"/>
                <w:b/>
                <w:sz w:val="17"/>
              </w:rPr>
              <w:t>R_pair</w:t>
            </w:r>
          </w:p>
        </w:tc>
        <w:tc>
          <w:tcPr>
            <w:tcW w:type="dxa" w:w="1296"/>
            <w:shd w:fill="E8EEF5"/>
          </w:tcPr>
          <w:p>
            <w:r>
              <w:rPr>
                <w:rFonts w:ascii="Arial" w:hAnsi="Arial"/>
                <w:b/>
                <w:sz w:val="17"/>
              </w:rPr>
              <w:t>Penalty</w:t>
            </w:r>
          </w:p>
        </w:tc>
        <w:tc>
          <w:tcPr>
            <w:tcW w:type="dxa" w:w="1440"/>
            <w:shd w:fill="E8EEF5"/>
          </w:tcPr>
          <w:p>
            <w:r>
              <w:rPr>
                <w:rFonts w:ascii="Arial" w:hAnsi="Arial"/>
                <w:b/>
                <w:sz w:val="17"/>
              </w:rPr>
              <w:t>Final score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ezetimibe -&gt; verteporfin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0.876524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0.321387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0.293357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0.000000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0.892312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verteporfin -&gt; ezetimibe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0.596998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0.190347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0.110527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0.000000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0.504199</w:t>
            </w:r>
          </w:p>
        </w:tc>
      </w:tr>
    </w:tbl>
    <w:p>
      <w:pPr>
        <w:spacing w:after="40"/>
      </w:pPr>
    </w:p>
    <w:p>
      <w:pPr>
        <w:spacing w:before="60" w:after="120"/>
      </w:pPr>
      <w:r>
        <w:rPr>
          <w:b/>
          <w:color w:val="9C232D"/>
        </w:rPr>
        <w:t xml:space="preserve">Ranking: </w:t>
      </w:r>
      <w:r>
        <w:t>Ezetimibe -&gt; verteporfin ranks 24/299 by the primary basin-switch index and 20-46 across the 27 weight schemes. Ezetimibe is Tier_4_not_prioritized, verteporfin is Tier_1_mechanistic_probe, and both_hard_gate is false.</w:t>
      </w:r>
    </w:p>
    <w:p>
      <w:pPr>
        <w:pStyle w:val="Heading1"/>
      </w:pPr>
      <w:r>
        <w:t>Exposure and missing genes</w:t>
      </w:r>
    </w:p>
    <w:p>
      <w:pPr>
        <w:pStyle w:val="ListBullet"/>
        <w:spacing w:after="60"/>
      </w:pPr>
      <w:r>
        <w:t>Equal total exposure is not numerically modeled. The forward and reverse calculations include each compound once and change only its phase position and coefficient.</w:t>
      </w:r>
    </w:p>
    <w:p>
      <w:pPr>
        <w:pStyle w:val="ListBullet"/>
        <w:spacing w:after="60"/>
      </w:pPr>
      <w:r>
        <w:t>Gene-set means use mapped L1000 genes recorded in dual_axis_gene_mapping.json. No imputation is applied for genes absent from the L1000 matrix; the score uses available mapped genes.</w:t>
      </w:r>
    </w:p>
    <w:p>
      <w:pPr>
        <w:pStyle w:val="ListBullet"/>
        <w:spacing w:after="60"/>
      </w:pPr>
      <w:r>
        <w:t>Theoretical score ranges are unbounded because Level-5 z values are unbounded. Only percentile-based BSI is bounded to (0,1].</w:t>
      </w:r>
    </w:p>
    <w:p>
      <w:pPr>
        <w:pStyle w:val="ListBullet"/>
        <w:spacing w:after="60"/>
      </w:pPr>
      <w:r>
        <w:t>Pioglitazone stabilization is a prospective visual/design phase and is not part of the two-drug pair score.</w:t>
      </w:r>
    </w:p>
    <w:p>
      <w:pPr>
        <w:pStyle w:val="Heading1"/>
      </w:pPr>
      <w:r>
        <w:t>Reproducibility files</w:t>
      </w:r>
    </w:p>
    <w:p>
      <w:pPr>
        <w:pStyle w:val="ListBullet"/>
        <w:spacing w:after="60"/>
      </w:pPr>
      <w:r>
        <w:t>stage4_regulatory_drug_control.py: signature-level axes and aggregation.</w:t>
      </w:r>
    </w:p>
    <w:p>
      <w:pPr>
        <w:pStyle w:val="ListBullet"/>
        <w:spacing w:after="60"/>
      </w:pPr>
      <w:r>
        <w:t>stage4_drug_hard_gate.py: identity, conflict, safety labels and hard gate.</w:t>
      </w:r>
    </w:p>
    <w:p>
      <w:pPr>
        <w:pStyle w:val="ListBullet"/>
        <w:spacing w:after="60"/>
      </w:pPr>
      <w:r>
        <w:t>sequential_basin_switch_drugs.py: early/late thresholds and pair scoring.</w:t>
      </w:r>
    </w:p>
    <w:p>
      <w:pPr>
        <w:pStyle w:val="ListBullet"/>
        <w:spacing w:after="60"/>
      </w:pPr>
      <w:r>
        <w:t>Drug_Order_Complete_Results.tsv: 299 pairs with primary and 27-weight rank ranges.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36C"/>
        <w:sz w:val="16"/>
      </w:rPr>
      <w:t>Audit package generated 17 July 2026 | No direct patient identifiers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636C"/>
        <w:sz w:val="16"/>
      </w:rPr>
      <w:t>PathoNiche Resolver-Window Project | Methods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