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92734"/>
          <w:sz w:val="44"/>
        </w:rPr>
        <w:t>GSE306327 Methods Notes</w:t>
      </w:r>
    </w:p>
    <w:p>
      <w:pPr>
        <w:spacing w:after="240"/>
      </w:pPr>
      <w:r>
        <w:rPr>
          <w:rFonts w:ascii="Arial" w:hAnsi="Arial"/>
          <w:color w:val="5A636C"/>
          <w:sz w:val="21"/>
        </w:rPr>
        <w:t>Dataset card, complete local analysis workflow, statistical unit, and panel audit</w:t>
      </w:r>
    </w:p>
    <w:p>
      <w:pPr>
        <w:spacing w:before="60" w:after="120"/>
      </w:pPr>
      <w:r>
        <w:rPr>
          <w:b/>
          <w:color w:val="1F4E79"/>
        </w:rPr>
        <w:t xml:space="preserve">Audit conclusion: </w:t>
      </w:r>
      <w:r>
        <w:t>The accession is correct and represents an independent mouse spatial dataset. It is distinct from pooled temporal snRNA-seq GSE305331 and human spatial dataset GSE278662.</w:t>
      </w:r>
    </w:p>
    <w:p>
      <w:pPr>
        <w:pStyle w:val="Heading1"/>
      </w:pPr>
      <w:r>
        <w:t>Dataset identity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E8EEF5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7416"/>
            <w:shd w:fill="E8EEF5"/>
          </w:tcPr>
          <w:p>
            <w:r>
              <w:rPr>
                <w:rFonts w:ascii="Arial" w:hAnsi="Arial"/>
                <w:b/>
                <w:sz w:val="17"/>
              </w:rPr>
              <w:t>Verified 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Accession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GSE306327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Publication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 K et al. Scar-associated endothelial-stellate cellular crosstalk drives fibrosis resolution in MASH. Cell Reports. 2026;45(2):116915.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DOI / PMID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10.1016/j.celrep.2025.116915 / 41581151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Species/model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Mus musculus; CCl4 fibrosis and withdrawal regression spatial arm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Platform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10x Genomics Visium fresh frozen; NovaSeq 6000; Space Ranger; mm10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GEO samples used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GSM9197415 peak CCl4 fibrosis; GSM9197416 6-week CCl4 regression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Replication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One GEO Visium library/section per stage. Animal identity and pooling are not specified in the GEO sample records.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Role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Descriptive supplementary reaction-front visualization only</w:t>
            </w:r>
          </w:p>
        </w:tc>
      </w:tr>
    </w:tbl>
    <w:p>
      <w:pPr>
        <w:spacing w:after="40"/>
      </w:pPr>
    </w:p>
    <w:p>
      <w:pPr>
        <w:spacing w:before="40" w:after="160"/>
      </w:pPr>
      <w:r>
        <w:rPr>
          <w:i/>
          <w:color w:val="5A636C"/>
          <w:sz w:val="17"/>
        </w:rPr>
        <w:t>Source: NCBI GEO GSE306327; PubMed PMID 41581151; local analysis script and archived outputs.</w:t>
      </w:r>
    </w:p>
    <w:p>
      <w:pPr>
        <w:pStyle w:val="Heading1"/>
      </w:pPr>
      <w:r>
        <w:t>Files actually used</w:t>
      </w:r>
    </w:p>
    <w:p>
      <w:pPr>
        <w:pStyle w:val="ListBullet"/>
        <w:spacing w:after="60"/>
      </w:pPr>
      <w:r>
        <w:t>GSM9197415_peak-6-w-2_matrix.mtx.gz, features.tsv.gz, barcodes.tsv.gz, and peak/spatial/tissue_positions.csv.</w:t>
      </w:r>
    </w:p>
    <w:p>
      <w:pPr>
        <w:pStyle w:val="ListBullet"/>
        <w:spacing w:after="60"/>
      </w:pPr>
      <w:r>
        <w:t>GSM9197416_regression-6-2-w_matrix.mtx.gz, features.tsv.gz, barcodes.tsv.gz, and regression/spatial/tissue_positions.csv.</w:t>
      </w:r>
    </w:p>
    <w:p>
      <w:pPr>
        <w:pStyle w:val="ListBullet"/>
        <w:spacing w:after="60"/>
      </w:pPr>
      <w:r>
        <w:t>GEO sample archives also contain spatial tar files; the local workflow consumes the extracted tissue_positions.csv files.</w:t>
      </w:r>
    </w:p>
    <w:p>
      <w:pPr>
        <w:pStyle w:val="Heading1"/>
      </w:pPr>
      <w:r>
        <w:t>Sample and QC accounting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 w:val="true"/>
        </w:trPr>
        <w:tc>
          <w:tcPr>
            <w:tcW w:type="dxa" w:w="1440"/>
            <w:shd w:fill="E8EEF5"/>
          </w:tcPr>
          <w:p>
            <w:r>
              <w:rPr>
                <w:rFonts w:ascii="Arial" w:hAnsi="Arial"/>
                <w:b/>
                <w:sz w:val="17"/>
              </w:rPr>
              <w:t>Stage</w:t>
            </w:r>
          </w:p>
        </w:tc>
        <w:tc>
          <w:tcPr>
            <w:tcW w:type="dxa" w:w="1584"/>
            <w:shd w:fill="E8EEF5"/>
          </w:tcPr>
          <w:p>
            <w:r>
              <w:rPr>
                <w:rFonts w:ascii="Arial" w:hAnsi="Arial"/>
                <w:b/>
                <w:sz w:val="17"/>
              </w:rPr>
              <w:t>GEO sample</w:t>
            </w:r>
          </w:p>
        </w:tc>
        <w:tc>
          <w:tcPr>
            <w:tcW w:type="dxa" w:w="1152"/>
            <w:shd w:fill="E8EEF5"/>
          </w:tcPr>
          <w:p>
            <w:r>
              <w:rPr>
                <w:rFonts w:ascii="Arial" w:hAnsi="Arial"/>
                <w:b/>
                <w:sz w:val="17"/>
              </w:rPr>
              <w:t>Retained spots</w:t>
            </w:r>
          </w:p>
        </w:tc>
        <w:tc>
          <w:tcPr>
            <w:tcW w:type="dxa" w:w="1008"/>
            <w:shd w:fill="E8EEF5"/>
          </w:tcPr>
          <w:p>
            <w:r>
              <w:rPr>
                <w:rFonts w:ascii="Arial" w:hAnsi="Arial"/>
                <w:b/>
                <w:sz w:val="17"/>
              </w:rPr>
              <w:t>Scar core</w:t>
            </w:r>
          </w:p>
        </w:tc>
        <w:tc>
          <w:tcPr>
            <w:tcW w:type="dxa" w:w="1008"/>
            <w:shd w:fill="E8EEF5"/>
          </w:tcPr>
          <w:p>
            <w:r>
              <w:rPr>
                <w:rFonts w:ascii="Arial" w:hAnsi="Arial"/>
                <w:b/>
                <w:sz w:val="17"/>
              </w:rPr>
              <w:t>Near</w:t>
            </w:r>
          </w:p>
        </w:tc>
        <w:tc>
          <w:tcPr>
            <w:tcW w:type="dxa" w:w="1152"/>
            <w:shd w:fill="E8EEF5"/>
          </w:tcPr>
          <w:p>
            <w:r>
              <w:rPr>
                <w:rFonts w:ascii="Arial" w:hAnsi="Arial"/>
                <w:b/>
                <w:sz w:val="17"/>
              </w:rPr>
              <w:t>Interface</w:t>
            </w:r>
          </w:p>
        </w:tc>
        <w:tc>
          <w:tcPr>
            <w:tcW w:type="dxa" w:w="1008"/>
            <w:shd w:fill="E8EEF5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Peak CCl4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GSM9197415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2136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321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605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605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605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6-week regression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GSM9197416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1681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253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476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476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476</w:t>
            </w:r>
          </w:p>
        </w:tc>
      </w:tr>
    </w:tbl>
    <w:p>
      <w:pPr>
        <w:spacing w:after="40"/>
      </w:pPr>
    </w:p>
    <w:p>
      <w:pPr>
        <w:spacing w:before="60" w:after="120"/>
      </w:pPr>
      <w:r>
        <w:rPr>
          <w:b/>
          <w:color w:val="9C232D"/>
        </w:rPr>
        <w:t xml:space="preserve">QC: </w:t>
      </w:r>
      <w:r>
        <w:t>The only explicit spot deletion rule is total matrix count equal to zero. No mitochondrial, feature-count, tissue-image, or outlier QC threshold is encoded. Deletion counts before the nonzero filter are not preserved in the final summary.</w:t>
      </w:r>
    </w:p>
    <w:p>
      <w:pPr>
        <w:pStyle w:val="Heading1"/>
      </w:pPr>
      <w:r>
        <w:t>Normalization and module scoring</w:t>
      </w:r>
    </w:p>
    <w:p>
      <w:pPr>
        <w:pStyle w:val="ListBullet"/>
        <w:spacing w:after="60"/>
      </w:pPr>
      <w:r>
        <w:t>Concatenate both samples using the inner intersection of genes; no batch correction.</w:t>
      </w:r>
    </w:p>
    <w:p>
      <w:pPr>
        <w:pStyle w:val="ListBullet"/>
        <w:spacing w:after="60"/>
      </w:pPr>
      <w:r>
        <w:t>Normalize each spot to 10,000 total counts, apply log1p, then calculate Scanpy score_genes module scores.</w:t>
      </w:r>
    </w:p>
    <w:p>
      <w:pPr>
        <w:pStyle w:val="ListBullet"/>
        <w:spacing w:after="60"/>
      </w:pPr>
      <w:r>
        <w:t>ECM scar: Col1a1, Col1a2, Col3a1, Acta2, Timp1, Lox, Thbs2, Fbn1.</w:t>
      </w:r>
    </w:p>
    <w:p>
      <w:pPr>
        <w:pStyle w:val="ListBullet"/>
        <w:spacing w:after="60"/>
      </w:pPr>
      <w:r>
        <w:t>Pathogenic HSC retention: Itgb5, Gas7, Spon1, Pdgfra, Lama2, Epha3, Dpysl3, Svep1, Fbln5, Srpx2, Nedd9.</w:t>
      </w:r>
    </w:p>
    <w:p>
      <w:pPr>
        <w:pStyle w:val="ListBullet"/>
        <w:spacing w:after="60"/>
      </w:pPr>
      <w:r>
        <w:t>Endo4-WNT resolver: Wnt9b, Vwf, Ace, Kdr, Emcn, Pecam1, Esm1.</w:t>
      </w:r>
    </w:p>
    <w:p>
      <w:pPr>
        <w:pStyle w:val="ListBullet"/>
        <w:spacing w:after="60"/>
      </w:pPr>
      <w:r>
        <w:t>LAM resolver: Trem2, Gpnmb, Spp1, Lpl, Lgals3, Ctsb, Ctsd, Mmp14.</w:t>
      </w:r>
    </w:p>
    <w:p>
      <w:pPr>
        <w:pStyle w:val="Heading1"/>
      </w:pPr>
      <w:r>
        <w:t>Scar and distance rules</w:t>
      </w:r>
    </w:p>
    <w:p>
      <w:pPr>
        <w:pStyle w:val="ListBullet"/>
        <w:spacing w:after="60"/>
      </w:pPr>
      <w:r>
        <w:t>Within each section, the top 15% of ECM-scar scores define the transcriptomic scar core.</w:t>
      </w:r>
    </w:p>
    <w:p>
      <w:pPr>
        <w:pStyle w:val="ListBullet"/>
        <w:spacing w:after="60"/>
      </w:pPr>
      <w:r>
        <w:t>Distance is Euclidean distance in Visium array_row/array_col coordinate units to the nearest scar-core spot. It is not pixels or micrometers.</w:t>
      </w:r>
    </w:p>
    <w:p>
      <w:pPr>
        <w:pStyle w:val="ListBullet"/>
        <w:spacing w:after="60"/>
      </w:pPr>
      <w:r>
        <w:t>Non-core spots are ranked by distance and divided into equal-count thirds: near, interface, and field. Therefore there are no fixed physical distance cut points.</w:t>
      </w:r>
    </w:p>
    <w:p>
      <w:pPr>
        <w:pStyle w:val="ListBullet"/>
        <w:spacing w:after="60"/>
      </w:pPr>
      <w:r>
        <w:t>The historical terms front/remote correspond to distance-ordered visualization; the executable labels are core/near/interface/field.</w:t>
      </w:r>
    </w:p>
    <w:p>
      <w:pPr>
        <w:pStyle w:val="Heading1"/>
      </w:pPr>
      <w:r>
        <w:t>Statistical interpretation</w:t>
      </w:r>
    </w:p>
    <w:p>
      <w:pPr>
        <w:spacing w:before="60" w:after="120"/>
      </w:pPr>
      <w:r>
        <w:rPr>
          <w:b/>
          <w:color w:val="1F4E79"/>
        </w:rPr>
        <w:t xml:space="preserve">Primary unit: </w:t>
      </w:r>
      <w:r>
        <w:t>The section is the biological spatial unit; n=1 section per stage.</w:t>
      </w:r>
    </w:p>
    <w:p>
      <w:pPr>
        <w:spacing w:before="60" w:after="120"/>
      </w:pPr>
      <w:r>
        <w:rPr>
          <w:b/>
          <w:color w:val="9C232D"/>
        </w:rPr>
        <w:t xml:space="preserve">Inference: </w:t>
      </w:r>
      <w:r>
        <w:t>S17-S18 are descriptive. Spearman rho with scar proximity is calculated within each section, but the returned P value is discarded. No between-stage inferential test is performed. Spots must not be treated as biological replicates.</w:t>
      </w:r>
    </w:p>
    <w:p>
      <w:pPr>
        <w:pStyle w:val="Heading1"/>
      </w:pPr>
      <w:r>
        <w:t>Panel mapping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152"/>
            <w:shd w:fill="E8EEF5"/>
          </w:tcPr>
          <w:p>
            <w:r>
              <w:rPr>
                <w:rFonts w:ascii="Arial" w:hAnsi="Arial"/>
                <w:b/>
                <w:sz w:val="17"/>
              </w:rPr>
              <w:t>Supplementary display</w:t>
            </w:r>
          </w:p>
        </w:tc>
        <w:tc>
          <w:tcPr>
            <w:tcW w:type="dxa" w:w="3168"/>
            <w:shd w:fill="E8EEF5"/>
          </w:tcPr>
          <w:p>
            <w:r>
              <w:rPr>
                <w:rFonts w:ascii="Arial" w:hAnsi="Arial"/>
                <w:b/>
                <w:sz w:val="17"/>
              </w:rPr>
              <w:t>Panel content</w:t>
            </w:r>
          </w:p>
        </w:tc>
        <w:tc>
          <w:tcPr>
            <w:tcW w:type="dxa" w:w="3240"/>
            <w:shd w:fill="E8EEF5"/>
          </w:tcPr>
          <w:p>
            <w:r>
              <w:rPr>
                <w:rFonts w:ascii="Arial" w:hAnsi="Arial"/>
                <w:b/>
                <w:sz w:val="17"/>
              </w:rPr>
              <w:t>Sample/time point</w:t>
            </w:r>
          </w:p>
        </w:tc>
        <w:tc>
          <w:tcPr>
            <w:tcW w:type="dxa" w:w="2088"/>
            <w:shd w:fill="E8EEF5"/>
          </w:tcPr>
          <w:p>
            <w:r>
              <w:rPr>
                <w:rFonts w:ascii="Arial" w:hAnsi="Arial"/>
                <w:b/>
                <w:sz w:val="17"/>
              </w:rPr>
              <w:t>Interpretation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S17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Spatial maps for ECM, retention, endothelial resolver and LAM resolver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Top row: peak CCl4 GSM9197415; bottom row: 6-week regression GSM9197416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Descriptive module field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S18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Core-near-interface-field median module profiles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Both samples overlaid; peak and regression shown as separate lines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Descriptive distance ordering</w:t>
            </w:r>
          </w:p>
        </w:tc>
      </w:tr>
    </w:tbl>
    <w:p>
      <w:pPr>
        <w:spacing w:after="40"/>
      </w:pPr>
    </w:p>
    <w:p>
      <w:pPr>
        <w:pStyle w:val="Heading1"/>
      </w:pPr>
      <w:r>
        <w:t>Reproducibility paths</w:t>
      </w:r>
    </w:p>
    <w:p>
      <w:pPr>
        <w:pStyle w:val="ListBullet"/>
        <w:spacing w:after="60"/>
      </w:pPr>
      <w:r>
        <w:t>Analysis: 46_v16_动力系统旗舰_20260711/03_分析脚本/GSE306327_reaction_front_spatial.py</w:t>
      </w:r>
    </w:p>
    <w:p>
      <w:pPr>
        <w:pStyle w:val="ListBullet"/>
        <w:spacing w:after="60"/>
      </w:pPr>
      <w:r>
        <w:t>Results: 46_v16_动力系统旗舰_20260711/08_服务器结果归档/PathoNicheDrugMap_v16_dynamics/02_results/S4_GSE306327_reaction_front/</w:t>
      </w:r>
    </w:p>
    <w:p>
      <w:pPr>
        <w:pStyle w:val="ListBullet"/>
        <w:spacing w:after="60"/>
      </w:pPr>
      <w:r>
        <w:t>Dataset passport: 46_v16_动力系统旗舰_20260711/01_数据审计/v16_dataset_passport.tsv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36C"/>
        <w:sz w:val="16"/>
      </w:rPr>
      <w:t>Audit package generated 17 July 2026 | No direct patient identifiers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36C"/>
        <w:sz w:val="16"/>
      </w:rPr>
      <w:t>PathoNiche Resolver-Window Project | Methods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