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Preparation of Papers for IEEE T</w:t>
      </w:r>
      <w:r w:rsidDel="00000000" w:rsidR="00000000" w:rsidRPr="00000000">
        <w:rPr>
          <w:sz w:val="40"/>
          <w:szCs w:val="40"/>
          <w:vertAlign w:val="baseline"/>
          <w:rtl w:val="0"/>
        </w:rPr>
        <w:t xml:space="preserve">RANSACTIONS</w:t>
      </w:r>
      <w:r w:rsidDel="00000000" w:rsidR="00000000" w:rsidRPr="00000000">
        <w:rPr>
          <w:vertAlign w:val="baseline"/>
          <w:rtl w:val="0"/>
        </w:rPr>
        <w:t xml:space="preserve"> and J</w:t>
      </w:r>
      <w:r w:rsidDel="00000000" w:rsidR="00000000" w:rsidRPr="00000000">
        <w:rPr>
          <w:sz w:val="40"/>
          <w:szCs w:val="40"/>
          <w:vertAlign w:val="baseline"/>
          <w:rtl w:val="0"/>
        </w:rPr>
        <w:t xml:space="preserve">OURNALS</w:t>
      </w:r>
      <w:r w:rsidDel="00000000" w:rsidR="00000000" w:rsidRPr="00000000">
        <w:rPr>
          <w:i w:val="1"/>
          <w:vertAlign w:val="baseline"/>
          <w:rtl w:val="0"/>
        </w:rPr>
        <w:t xml:space="preserve"> </w:t>
      </w:r>
      <w:r w:rsidDel="00000000" w:rsidR="00000000" w:rsidRPr="00000000">
        <w:rPr>
          <w:vertAlign w:val="baseline"/>
          <w:rtl w:val="0"/>
        </w:rPr>
        <w:t xml:space="preserve">(May 2007)</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 Author, Second B. Author, Jr., and Third C. Author,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Member, IEEE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—These instructions give you guidelines for preparing papers for IEEE 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J</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OURNALS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Use this document as a template if you are using Microsoft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bookmarkStart w:colFirst="0" w:colLast="0" w:name="gjdgxs" w:id="0"/>
    <w:bookmarkEnd w:id="0"/>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—About four key words or phrases in alphabetical order, separated by commas. For a list of suggested keywords, send a blank e-mail to </w:t>
      </w:r>
      <w:hyperlink r:id="rId7">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keywords@ieee.org</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or visit </w:t>
      </w:r>
      <w:hyperlink r:id="rId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http://www.ieee.org/organizations/pubs/ani_prod/keywrd98.txt</w:t>
        </w:r>
      </w:hyperlink>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pStyle w:val="Heading1"/>
        <w:numPr>
          <w:ilvl w:val="0"/>
          <w:numId w:val="3"/>
        </w:numPr>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document is a template for Microsoft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versions 6.0 or later. If you are reading a paper or PDF version of this document, please download the electronic file,</w:t>
        <w:br w:type="textWrapping"/>
        <w:t xml:space="preserve">TRANS-JOUR.DOC, from the IEEE Web site at </w:t>
      </w:r>
      <w:hyperlink r:id="rId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http://www.ieee.org/web/publications/authors/transjnl/index.html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your paper is intended for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please contact your conference editor concerning acceptable word processor formats for your particular conference.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open TRANS-JOUR.DOC, select “Page Layout” from the “View” menu in the menu bar (View | Page Layout), </w:t>
        <w:br w:type="textWrapping"/>
        <w:br w:type="textWrapping"/>
        <w:t xml:space="preserve">which allows you to see the footnotes. Then, type over sections of TRANS-JOUR.DOC or cut and paste from another document and use markup styles. The pull-down style menu is at the left of the Formatting Toolbar at the top of your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window (for example, the style at this point in the document is “Text”). Highlight a section that you want to designate with a certain style, then select the appropriate name on the style menu. The style will adjust your fonts and line spacing.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 not change the font sizes or line spacing to squeeze more text into a limited number of pages.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italics for emphasis; do not underline.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insert images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position the cursor at the insertion point and either use Insert | Picture | From File or copy the image to the Windows clipboard and then Edit | Paste Special | Picture (with “float over text” unchecked).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will do the final formatting of your paper. If your paper is intended for a conference, please observe the conference page limits.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3"/>
        </w:numPr>
        <w:ind w:left="0" w:firstLine="0"/>
        <w:rPr/>
      </w:pPr>
      <w:r w:rsidDel="00000000" w:rsidR="00000000" w:rsidRPr="00000000">
        <w:rPr>
          <w:smallCaps w:val="1"/>
          <w:vertAlign w:val="baseline"/>
          <w:rtl w:val="0"/>
        </w:rPr>
        <w:t xml:space="preserve">Procedure for Paper Submission</w:t>
      </w:r>
      <w:r w:rsidDel="00000000" w:rsidR="00000000" w:rsidRPr="00000000">
        <w:rPr>
          <w:rtl w:val="0"/>
        </w:rPr>
      </w:r>
    </w:p>
    <w:p w:rsidR="00000000" w:rsidDel="00000000" w:rsidP="00000000" w:rsidRDefault="00000000" w:rsidRPr="00000000" w14:paraId="00000011">
      <w:pPr>
        <w:pStyle w:val="Heading2"/>
        <w:numPr>
          <w:ilvl w:val="1"/>
          <w:numId w:val="3"/>
        </w:numPr>
        <w:ind w:left="0" w:firstLine="0"/>
        <w:rPr/>
      </w:pPr>
      <w:r w:rsidDel="00000000" w:rsidR="00000000" w:rsidRPr="00000000">
        <w:rPr>
          <w:i w:val="1"/>
          <w:vertAlign w:val="baseline"/>
          <w:rtl w:val="0"/>
        </w:rPr>
        <w:t xml:space="preserve">Review Stage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check with your editor on whether to submit your manuscript as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want to submit your file with one column electronically, please do the following: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--First, click on the View menu and choose Print Layout.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--Second, place your cursor in the first paragraph. Go to the Format menu, choose Columns, choose one column Layout, and choose “apply to whole document” from the dropdown menu.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--Third, click and drag the right margin bar to just over 4 inches in width.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graphics will stay in the “second” column, but you can drag them to the first column. Make the graphic wider to push out any text that may try to fill in next to the graphic.</w:t>
      </w:r>
    </w:p>
    <w:p w:rsidR="00000000" w:rsidDel="00000000" w:rsidP="00000000" w:rsidRDefault="00000000" w:rsidRPr="00000000" w14:paraId="00000018">
      <w:pPr>
        <w:pStyle w:val="Heading2"/>
        <w:numPr>
          <w:ilvl w:val="1"/>
          <w:numId w:val="3"/>
        </w:numPr>
        <w:ind w:left="0" w:firstLine="0"/>
        <w:rPr/>
      </w:pPr>
      <w:r w:rsidDel="00000000" w:rsidR="00000000" w:rsidRPr="00000000">
        <w:rPr>
          <w:i w:val="1"/>
          <w:vertAlign w:val="baseline"/>
          <w:rtl w:val="0"/>
        </w:rPr>
        <w:t xml:space="preserve">Final Stage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CD-ROM disks for large files, or compress files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Compress, Pkzip, Stuffit,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00000" w:rsidDel="00000000" w:rsidP="00000000" w:rsidRDefault="00000000" w:rsidRPr="00000000" w14:paraId="0000001B">
      <w:pPr>
        <w:pStyle w:val="Heading2"/>
        <w:numPr>
          <w:ilvl w:val="1"/>
          <w:numId w:val="3"/>
        </w:numPr>
        <w:ind w:left="0" w:firstLine="0"/>
        <w:rPr/>
      </w:pPr>
      <w:r w:rsidDel="00000000" w:rsidR="00000000" w:rsidRPr="00000000">
        <w:rPr>
          <w:i w:val="1"/>
          <w:vertAlign w:val="baseline"/>
          <w:rtl w:val="0"/>
        </w:rPr>
        <w:t xml:space="preserve">Figures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and save your graphic images using a suitable graphics processing program that will allow you to create the images as PostScript (PS), Encapsulated PostScript (EPS), or Tagged Image File Format (TIFF), sizes them, and adjusts the resolution settings. If you created your source files in one of the following you will be able to submit the graphics without converting to a PS, EPS, or TIFF file: Microsoft Word, Microsoft PowerPoint, Microsoft Excel, or Portable Document Format (PDF).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numPr>
          <w:ilvl w:val="1"/>
          <w:numId w:val="3"/>
        </w:numPr>
        <w:ind w:left="0" w:firstLine="0"/>
        <w:rPr/>
      </w:pPr>
      <w:r w:rsidDel="00000000" w:rsidR="00000000" w:rsidRPr="00000000">
        <w:rPr>
          <w:i w:val="1"/>
          <w:vertAlign w:val="baseline"/>
          <w:rtl w:val="0"/>
        </w:rPr>
        <w:t xml:space="preserve">Electronic Image Files (Optional)</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your source files in one of the following: Microsoft Word, Microsoft PowerPoint, Microsoft Excel, or Portable Document Format (PDF); you will be able to submit the graphics without converting to a PS, EPS, or TIFF files. Image quality is very important to how yours graphics will reproduce. Even though we can accept graphics in many formats, we cannot improve your graphics if they are poor quality when we receive them. If your graphic looks low in quality on your printer or monitor, please keep in mind that cannot improve the quality after submission.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importing your graphics into this Word template, please use the following steps: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 the option EDIT select PASTE SPECIAL. A dialog box will open, select paste picture, then click OK. Your figure should now be in the Word Document.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preparing images in TIFF, EPS, or PS format, note the following. High-contrast line figures and tables should be prepared with 600 dpi resolution and saved with no compression, 1 bit per pixel (monochrome), with file names in the form of “fig3.tif” or “table1.tif.”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Photographs and grayscale figures should be prepared with 300 dpi resolution and saved with no compression, 8 bits per pixel (grayscale).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rPr>
          <w:color w:val="000000"/>
          <w:vertAlign w:val="baseline"/>
        </w:rPr>
      </w:pPr>
      <w:r w:rsidDel="00000000" w:rsidR="00000000" w:rsidRPr="00000000">
        <w:rPr>
          <w:rtl w:val="0"/>
        </w:rPr>
      </w:r>
    </w:p>
    <w:p w:rsidR="00000000" w:rsidDel="00000000" w:rsidP="00000000" w:rsidRDefault="00000000" w:rsidRPr="00000000" w14:paraId="00000026">
      <w:pPr>
        <w:rPr>
          <w:i w:val="0"/>
          <w:color w:val="000000"/>
          <w:vertAlign w:val="baseline"/>
        </w:rPr>
      </w:pPr>
      <w:r w:rsidDel="00000000" w:rsidR="00000000" w:rsidRPr="00000000">
        <w:rPr>
          <w:i w:val="1"/>
          <w:color w:val="000000"/>
          <w:vertAlign w:val="baseline"/>
          <w:rtl w:val="0"/>
        </w:rPr>
        <w:t xml:space="preserve">Sizing of Graphics</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charts graphs and tables are one column wide (3 1/2 inches or 21 picas) or two-column width (7 1/16 inches, 43 picas wide). We recommend that you avoid sizing figures less than one column wide, as extreme enlargements may distort your images and result in poor reproduction. Therefore, it is better if the image is slightly larger, as a minor reduction in size should not have an adverse affect the quality of the image. </w:t>
      </w:r>
    </w:p>
    <w:p w:rsidR="00000000" w:rsidDel="00000000" w:rsidP="00000000" w:rsidRDefault="00000000" w:rsidRPr="00000000" w14:paraId="00000028">
      <w:pPr>
        <w:rPr>
          <w:color w:val="000000"/>
          <w:vertAlign w:val="baseline"/>
        </w:rPr>
      </w:pPr>
      <w:r w:rsidDel="00000000" w:rsidR="00000000" w:rsidRPr="00000000">
        <w:rPr>
          <w:rtl w:val="0"/>
        </w:rPr>
      </w:r>
    </w:p>
    <w:p w:rsidR="00000000" w:rsidDel="00000000" w:rsidP="00000000" w:rsidRDefault="00000000" w:rsidRPr="00000000" w14:paraId="00000029">
      <w:pPr>
        <w:rPr>
          <w:i w:val="0"/>
          <w:color w:val="000000"/>
          <w:vertAlign w:val="baseline"/>
        </w:rPr>
      </w:pPr>
      <w:r w:rsidDel="00000000" w:rsidR="00000000" w:rsidRPr="00000000">
        <w:rPr>
          <w:i w:val="1"/>
          <w:color w:val="000000"/>
          <w:vertAlign w:val="baseline"/>
          <w:rtl w:val="0"/>
        </w:rPr>
        <w:t xml:space="preserve">Size of Author Photographs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printed size of an author photograph is exactly</w:t>
        <w:br w:type="textWrapping"/>
        <w:t xml:space="preserve">1 inch wide by 1 1/4 inches long (6 picas × 7 1/2 picas). Please ensure that the author photographs you submit are proportioned similarly. If the author’s photograph does not appear at the end of the paper, then please size it so that it is proportional to the standard size of 1 9/16 inches wide by</w:t>
        <w:br w:type="textWrapping"/>
        <w:t xml:space="preserve">2 inches long (9 1/2 picas × 12 picas). JPEG files are only accepted for author photos.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to create a PostScript 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download a PostScript printer driver from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http://www.adobe.com/support/downloads/pdrvwin.htm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Windows) or from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http://www.adobe.com/support/downloads/ pdrvmac.htm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Macintosh) and install the “Generic PostScript Printer” definition.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 Color Graphics Requirements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IEEE accepts color graphics in the following formats: EPS, PS, TIFF, Word, PowerPoint, Excel, and PDF. The resolution of a RGB color TIFF file should be 400 dpi.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When sending color graphics, please supply a high quality hard copy or PDF proof of each image. If we cannot achieve a satisfactory color match using the electronic version of your files, we will have your hard copy scanned. Any of the files types you provide will be converted to RGB color EPS files.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Web Color Graphics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accepts color graphics in the following formats: EPS, PS, TIFF, Word, PowerPoint, Excel, and PDF. The resolution of a RGB color TIFF file should be at least 400 dpi.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0"/>
          <w:szCs w:val="20"/>
          <w:u w:val="none"/>
          <w:shd w:fill="auto" w:val="clear"/>
          <w:vertAlign w:val="baseline"/>
          <w:rtl w:val="0"/>
        </w:rPr>
        <w:t xml:space="preserve">Your color graphic will be converted to grayscale if no separate grayscale file is provided. If a graphic is to appear in print as black and white, it should be saved and submitted as a black and white file. If a graphic is to appear in print or on IEEE Xplore in color, it should be submitted as RGB color.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Graphics Checker Tool</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IEEE Graphics Checker Tool enables users to check graphic files. The tool will check journal article graphic files against a set of rules for compliance with IEEE requirements.  These requirements are designed to ensure sufficient image quality so they will look acceptable in print.  After receiving a graphic or a set of graphics, the tool will check the files against a set of rules.  A report will then be e-mailed listing each graphic and whether it met or failed to meet the requirements. If the file fails, a description of why and instructions on how to correct the problem will be sent. The IEEE Graphics Checker Tool is available at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http://graphicsqc.ieee.org/</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more Information, contact the IEEE Graphics H-E-L-P Desk by e-mail at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graphics@ieee.org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will then receive an e-mail response and sometimes a request for a sample graphic for us to check.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1"/>
          <w:numId w:val="3"/>
        </w:numPr>
        <w:ind w:left="0" w:firstLine="0"/>
        <w:rPr/>
      </w:pPr>
      <w:r w:rsidDel="00000000" w:rsidR="00000000" w:rsidRPr="00000000">
        <w:rPr>
          <w:i w:val="1"/>
          <w:vertAlign w:val="baseline"/>
          <w:rtl w:val="0"/>
        </w:rPr>
        <w:t xml:space="preserve">Copyright Form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3164205" cy="2981325"/>
                <wp:effectExtent b="0" l="0" r="0" t="0"/>
                <wp:wrapSquare wrapText="bothSides" distB="0" distT="0" distL="114300" distR="114300"/>
                <wp:docPr id="2" name=""/>
                <a:graphic>
                  <a:graphicData uri="http://schemas.microsoft.com/office/word/2010/wordprocessingShape">
                    <wps:wsp>
                      <wps:cNvSpPr/>
                      <wps:cNvPr id="3" name="Shape 3"/>
                      <wps:spPr>
                        <a:xfrm>
                          <a:off x="3768660" y="2294100"/>
                          <a:ext cx="3154680" cy="297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Fig. 1.  Magnetization as a function of applied field. Note that “Fig.” is abbreviated. There is a period after the figure number, followed by two spaces. It is good practice to explain the significance of the figure in the caption.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3164205" cy="29813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164205" cy="298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3164205" cy="4058285"/>
                <wp:effectExtent b="0" l="0" r="0" t="0"/>
                <wp:wrapSquare wrapText="bothSides" distB="0" distT="0" distL="114300" distR="114300"/>
                <wp:docPr id="1" name=""/>
                <a:graphic>
                  <a:graphicData uri="http://schemas.microsoft.com/office/word/2010/wordprocessingShape">
                    <wps:wsp>
                      <wps:cNvSpPr/>
                      <wps:cNvPr id="2" name="Shape 2"/>
                      <wps:spPr>
                        <a:xfrm>
                          <a:off x="3768660" y="1755620"/>
                          <a:ext cx="3154680" cy="4048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16"/>
                                <w:vertAlign w:val="baseline"/>
                              </w:rPr>
                              <w:t xml:space="preserve">TABLE 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16"/>
                                <w:vertAlign w:val="baseline"/>
                              </w:rPr>
                            </w:r>
                            <w:r w:rsidDel="00000000" w:rsidR="00000000" w:rsidRPr="00000000">
                              <w:rPr>
                                <w:rFonts w:ascii="Arial" w:cs="Arial" w:eastAsia="Arial" w:hAnsi="Arial"/>
                                <w:b w:val="0"/>
                                <w:i w:val="0"/>
                                <w:smallCaps w:val="1"/>
                                <w:strike w:val="0"/>
                                <w:color w:val="000000"/>
                                <w:sz w:val="16"/>
                                <w:vertAlign w:val="baseline"/>
                              </w:rPr>
                              <w:t xml:space="preserve">Units for Magnetic Properties</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1"/>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Vertical lines are optional in tables. Statements that serve as captions for the entire table do not need footnote letters. </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superscript"/>
                              </w:rPr>
                              <w:t xml:space="preserve">a</w:t>
                            </w:r>
                            <w:r w:rsidDel="00000000" w:rsidR="00000000" w:rsidRPr="00000000">
                              <w:rPr>
                                <w:rFonts w:ascii="Arial" w:cs="Arial" w:eastAsia="Arial" w:hAnsi="Arial"/>
                                <w:b w:val="0"/>
                                <w:i w:val="0"/>
                                <w:smallCaps w:val="0"/>
                                <w:strike w:val="0"/>
                                <w:color w:val="000000"/>
                                <w:sz w:val="16"/>
                                <w:vertAlign w:val="baseline"/>
                              </w:rPr>
                              <w:t xml:space="preserve">Gaussian units are the same as cgs emu for magnetostatics; Mx = maxwell, G = gauss, Oe = oersted; Wb = weber, V = volt, s = second, T = tesla, m = meter, A = ampere, J = joule, kg = kilogram, H = henry.</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3164205" cy="40582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3164205" cy="4058285"/>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IEEE copyright form should accompany your final submission. You can get a .pdf, .html, or .doc version at </w:t>
      </w:r>
      <w:hyperlink r:id="rId1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http://www.ieee.org/copyright</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Authors are responsible for obtaining any security clearances.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pPr>
      <w:r w:rsidDel="00000000" w:rsidR="00000000" w:rsidRPr="00000000">
        <w:rPr>
          <w:smallCaps w:val="1"/>
          <w:vertAlign w:val="baseline"/>
          <w:rtl w:val="0"/>
        </w:rPr>
        <w:t xml:space="preserve">M</w:t>
      </w:r>
      <w:r w:rsidDel="00000000" w:rsidR="00000000" w:rsidRPr="00000000">
        <w:rPr>
          <w:smallCaps w:val="1"/>
          <w:sz w:val="16"/>
          <w:szCs w:val="16"/>
          <w:vertAlign w:val="baseline"/>
          <w:rtl w:val="0"/>
        </w:rPr>
        <w:t xml:space="preserve">ATH</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either the Microsoft Equation Editor or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MathType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add-on (http://www.mathtype.com) for equations in your paper (Insert | Object | Create New | Microsoft Equation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MathType Equation). “Float over text”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selected.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pPr>
      <w:r w:rsidDel="00000000" w:rsidR="00000000" w:rsidRPr="00000000">
        <w:rPr>
          <w:smallCaps w:val="1"/>
          <w:vertAlign w:val="baseline"/>
          <w:rtl w:val="0"/>
        </w:rPr>
        <w:t xml:space="preserve">Units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3"/>
        </w:numPr>
        <w:ind w:left="0" w:firstLine="0"/>
        <w:rPr/>
      </w:pPr>
      <w:r w:rsidDel="00000000" w:rsidR="00000000" w:rsidRPr="00000000">
        <w:rPr>
          <w:smallCaps w:val="1"/>
          <w:vertAlign w:val="baseline"/>
          <w:rtl w:val="0"/>
        </w:rPr>
        <w:t xml:space="preserve">Helpful Hints</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Please do not include captions as part of the figures. Do not put captions in “text boxes” linked to the figures. Do not put borders around the outside of your figures.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abbreviation “Fig.” even at the beginning of a sentence. Do not abbreviate “Table.” Tables are numbered with Roman numerals.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printing of figures is available, but is billed to the authors. Include a note with your final paper indicating that you request and will pay for color printing. Do not use color unless it is necessary for the proper interpretation of your figures. If you want reprints of your color article, the reprint order should be submitted promptly. There is an additional charge for color reprints.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Please note that many IEEE journals now allow an author to publish color figures on Xplore and black and white figures in print. Contact your society representative for specific requirements.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axis labels are often a source of confusion. Use words rather than symbols. As an example, write the quantity “Magnetization,” or “Magnetization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Put units in parentheses. Do not label axes only with units. As in Fig. 1, for example, write “Magnetization (A/m)” or “Magnetization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63500" cy="762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500" cy="76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Symbol" w:cs="Symbol" w:eastAsia="Symbol" w:hAnsi="Symbol"/>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“A/m.” Do not label axes with a ratio of quantities and units. For example, write “Temperature (K),” not “Temperature/K.”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Multipliers can be especially confusing. Write “Magnetization (kA/m)” or “Magnetization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 Do not write “Magnetization (A/m)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1000” because the reader would not know whether the top axis label in Fig. 1 meant 16000 A/m or 0.016 A/m. Figure labels should be legible, approximately 8 to 12 point type.</w:t>
      </w:r>
    </w:p>
    <w:p w:rsidR="00000000" w:rsidDel="00000000" w:rsidP="00000000" w:rsidRDefault="00000000" w:rsidRPr="00000000" w14:paraId="0000004A">
      <w:pPr>
        <w:pStyle w:val="Heading2"/>
        <w:numPr>
          <w:ilvl w:val="1"/>
          <w:numId w:val="3"/>
        </w:numPr>
        <w:ind w:left="0" w:firstLine="0"/>
        <w:rPr/>
      </w:pPr>
      <w:r w:rsidDel="00000000" w:rsidR="00000000" w:rsidRPr="00000000">
        <w:rPr>
          <w:i w:val="1"/>
          <w:vertAlign w:val="baseline"/>
          <w:rtl w:val="0"/>
        </w:rPr>
        <w:t xml:space="preserve">References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type the reference list at the end of the paper using the “References” style.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(Insert | Footnote).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Place the actual footnote at the bottom of the column in which it is cited; do not put footnotes in the reference list (endnotes). Use letters for table footnotes (see Table 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note that the references at the end of this document are in the preferred referencing style. Give all authors’ names; do not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unless there are six authors or more. Use a space after authors’ initials. Papers that have not been published should be cited as “unpublished” [4]. Papers that have been accepted for publication, but not yet specified for an issue should be cited as “to be published” [5]. Papers that have been submitted for publication should be cited as “submitted for publication” [6]. Please give affiliations and addresses for private communications [7].</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Capitalize only the first word in a paper title, except for proper nouns and element symbols. For papers published in translation journals, please give the English citation first, followed by the original foreign-language citation [8].</w:t>
      </w:r>
    </w:p>
    <w:p w:rsidR="00000000" w:rsidDel="00000000" w:rsidP="00000000" w:rsidRDefault="00000000" w:rsidRPr="00000000" w14:paraId="0000004F">
      <w:pPr>
        <w:pStyle w:val="Heading2"/>
        <w:numPr>
          <w:ilvl w:val="1"/>
          <w:numId w:val="3"/>
        </w:numPr>
        <w:ind w:left="0" w:firstLine="0"/>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00000" w:rsidDel="00000000" w:rsidP="00000000" w:rsidRDefault="00000000" w:rsidRPr="00000000" w14:paraId="00000051">
      <w:pPr>
        <w:pStyle w:val="Heading2"/>
        <w:numPr>
          <w:ilvl w:val="1"/>
          <w:numId w:val="3"/>
        </w:numPr>
        <w:ind w:left="0" w:firstLine="0"/>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844800" cy="5715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44800" cy="571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that the symbols in your equation have been defined before the equation appears or immediately following. Italicize symbols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might refer to temperature, but T is the unit tesla). Refer to “(1),” not “Eq. (1)” or “equation (1),” except at the beginning of a sentence: “Equation (1) is ... .”</w:t>
      </w:r>
    </w:p>
    <w:p w:rsidR="00000000" w:rsidDel="00000000" w:rsidP="00000000" w:rsidRDefault="00000000" w:rsidRPr="00000000" w14:paraId="00000057">
      <w:pPr>
        <w:pStyle w:val="Heading2"/>
        <w:numPr>
          <w:ilvl w:val="1"/>
          <w:numId w:val="3"/>
        </w:numPr>
        <w:ind w:left="0" w:firstLine="0"/>
        <w:rPr/>
      </w:pPr>
      <w:r w:rsidDel="00000000" w:rsidR="00000000" w:rsidRPr="00000000">
        <w:rPr>
          <w:i w:val="1"/>
          <w:vertAlign w:val="baseline"/>
          <w:rtl w:val="0"/>
        </w:rPr>
        <w:t xml:space="preserve">Other Recommendations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“cc.” Indicate sample dimensions as “0.1 cm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0.2 cm,” not “0.1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0.2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abbreviation for “seconds” is “s,” not “sec.” Do not mix complete spellings and abbreviations of units: use “Wb/m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“webers per square meter,” not “webers/m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When expressing a range of values, write “7 to 9” or “7-9,” not “7~9.”</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000000" w:rsidDel="00000000" w:rsidP="00000000" w:rsidRDefault="00000000" w:rsidRPr="00000000" w14:paraId="0000005C">
      <w:pPr>
        <w:pStyle w:val="Heading1"/>
        <w:numPr>
          <w:ilvl w:val="0"/>
          <w:numId w:val="3"/>
        </w:numPr>
        <w:ind w:left="0" w:firstLine="0"/>
        <w:rPr/>
      </w:pPr>
      <w:r w:rsidDel="00000000" w:rsidR="00000000" w:rsidRPr="00000000">
        <w:rPr>
          <w:smallCaps w:val="1"/>
          <w:vertAlign w:val="baseline"/>
          <w:rtl w:val="0"/>
        </w:rPr>
        <w:t xml:space="preserve">Some Common Mistakes</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 The subscript for the permeability of vacuum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whereas “Ni–Mn” indicates an alloy of some composition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Prefixes such as “non,” “sub,” “micro,” “multi,” and “ultra” are not independent words; they should be joined to the words they modify, usually without a hyphen. There is no period after the “et” in the Latin abbreviation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also italicized). The abbreviation “i.e.,” means “that is,” and the abbreviation “e.g.,” means “for example” (these abbreviations are not italicized).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and source of information for science writers is [9]. A general IEEE style guide and 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Information for Authors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both available at </w:t>
      </w:r>
      <w:hyperlink r:id="rId1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http://www.ieee.org/web/publications/authors/transjnl/index.html</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3"/>
        </w:numPr>
        <w:ind w:left="0" w:firstLine="0"/>
        <w:rPr/>
      </w:pPr>
      <w:r w:rsidDel="00000000" w:rsidR="00000000" w:rsidRPr="00000000">
        <w:rPr>
          <w:smallCaps w:val="1"/>
          <w:vertAlign w:val="baseline"/>
          <w:rtl w:val="0"/>
        </w:rPr>
        <w:t xml:space="preserve">Editorial Policy</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strongly discourage courtesy authorship. It is the obligation of the authors to cite relevant prior work.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Transactions and Journals Department does not publish conference records or proceedings.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regular papers, whereupon they will be reviewed by two new referees.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3"/>
        </w:numPr>
        <w:ind w:left="0" w:firstLine="0"/>
        <w:rPr/>
      </w:pPr>
      <w:r w:rsidDel="00000000" w:rsidR="00000000" w:rsidRPr="00000000">
        <w:rPr>
          <w:smallCaps w:val="1"/>
          <w:vertAlign w:val="baseline"/>
          <w:rtl w:val="0"/>
        </w:rPr>
        <w:t xml:space="preserve">Publication Principles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contents of IEEE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peer-reviewed and archival.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publishes scholarly articles of archival value as well as tutorial expositions and critical reviews of classical subjects and topics of current interest.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should consider the following points: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papers submitted for publication must advance the state of knowledge and must cite relevant prior work. </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must convince both peer reviewers and the editors of the scientific and technical merit of a paper; the standards of proof are higher when extraordinary or unexpected results are reported. </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Papers that describe ongoing work or announce the latest technical achievement, which are suitable for presentation at a professional conference, may not be appropriate for publication in a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3"/>
        </w:numPr>
        <w:ind w:left="0" w:firstLine="0"/>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Appendix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Appendixes, if needed, appear before the acknowledgment.</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Sponsor and financial support acknowledgments are placed in the unnumbered footnote on the first page, not here.</w:t>
      </w:r>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77">
      <w:pPr>
        <w:numPr>
          <w:ilvl w:val="0"/>
          <w:numId w:val="2"/>
        </w:numPr>
        <w:ind w:left="360" w:hanging="360"/>
        <w:rPr>
          <w:sz w:val="16"/>
          <w:szCs w:val="16"/>
        </w:rPr>
      </w:pPr>
      <w:r w:rsidDel="00000000" w:rsidR="00000000" w:rsidRPr="00000000">
        <w:rPr>
          <w:sz w:val="16"/>
          <w:szCs w:val="16"/>
          <w:vertAlign w:val="baseline"/>
          <w:rtl w:val="0"/>
        </w:rPr>
        <w:t xml:space="preserve">G. O. Young, “Synthetic structure of industrial plastics (Book style with paper title and editor),” </w:t>
        <w:tab/>
        <w:t xml:space="preserve">in </w:t>
      </w:r>
      <w:r w:rsidDel="00000000" w:rsidR="00000000" w:rsidRPr="00000000">
        <w:rPr>
          <w:i w:val="1"/>
          <w:sz w:val="16"/>
          <w:szCs w:val="16"/>
          <w:vertAlign w:val="baseline"/>
          <w:rtl w:val="0"/>
        </w:rPr>
        <w:t xml:space="preserve">Plastics</w:t>
      </w:r>
      <w:r w:rsidDel="00000000" w:rsidR="00000000" w:rsidRPr="00000000">
        <w:rPr>
          <w:sz w:val="16"/>
          <w:szCs w:val="16"/>
          <w:vertAlign w:val="baseline"/>
          <w:rtl w:val="0"/>
        </w:rPr>
        <w:t xml:space="preserve">, 2nd ed. vol. 3, J. Peters, Ed.  New York: McGraw-Hill, 1964, pp. 15–64.</w:t>
      </w:r>
    </w:p>
    <w:p w:rsidR="00000000" w:rsidDel="00000000" w:rsidP="00000000" w:rsidRDefault="00000000" w:rsidRPr="00000000" w14:paraId="00000078">
      <w:pPr>
        <w:numPr>
          <w:ilvl w:val="0"/>
          <w:numId w:val="2"/>
        </w:numPr>
        <w:ind w:left="360" w:hanging="360"/>
        <w:rPr>
          <w:sz w:val="16"/>
          <w:szCs w:val="16"/>
        </w:rPr>
      </w:pPr>
      <w:r w:rsidDel="00000000" w:rsidR="00000000" w:rsidRPr="00000000">
        <w:rPr>
          <w:sz w:val="16"/>
          <w:szCs w:val="16"/>
          <w:vertAlign w:val="baseline"/>
          <w:rtl w:val="0"/>
        </w:rPr>
        <w:t xml:space="preserve">W.-K. Chen, </w:t>
      </w:r>
      <w:r w:rsidDel="00000000" w:rsidR="00000000" w:rsidRPr="00000000">
        <w:rPr>
          <w:i w:val="1"/>
          <w:sz w:val="16"/>
          <w:szCs w:val="16"/>
          <w:vertAlign w:val="baseline"/>
          <w:rtl w:val="0"/>
        </w:rPr>
        <w:t xml:space="preserve">Linear Networks and Systems</w:t>
      </w:r>
      <w:r w:rsidDel="00000000" w:rsidR="00000000" w:rsidRPr="00000000">
        <w:rPr>
          <w:sz w:val="16"/>
          <w:szCs w:val="16"/>
          <w:vertAlign w:val="baseline"/>
          <w:rtl w:val="0"/>
        </w:rPr>
        <w:t xml:space="preserve"> (Book style)</w:t>
      </w:r>
      <w:r w:rsidDel="00000000" w:rsidR="00000000" w:rsidRPr="00000000">
        <w:rPr>
          <w:i w:val="1"/>
          <w:sz w:val="16"/>
          <w:szCs w:val="16"/>
          <w:vertAlign w:val="baseline"/>
          <w:rtl w:val="0"/>
        </w:rPr>
        <w:t xml:space="preserve">.</w:t>
      </w:r>
      <w:r w:rsidDel="00000000" w:rsidR="00000000" w:rsidRPr="00000000">
        <w:rPr>
          <w:sz w:val="16"/>
          <w:szCs w:val="16"/>
          <w:vertAlign w:val="baseline"/>
          <w:rtl w:val="0"/>
        </w:rPr>
        <w:tab/>
        <w:t xml:space="preserve">Belmont, CA: Wadsworth, 1993, pp. 123–135.</w:t>
      </w:r>
    </w:p>
    <w:p w:rsidR="00000000" w:rsidDel="00000000" w:rsidP="00000000" w:rsidRDefault="00000000" w:rsidRPr="00000000" w14:paraId="00000079">
      <w:pPr>
        <w:numPr>
          <w:ilvl w:val="0"/>
          <w:numId w:val="2"/>
        </w:numPr>
        <w:ind w:left="360" w:hanging="360"/>
        <w:rPr>
          <w:sz w:val="16"/>
          <w:szCs w:val="16"/>
        </w:rPr>
      </w:pPr>
      <w:r w:rsidDel="00000000" w:rsidR="00000000" w:rsidRPr="00000000">
        <w:rPr>
          <w:sz w:val="16"/>
          <w:szCs w:val="16"/>
          <w:vertAlign w:val="baseline"/>
          <w:rtl w:val="0"/>
        </w:rPr>
        <w:t xml:space="preserve">H. Poor, </w:t>
      </w:r>
      <w:r w:rsidDel="00000000" w:rsidR="00000000" w:rsidRPr="00000000">
        <w:rPr>
          <w:i w:val="1"/>
          <w:sz w:val="16"/>
          <w:szCs w:val="16"/>
          <w:vertAlign w:val="baseline"/>
          <w:rtl w:val="0"/>
        </w:rPr>
        <w:t xml:space="preserve">An Introduction to Signal Detection and Estimation</w:t>
      </w:r>
      <w:r w:rsidDel="00000000" w:rsidR="00000000" w:rsidRPr="00000000">
        <w:rPr>
          <w:sz w:val="16"/>
          <w:szCs w:val="16"/>
          <w:vertAlign w:val="baseline"/>
          <w:rtl w:val="0"/>
        </w:rPr>
        <w:t xml:space="preserve">.   New York: Springer-Verlag, 1985, ch. 4.</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Smith, “An approach to graphs of linear forms (Unpublished work style),” unpublished.</w:t>
      </w:r>
    </w:p>
    <w:p w:rsidR="00000000" w:rsidDel="00000000" w:rsidP="00000000" w:rsidRDefault="00000000" w:rsidRPr="00000000" w14:paraId="0000007B">
      <w:pPr>
        <w:numPr>
          <w:ilvl w:val="0"/>
          <w:numId w:val="2"/>
        </w:numPr>
        <w:ind w:left="360" w:hanging="360"/>
        <w:rPr>
          <w:sz w:val="16"/>
          <w:szCs w:val="16"/>
        </w:rPr>
      </w:pPr>
      <w:r w:rsidDel="00000000" w:rsidR="00000000" w:rsidRPr="00000000">
        <w:rPr>
          <w:sz w:val="16"/>
          <w:szCs w:val="16"/>
          <w:vertAlign w:val="baseline"/>
          <w:rtl w:val="0"/>
        </w:rPr>
        <w:t xml:space="preserve">E. H. Miller, “A note on reflector arrays (Periodical style—Accepted for publication),” </w:t>
      </w:r>
      <w:r w:rsidDel="00000000" w:rsidR="00000000" w:rsidRPr="00000000">
        <w:rPr>
          <w:i w:val="1"/>
          <w:sz w:val="16"/>
          <w:szCs w:val="16"/>
          <w:vertAlign w:val="baseline"/>
          <w:rtl w:val="0"/>
        </w:rPr>
        <w:t xml:space="preserve">IEEE Trans. Antennas Propagat.</w:t>
      </w:r>
      <w:r w:rsidDel="00000000" w:rsidR="00000000" w:rsidRPr="00000000">
        <w:rPr>
          <w:sz w:val="16"/>
          <w:szCs w:val="16"/>
          <w:vertAlign w:val="baseline"/>
          <w:rtl w:val="0"/>
        </w:rPr>
        <w:t xml:space="preserve">, to be published.</w:t>
      </w:r>
    </w:p>
    <w:p w:rsidR="00000000" w:rsidDel="00000000" w:rsidP="00000000" w:rsidRDefault="00000000" w:rsidRPr="00000000" w14:paraId="0000007C">
      <w:pPr>
        <w:numPr>
          <w:ilvl w:val="0"/>
          <w:numId w:val="2"/>
        </w:numPr>
        <w:ind w:left="360" w:hanging="360"/>
        <w:rPr>
          <w:sz w:val="16"/>
          <w:szCs w:val="16"/>
        </w:rPr>
      </w:pPr>
      <w:r w:rsidDel="00000000" w:rsidR="00000000" w:rsidRPr="00000000">
        <w:rPr>
          <w:sz w:val="16"/>
          <w:szCs w:val="16"/>
          <w:vertAlign w:val="baseline"/>
          <w:rtl w:val="0"/>
        </w:rPr>
        <w:t xml:space="preserve">J. Wang, “Fundamentals of erbium-doped fiber amplifiers arrays (Periodical style—Submitted for publication),” </w:t>
      </w:r>
      <w:r w:rsidDel="00000000" w:rsidR="00000000" w:rsidRPr="00000000">
        <w:rPr>
          <w:i w:val="1"/>
          <w:sz w:val="16"/>
          <w:szCs w:val="16"/>
          <w:vertAlign w:val="baseline"/>
          <w:rtl w:val="0"/>
        </w:rPr>
        <w:t xml:space="preserve">IEEE J. Quantum Electron.</w:t>
      </w:r>
      <w:r w:rsidDel="00000000" w:rsidR="00000000" w:rsidRPr="00000000">
        <w:rPr>
          <w:sz w:val="16"/>
          <w:szCs w:val="16"/>
          <w:vertAlign w:val="baseline"/>
          <w:rtl w:val="0"/>
        </w:rPr>
        <w:t xml:space="preserve">, submitted for publication.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J. Kaufman, Rocky Mountain Research Lab., Boulder, CO, private communication, May 1995.</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interfaces (Translation Journals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Transl. J. Magn.Jpn.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 Aug. 1987, pp. 740–741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Dig. 9</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Annu. Conf. Magnetics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Japan, 1982, p. 301].</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Techincal Writers Handbook.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Mill Valley, CA: University Science, 1989.</w:t>
      </w:r>
    </w:p>
    <w:p w:rsidR="00000000" w:rsidDel="00000000" w:rsidP="00000000" w:rsidRDefault="00000000" w:rsidRPr="00000000" w14:paraId="00000080">
      <w:pPr>
        <w:numPr>
          <w:ilvl w:val="0"/>
          <w:numId w:val="2"/>
        </w:numPr>
        <w:ind w:left="360" w:hanging="360"/>
        <w:rPr>
          <w:sz w:val="16"/>
          <w:szCs w:val="16"/>
        </w:rPr>
      </w:pPr>
      <w:r w:rsidDel="00000000" w:rsidR="00000000" w:rsidRPr="00000000">
        <w:rPr>
          <w:sz w:val="16"/>
          <w:szCs w:val="16"/>
          <w:vertAlign w:val="baseline"/>
          <w:rtl w:val="0"/>
        </w:rPr>
        <w:t xml:space="preserve">J. U. Duncombe, “Infrared navigation—Part I: An assessment of feasibility (Periodical style),” </w:t>
      </w:r>
      <w:r w:rsidDel="00000000" w:rsidR="00000000" w:rsidRPr="00000000">
        <w:rPr>
          <w:i w:val="1"/>
          <w:sz w:val="16"/>
          <w:szCs w:val="16"/>
          <w:vertAlign w:val="baseline"/>
          <w:rtl w:val="0"/>
        </w:rPr>
        <w:t xml:space="preserve">IEEE Trans. Electron Devices</w:t>
      </w:r>
      <w:r w:rsidDel="00000000" w:rsidR="00000000" w:rsidRPr="00000000">
        <w:rPr>
          <w:sz w:val="16"/>
          <w:szCs w:val="16"/>
          <w:vertAlign w:val="baseline"/>
          <w:rtl w:val="0"/>
        </w:rPr>
        <w:t xml:space="preserve">, vol. ED-11, pp. 34–39, Jan. 1959.</w:t>
      </w:r>
    </w:p>
    <w:p w:rsidR="00000000" w:rsidDel="00000000" w:rsidP="00000000" w:rsidRDefault="00000000" w:rsidRPr="00000000" w14:paraId="00000081">
      <w:pPr>
        <w:numPr>
          <w:ilvl w:val="0"/>
          <w:numId w:val="2"/>
        </w:numPr>
        <w:ind w:left="360" w:hanging="360"/>
        <w:rPr>
          <w:sz w:val="16"/>
          <w:szCs w:val="16"/>
        </w:rPr>
      </w:pPr>
      <w:r w:rsidDel="00000000" w:rsidR="00000000" w:rsidRPr="00000000">
        <w:rPr>
          <w:sz w:val="16"/>
          <w:szCs w:val="16"/>
          <w:vertAlign w:val="baseline"/>
          <w:rtl w:val="0"/>
        </w:rPr>
        <w:tab/>
        <w:t xml:space="preserve">S. Chen, B. Mulgrew, and P. M. Grant, “A clustering technique for digital communications channel equalization using radial basis function networks,” </w:t>
      </w:r>
      <w:r w:rsidDel="00000000" w:rsidR="00000000" w:rsidRPr="00000000">
        <w:rPr>
          <w:i w:val="1"/>
          <w:sz w:val="16"/>
          <w:szCs w:val="16"/>
          <w:vertAlign w:val="baseline"/>
          <w:rtl w:val="0"/>
        </w:rPr>
        <w:t xml:space="preserve">IEEE Trans. Neural Networks</w:t>
      </w:r>
      <w:r w:rsidDel="00000000" w:rsidR="00000000" w:rsidRPr="00000000">
        <w:rPr>
          <w:sz w:val="16"/>
          <w:szCs w:val="16"/>
          <w:vertAlign w:val="baseline"/>
          <w:rtl w:val="0"/>
        </w:rPr>
        <w:t xml:space="preserve">, vol. 4, pp. 570–578, Jul. 1993.</w:t>
      </w:r>
    </w:p>
    <w:p w:rsidR="00000000" w:rsidDel="00000000" w:rsidP="00000000" w:rsidRDefault="00000000" w:rsidRPr="00000000" w14:paraId="00000082">
      <w:pPr>
        <w:numPr>
          <w:ilvl w:val="0"/>
          <w:numId w:val="2"/>
        </w:numPr>
        <w:ind w:left="360" w:hanging="360"/>
        <w:rPr>
          <w:sz w:val="16"/>
          <w:szCs w:val="16"/>
        </w:rPr>
      </w:pPr>
      <w:r w:rsidDel="00000000" w:rsidR="00000000" w:rsidRPr="00000000">
        <w:rPr>
          <w:sz w:val="16"/>
          <w:szCs w:val="16"/>
          <w:vertAlign w:val="baseline"/>
          <w:rtl w:val="0"/>
        </w:rPr>
        <w:t xml:space="preserve">R. W. Lucky, “Automatic equalization for digital communication,” </w:t>
      </w:r>
      <w:r w:rsidDel="00000000" w:rsidR="00000000" w:rsidRPr="00000000">
        <w:rPr>
          <w:i w:val="1"/>
          <w:sz w:val="16"/>
          <w:szCs w:val="16"/>
          <w:vertAlign w:val="baseline"/>
          <w:rtl w:val="0"/>
        </w:rPr>
        <w:t xml:space="preserve">Bell Syst. Tech. J.</w:t>
      </w:r>
      <w:r w:rsidDel="00000000" w:rsidR="00000000" w:rsidRPr="00000000">
        <w:rPr>
          <w:sz w:val="16"/>
          <w:szCs w:val="16"/>
          <w:vertAlign w:val="baseline"/>
          <w:rtl w:val="0"/>
        </w:rPr>
        <w:t xml:space="preserve">, vol. 44, no. 4, pp. 547–588, Apr. 1965.</w:t>
      </w:r>
    </w:p>
    <w:p w:rsidR="00000000" w:rsidDel="00000000" w:rsidP="00000000" w:rsidRDefault="00000000" w:rsidRPr="00000000" w14:paraId="00000083">
      <w:pPr>
        <w:numPr>
          <w:ilvl w:val="0"/>
          <w:numId w:val="2"/>
        </w:numPr>
        <w:ind w:left="360" w:hanging="360"/>
        <w:rPr>
          <w:sz w:val="16"/>
          <w:szCs w:val="16"/>
        </w:rPr>
      </w:pPr>
      <w:r w:rsidDel="00000000" w:rsidR="00000000" w:rsidRPr="00000000">
        <w:rPr>
          <w:sz w:val="16"/>
          <w:szCs w:val="16"/>
          <w:vertAlign w:val="baseline"/>
          <w:rtl w:val="0"/>
        </w:rPr>
        <w:t xml:space="preserve">S. P. Bingulac, “On the compatibility of adaptive controllers (Published Conference Proceedings style),” in </w:t>
      </w:r>
      <w:r w:rsidDel="00000000" w:rsidR="00000000" w:rsidRPr="00000000">
        <w:rPr>
          <w:i w:val="1"/>
          <w:sz w:val="16"/>
          <w:szCs w:val="16"/>
          <w:vertAlign w:val="baseline"/>
          <w:rtl w:val="0"/>
        </w:rPr>
        <w:t xml:space="preserve">Proc. 4th Annu. Allerton Conf. Circuits and Systems Theory</w:t>
      </w:r>
      <w:r w:rsidDel="00000000" w:rsidR="00000000" w:rsidRPr="00000000">
        <w:rPr>
          <w:sz w:val="16"/>
          <w:szCs w:val="16"/>
          <w:vertAlign w:val="baseline"/>
          <w:rtl w:val="0"/>
        </w:rPr>
        <w:t xml:space="preserve">, New York, 1994, pp. 8–16.</w:t>
      </w:r>
    </w:p>
    <w:p w:rsidR="00000000" w:rsidDel="00000000" w:rsidP="00000000" w:rsidRDefault="00000000" w:rsidRPr="00000000" w14:paraId="00000084">
      <w:pPr>
        <w:numPr>
          <w:ilvl w:val="0"/>
          <w:numId w:val="2"/>
        </w:numPr>
        <w:ind w:left="360" w:hanging="360"/>
        <w:rPr>
          <w:sz w:val="16"/>
          <w:szCs w:val="16"/>
        </w:rPr>
      </w:pPr>
      <w:r w:rsidDel="00000000" w:rsidR="00000000" w:rsidRPr="00000000">
        <w:rPr>
          <w:sz w:val="16"/>
          <w:szCs w:val="16"/>
          <w:vertAlign w:val="baseline"/>
          <w:rtl w:val="0"/>
        </w:rPr>
        <w:t xml:space="preserve">G. R. Faulhaber, “Design of service systems with priority reservation,” in </w:t>
      </w:r>
      <w:r w:rsidDel="00000000" w:rsidR="00000000" w:rsidRPr="00000000">
        <w:rPr>
          <w:i w:val="1"/>
          <w:sz w:val="16"/>
          <w:szCs w:val="16"/>
          <w:vertAlign w:val="baseline"/>
          <w:rtl w:val="0"/>
        </w:rPr>
        <w:t xml:space="preserve">Conf. Rec. 1995 IEEE Int. Conf. Communications,</w:t>
      </w:r>
      <w:r w:rsidDel="00000000" w:rsidR="00000000" w:rsidRPr="00000000">
        <w:rPr>
          <w:sz w:val="16"/>
          <w:szCs w:val="16"/>
          <w:vertAlign w:val="baseline"/>
          <w:rtl w:val="0"/>
        </w:rPr>
        <w:t xml:space="preserve"> pp. 3–8.</w:t>
      </w:r>
    </w:p>
    <w:p w:rsidR="00000000" w:rsidDel="00000000" w:rsidP="00000000" w:rsidRDefault="00000000" w:rsidRPr="00000000" w14:paraId="00000085">
      <w:pPr>
        <w:numPr>
          <w:ilvl w:val="0"/>
          <w:numId w:val="2"/>
        </w:numPr>
        <w:ind w:left="360" w:hanging="360"/>
        <w:rPr>
          <w:sz w:val="16"/>
          <w:szCs w:val="16"/>
        </w:rPr>
      </w:pPr>
      <w:r w:rsidDel="00000000" w:rsidR="00000000" w:rsidRPr="00000000">
        <w:rPr>
          <w:sz w:val="16"/>
          <w:szCs w:val="16"/>
          <w:vertAlign w:val="baseline"/>
          <w:rtl w:val="0"/>
        </w:rPr>
        <w:t xml:space="preserve">W. D. Doyle, “Magnetization reversal in films with biaxial anisotropy,” in </w:t>
      </w:r>
      <w:r w:rsidDel="00000000" w:rsidR="00000000" w:rsidRPr="00000000">
        <w:rPr>
          <w:i w:val="1"/>
          <w:sz w:val="16"/>
          <w:szCs w:val="16"/>
          <w:vertAlign w:val="baseline"/>
          <w:rtl w:val="0"/>
        </w:rPr>
        <w:t xml:space="preserve">1987 Proc. INTERMAG Conf.</w:t>
      </w:r>
      <w:r w:rsidDel="00000000" w:rsidR="00000000" w:rsidRPr="00000000">
        <w:rPr>
          <w:sz w:val="16"/>
          <w:szCs w:val="16"/>
          <w:vertAlign w:val="baseline"/>
          <w:rtl w:val="0"/>
        </w:rPr>
        <w:t xml:space="preserve">, pp. 2.2-1–2.2-6.</w:t>
      </w:r>
    </w:p>
    <w:p w:rsidR="00000000" w:rsidDel="00000000" w:rsidP="00000000" w:rsidRDefault="00000000" w:rsidRPr="00000000" w14:paraId="00000086">
      <w:pPr>
        <w:numPr>
          <w:ilvl w:val="0"/>
          <w:numId w:val="2"/>
        </w:numPr>
        <w:ind w:left="360" w:hanging="360"/>
        <w:rPr/>
      </w:pPr>
      <w:r w:rsidDel="00000000" w:rsidR="00000000" w:rsidRPr="00000000">
        <w:rPr>
          <w:sz w:val="16"/>
          <w:szCs w:val="16"/>
          <w:vertAlign w:val="baseline"/>
          <w:rtl w:val="0"/>
        </w:rPr>
        <w:t xml:space="preserve">G. W. Juette and L. E. Zeffanella, “Radio noise currents n short sections on bundle conductors (Presented Conference Paper style),” presented at the IEEE Summer power Meeting, Dallas, TX, Jun. 22–27, 1990, Paper 90 SM 690-0 PWRS.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G. Kreifeldt, “An analysis of surface-detected EMG as an amplitude-modulated noise,” presented at the 1989 Int. Conf. Medicine and Biological Engineering, Chicago, IL.</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Williams, “Narrow-band analyzer (Thesis or Dissertation style),” Ph.D. dissertation, Dept. Elect. Eng., Harvard Univ., Cambridge, MA, 1993. </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Kawasaki, “Parametric study of thermal and chemical nonequilibrium nozzle flow,” M.S. thesis, Dept. Electron. Eng., Osaka Univ., Osaka, Japan, 1993.</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 Wilkinson, “Nonlinear resonant circuit devices (Patent style),” U.S. Patent 3 624 12, July 16, 1990. </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Criteria for Class IE Electric Systems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(Standards style)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Standard 308, 1969.</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Letter Symbols for Quantities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ANSI Standard Y10.5-1968.</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Haskell and C. T. Case, “Transient signal propagation in lossless isotropic plasmas (Report style),” USAF Cambridge Res. Lab., Cambridge, MA Rep. ARCRL-66-234 (II), 1994, vol. 2.</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E. Reber, R. L. Michell, and C. J. Carter, “Oxygen absorption in the Earth’s atmosphere,” Aerospace Corp., Los Angeles, CA, Tech. Rep. TR-0200 (420-46)-3, Nov. 1988.</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(Handbook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Transmission Systems for Communications,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3rd ed., Western Electric Co., Winston-Salem, NC, 1985, pp. 44–60.</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Motorola Semiconductor Data Manual,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Semiconductor Products Inc., Phoenix, AZ, 1989.</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(Basic Book/Monograph Online Sources) J. K. Author. (year, month, day).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(edition) [Type of medium]. Volume (issue).</w:t>
        <w:tab/>
        <w:t xml:space="preserve"> Available: </w:t>
      </w:r>
      <w:hyperlink r:id="rId20">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Jones. (1991, May 10). Networks (2nd ed.) [Online]. Available: </w:t>
      </w:r>
      <w:hyperlink r:id="rId2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http://www.atm.com</w:t>
        </w:r>
      </w:hyperlink>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(Journal Online Sources style) K. Author. (year, month). Title.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[Type of medium]. Volume(issue), paging if given.</w:t>
        <w:tab/>
        <w:t xml:space="preserve">  Available: </w:t>
      </w:r>
      <w:hyperlink r:id="rId22">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http://www.(URL</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J. Vidmar. (1992, August). On the use of atmospheric plasmas as electromagnetic reflectors.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Plasma Sci.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[Online].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876–880.   Available: http://www.halcyon.com/pub/journals/21ps03-vidmar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First A. Author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headerReference r:id="rId23"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A. Author is with the National Institute of Standards and Technology, Boulder, CO 80305 USA (corresponding author to provide phone: 303-555-5555; fax: 303-555-5555; e-mail: author@ boulder.nist.gov).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B. Author, Jr., was with Rice University, Houston, TX 77005 USA. He is now with the Department of Physics, Colorado State University, Fort Collins, CO 80523 USA (e-mail: author@lamar.colostate.edu).</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 C. Author is with the Electrical Engineering Department, University of Colorado, Boulder, CO 80309 USA, on leave from the National Research Institute for Metals, Tsukuba, Japan (e-mail: author@nrim.go.jp).</w:t>
      </w:r>
    </w:p>
  </w:footnote>
  <w:footnote w:id="1">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 is recommended that footnotes be avoided (except for the unnumbered footnote with the receipt date on the first page). Instead, try to integrate the footnote information into the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ind w:right="360"/>
      <w:rPr/>
    </w:pPr>
    <w:r w:rsidDel="00000000" w:rsidR="00000000" w:rsidRPr="00000000">
      <w:rPr>
        <w:rtl w:val="0"/>
      </w:rPr>
      <w:t xml:space="preserve">18018699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http://www.adobe.com/support/downloads/" TargetMode="External"/><Relationship Id="rId22" Type="http://schemas.openxmlformats.org/officeDocument/2006/relationships/hyperlink" Target="about:blank" TargetMode="External"/><Relationship Id="rId10" Type="http://schemas.openxmlformats.org/officeDocument/2006/relationships/hyperlink" Target="http://www.adobe.com/support/downloads/pdrvwin.htm" TargetMode="External"/><Relationship Id="rId21" Type="http://schemas.openxmlformats.org/officeDocument/2006/relationships/hyperlink" Target="http://www.atm.com" TargetMode="External"/><Relationship Id="rId13" Type="http://schemas.openxmlformats.org/officeDocument/2006/relationships/hyperlink" Target="mailto:graphics@ieee.org" TargetMode="External"/><Relationship Id="rId12" Type="http://schemas.openxmlformats.org/officeDocument/2006/relationships/hyperlink" Target="http://graphicsqc.ieee.or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ieee.org/web/publications/authors/transjnl/index.html"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hyperlink" Target="http://www.ieee.org/copyright" TargetMode="External"/><Relationship Id="rId5" Type="http://schemas.openxmlformats.org/officeDocument/2006/relationships/numbering" Target="numbering.xml"/><Relationship Id="rId19" Type="http://schemas.openxmlformats.org/officeDocument/2006/relationships/hyperlink" Target="http://www.ieee.org/web/publications/authors/transjnl/index.html" TargetMode="Externa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yperlink" Target="mailto:keywords@ieee.org" TargetMode="External"/><Relationship Id="rId8"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