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9360"/>
      </w:tblGrid>
      <w:tr>
        <w:trPr>
          <w:trHeight w:val="12240" w:hRule="exact"/>
        </w:trPr>
        <w:tc>
          <w:tcPr>
            <w:tcW w:type="dxa" w:w="9360"/>
            <w:shd w:val="clear" w:color="auto" w:fill="0B0B0D"/>
          </w:tcPr>
          <w:p>
            <w:pPr>
              <w:spacing w:after="0"/>
            </w:pPr>
            <w:r/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E0BE72"/>
                <w:sz w:val="80"/>
              </w:rPr>
              <w:t>DarkSage</w:t>
            </w:r>
          </w:p>
          <w:p>
            <w:pPr>
              <w:spacing w:before="0" w:after="36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36"/>
              </w:rPr>
              <w:t>Software Requirements Specification</w:t>
            </w:r>
          </w:p>
          <w:p>
            <w:pPr>
              <w:spacing w:before="0" w:after="8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A7ABB3"/>
                <w:sz w:val="24"/>
              </w:rPr>
              <w:t>Version 0.7.0 — Draft</w:t>
            </w:r>
          </w:p>
          <w:p>
            <w:pPr>
              <w:spacing w:before="0" w:after="8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A7ABB3"/>
                <w:sz w:val="22"/>
              </w:rPr>
              <w:t>Owner: TheSinnerMan</w:t>
            </w:r>
          </w:p>
          <w:p>
            <w:pPr>
              <w:spacing w:before="0" w:after="48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A7ABB3"/>
                <w:sz w:val="22"/>
              </w:rPr>
              <w:t>Classification: Internal</w:t>
            </w:r>
          </w:p>
          <w:p>
            <w:pPr>
              <w:spacing w:before="0" w:after="720"/>
              <w:jc w:val="center"/>
            </w:pPr>
            <w:r>
              <w:rPr>
                <w:rFonts w:ascii="Arial" w:hAnsi="Arial"/>
                <w:b w:val="0"/>
                <w:i/>
                <w:color w:val="C8A45D"/>
                <w:sz w:val="28"/>
              </w:rPr>
              <w:t>Wisdom Over Noise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 w:val="0"/>
                <w:i w:val="0"/>
                <w:color w:val="A7ABB3"/>
                <w:sz w:val="18"/>
              </w:rPr>
              <w:t>Source repository: LightSwornPVP/DarkSage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 w:val="0"/>
                <w:i w:val="0"/>
                <w:color w:val="A7ABB3"/>
                <w:sz w:val="18"/>
              </w:rPr>
              <w:t>Source baseline commit: 8b5cf5bd0341d5d6f70c67302c8bce2069d0929a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 w:val="0"/>
                <w:i w:val="0"/>
                <w:color w:val="A7ABB3"/>
                <w:sz w:val="18"/>
              </w:rPr>
              <w:t>Generation date: 2026-07-25T16:51:31-04:00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 w:val="0"/>
                <w:i w:val="0"/>
                <w:color w:val="A7ABB3"/>
                <w:sz w:val="18"/>
              </w:rPr>
              <w:t>Document ID: DS-002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800" w:right="1440" w:bottom="1800" w:left="1440" w:header="720" w:footer="720" w:gutter="0"/>
          <w:cols w:space="720"/>
          <w:docGrid w:linePitch="360"/>
        </w:sectPr>
      </w:pP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color w:val="0B0B0D"/>
          <w:sz w:val="44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A2D33"/>
          <w:left w:val="single" w:sz="4" w:space="0" w:color="2A2D33"/>
          <w:bottom w:val="single" w:sz="4" w:space="0" w:color="2A2D33"/>
          <w:right w:val="single" w:sz="4" w:space="0" w:color="2A2D33"/>
          <w:insideH w:val="single" w:sz="4" w:space="0" w:color="2A2D33"/>
          <w:insideV w:val="single" w:sz="4" w:space="0" w:color="2A2D33"/>
        </w:tblBorders>
        <w:tblLayout w:type="fixed"/>
      </w:tblPr>
      <w:tblGrid>
        <w:gridCol w:w="2592"/>
        <w:gridCol w:w="6480"/>
      </w:tblGrid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DS-002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Title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Software Requirements Specification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0.7.0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Owner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TheSinnerMan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Classification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Internal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Repository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LightSwornPVP/DarkSage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Created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2026-07-23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Last Updated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2026-07-25</w:t>
            </w:r>
          </w:p>
        </w:tc>
      </w:tr>
    </w:tbl>
    <w:p>
      <w:pPr>
        <w:spacing w:after="120" w:line="288" w:lineRule="auto"/>
      </w:pPr>
      <w:r>
        <w:rPr>
          <w:rFonts w:ascii="Arial" w:hAnsi="Arial"/>
          <w:b w:val="0"/>
          <w:i w:val="0"/>
          <w:color w:val="A7ABB3"/>
          <w:sz w:val="17"/>
        </w:rPr>
        <w:t>Status lifecycle: Draft → Under Review → Approved → Superseded/Deprecated.</w:t>
      </w:r>
    </w:p>
    <w:p>
      <w:r>
        <w:br w:type="page"/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color w:val="0B0B0D"/>
          <w:sz w:val="44"/>
        </w:rPr>
        <w:t>Revision History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A2D33"/>
          <w:left w:val="single" w:sz="4" w:space="0" w:color="2A2D33"/>
          <w:bottom w:val="single" w:sz="4" w:space="0" w:color="2A2D33"/>
          <w:right w:val="single" w:sz="4" w:space="0" w:color="2A2D33"/>
          <w:insideH w:val="single" w:sz="4" w:space="0" w:color="2A2D33"/>
          <w:insideV w:val="single" w:sz="4" w:space="0" w:color="2A2D33"/>
        </w:tblBorders>
        <w:tblLayout w:type="fixed"/>
      </w:tblPr>
      <w:tblGrid>
        <w:gridCol w:w="1008"/>
        <w:gridCol w:w="1296"/>
        <w:gridCol w:w="2304"/>
        <w:gridCol w:w="4464"/>
      </w:tblGrid>
      <w:tr>
        <w:tc>
          <w:tcPr>
            <w:tcW w:type="dxa" w:w="1008"/>
            <w:shd w:val="clear" w:color="auto" w:fill="0B0B0D"/>
          </w:tcPr>
          <w:p>
            <w:r>
              <w:rPr>
                <w:rFonts w:ascii="Arial" w:hAnsi="Arial"/>
                <w:b/>
                <w:color w:val="E0BE72"/>
                <w:sz w:val="19"/>
              </w:rPr>
              <w:t>Version</w:t>
            </w:r>
          </w:p>
        </w:tc>
        <w:tc>
          <w:tcPr>
            <w:tcW w:type="dxa" w:w="1296"/>
            <w:shd w:val="clear" w:color="auto" w:fill="0B0B0D"/>
          </w:tcPr>
          <w:p>
            <w:r>
              <w:rPr>
                <w:rFonts w:ascii="Arial" w:hAnsi="Arial"/>
                <w:b/>
                <w:color w:val="E0BE72"/>
                <w:sz w:val="19"/>
              </w:rPr>
              <w:t>Date</w:t>
            </w:r>
          </w:p>
        </w:tc>
        <w:tc>
          <w:tcPr>
            <w:tcW w:type="dxa" w:w="2304"/>
            <w:shd w:val="clear" w:color="auto" w:fill="0B0B0D"/>
          </w:tcPr>
          <w:p>
            <w:r>
              <w:rPr>
                <w:rFonts w:ascii="Arial" w:hAnsi="Arial"/>
                <w:b/>
                <w:color w:val="E0BE72"/>
                <w:sz w:val="19"/>
              </w:rPr>
              <w:t>Author</w:t>
            </w:r>
          </w:p>
        </w:tc>
        <w:tc>
          <w:tcPr>
            <w:tcW w:type="dxa" w:w="4464"/>
            <w:shd w:val="clear" w:color="auto" w:fill="0B0B0D"/>
          </w:tcPr>
          <w:p>
            <w:r>
              <w:rPr>
                <w:rFonts w:ascii="Arial" w:hAnsi="Arial"/>
                <w:b/>
                <w:color w:val="E0BE72"/>
                <w:sz w:val="19"/>
              </w:rPr>
              <w:t>Summary</w:t>
            </w:r>
          </w:p>
        </w:tc>
      </w:tr>
      <w:tr>
        <w:tc>
          <w:tcPr>
            <w:tcW w:type="dxa" w:w="1008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0.7.0</w:t>
            </w:r>
          </w:p>
        </w:tc>
        <w:tc>
          <w:tcPr>
            <w:tcW w:type="dxa" w:w="1296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2026-07-25</w:t>
            </w:r>
          </w:p>
        </w:tc>
        <w:tc>
          <w:tcPr>
            <w:tcW w:type="dxa" w:w="230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TheSinnerMan / Keeper</w:t>
            </w:r>
          </w:p>
        </w:tc>
        <w:tc>
          <w:tcPr>
            <w:tcW w:type="dxa" w:w="446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Founder Vision Completion: reconciled confirmation and automation language; added research, journal/review, canonical trade-intelligence, live-chart, education, portfolio, strategy, and Discord requirements.</w:t>
            </w:r>
          </w:p>
        </w:tc>
      </w:tr>
      <w:tr>
        <w:tc>
          <w:tcPr>
            <w:tcW w:type="dxa" w:w="1008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0.1.0</w:t>
            </w:r>
          </w:p>
        </w:tc>
        <w:tc>
          <w:tcPr>
            <w:tcW w:type="dxa" w:w="1296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2026-07-23</w:t>
            </w:r>
          </w:p>
        </w:tc>
        <w:tc>
          <w:tcPr>
            <w:tcW w:type="dxa" w:w="230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TheSinnerMan</w:t>
            </w:r>
          </w:p>
        </w:tc>
        <w:tc>
          <w:tcPr>
            <w:tcW w:type="dxa" w:w="446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Document control scaffold created; no normative content.</w:t>
            </w:r>
          </w:p>
        </w:tc>
      </w:tr>
      <w:tr>
        <w:tc>
          <w:tcPr>
            <w:tcW w:type="dxa" w:w="1008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0.2.0</w:t>
            </w:r>
          </w:p>
        </w:tc>
        <w:tc>
          <w:tcPr>
            <w:tcW w:type="dxa" w:w="1296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2026-07-24</w:t>
            </w:r>
          </w:p>
        </w:tc>
        <w:tc>
          <w:tcPr>
            <w:tcW w:type="dxa" w:w="230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TheSinnerMan</w:t>
            </w:r>
          </w:p>
        </w:tc>
        <w:tc>
          <w:tcPr>
            <w:tcW w:type="dxa" w:w="446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First substantial controlled draft. Translates DS-001 and ADR-001–004 into requirement conventions, cross-cutting DS-PRD requirements, and an index of requirement family volumes under </w:t>
            </w:r>
            <w:r>
              <w:rPr>
                <w:rFonts w:ascii="Consolas" w:hAnsi="Consolas"/>
                <w:b w:val="0"/>
                <w:i w:val="0"/>
                <w:sz w:val="18"/>
              </w:rPr>
              <w:t>requirements/</w:t>
            </w:r>
            <w:r>
              <w:rPr>
                <w:rFonts w:ascii="Arial" w:hAnsi="Arial"/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1008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0.3.0</w:t>
            </w:r>
          </w:p>
        </w:tc>
        <w:tc>
          <w:tcPr>
            <w:tcW w:type="dxa" w:w="1296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2026-07-24</w:t>
            </w:r>
          </w:p>
        </w:tc>
        <w:tc>
          <w:tcPr>
            <w:tcW w:type="dxa" w:w="230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TheSinnerMan</w:t>
            </w:r>
          </w:p>
        </w:tc>
        <w:tc>
          <w:tcPr>
            <w:tcW w:type="dxa" w:w="446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Repair pass addressing independent audit findings DS-002-H01 through H05: corrected the Sage/Risk Engine boundary wording (DS-RSK-001) to permit read/evidence access while preserving the bypass/override prohibition; reclassified 47 unsupported Committed/MVP requirements to Planned after auditing each against DS-001/ADR traceability (Committed/MVP count: 71 → 38 → 35 after a further dependency-consistency pass); resolved Committed-depends-on-Planned inconsistencies by reclassifying the dependent requirements rather than promoting Planned features; clarified undefined market/asset acceptance boundaries as Owner Decision-pending rather than silently delegated to DS-004; added the DS-EDU (Trading Knowledge &amp; Education) requirement family to close a DS-001 §19.2 coverage gap. No MVP scope was invented; the asset-class/product-boundary decision remains an explicit open Owner Decision (Appendix A).</w:t>
            </w:r>
          </w:p>
        </w:tc>
      </w:tr>
      <w:tr>
        <w:tc>
          <w:tcPr>
            <w:tcW w:type="dxa" w:w="1008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0.4.0</w:t>
            </w:r>
          </w:p>
        </w:tc>
        <w:tc>
          <w:tcPr>
            <w:tcW w:type="dxa" w:w="1296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2026-07-24</w:t>
            </w:r>
          </w:p>
        </w:tc>
        <w:tc>
          <w:tcPr>
            <w:tcW w:type="dxa" w:w="230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TheSinnerMan</w:t>
            </w:r>
          </w:p>
        </w:tc>
        <w:tc>
          <w:tcPr>
            <w:tcW w:type="dxa" w:w="446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Reconciliation pass. Discovered that this repository already contains a mature, pre-existing engineering specification at the root level (</w:t>
            </w:r>
            <w:r>
              <w:rPr>
                <w:rFonts w:ascii="Consolas" w:hAnsi="Consolas"/>
                <w:b w:val="0"/>
                <w:i w:val="0"/>
                <w:sz w:val="18"/>
              </w:rPr>
              <w:t>PROJECT_SPEC.md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ARCHITECTURE.md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ROADMAP.md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TRADING_RULES.md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SECURITY_RULES.md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AGENTS.md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) which the DS-002-H02 repair had not consulted as an "authoritative controlled source." Re-elevated 9 requirements from Planned to Committed/MVP where </w:t>
            </w:r>
            <w:r>
              <w:rPr>
                <w:rFonts w:ascii="Consolas" w:hAnsi="Consolas"/>
                <w:b w:val="0"/>
                <w:i w:val="0"/>
                <w:sz w:val="18"/>
              </w:rPr>
              <w:t>ROADMAP.md</w:t>
            </w:r>
            <w:r>
              <w:rPr>
                <w:rFonts w:ascii="Arial" w:hAnsi="Arial"/>
                <w:b w:val="0"/>
                <w:i w:val="0"/>
                <w:sz w:val="19"/>
              </w:rPr>
              <w:t>'s explicit Phase 1 scope supports it (</w:t>
            </w:r>
            <w:r>
              <w:rPr>
                <w:rFonts w:ascii="Consolas" w:hAnsi="Consolas"/>
                <w:b w:val="0"/>
                <w:i w:val="0"/>
                <w:sz w:val="18"/>
              </w:rPr>
              <w:t>DS-MKT-002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DS-DAT-003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DS-CHT-001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DS-CHT-002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DS-SCN-001/002/003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DS-RSK-002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DS-WKS-001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), each with a Governing Source citation. Updated Appendix A: the MVP asset-class question is now substantially answered (S&amp;P 500 equities first, per </w:t>
            </w:r>
            <w:r>
              <w:rPr>
                <w:rFonts w:ascii="Consolas" w:hAnsi="Consolas"/>
                <w:b w:val="0"/>
                <w:i w:val="0"/>
                <w:sz w:val="18"/>
              </w:rPr>
              <w:t>PROJECT_SPEC.md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§1/§5) rather than fully open. Recorded, but did not attempt to close in this pass, a materially incomplete requirement-family gap: this document has no coverage for the Signal System, the canonical TradeValidationPipeline, Strategy Performance Intelligence, the Mobile client, or Auto-Trader/Execution architecture — all of which are already specified in the root-level documents and should become dedicated requirement families in a future revision. Committed/MVP count: 35 → 44 of 87.</w:t>
            </w:r>
          </w:p>
        </w:tc>
      </w:tr>
      <w:tr>
        <w:tc>
          <w:tcPr>
            <w:tcW w:type="dxa" w:w="1008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0.5.0</w:t>
            </w:r>
          </w:p>
        </w:tc>
        <w:tc>
          <w:tcPr>
            <w:tcW w:type="dxa" w:w="1296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2026-07-24</w:t>
            </w:r>
          </w:p>
        </w:tc>
        <w:tc>
          <w:tcPr>
            <w:tcW w:type="dxa" w:w="230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TheSinnerMan</w:t>
            </w:r>
          </w:p>
        </w:tc>
        <w:tc>
          <w:tcPr>
            <w:tcW w:type="dxa" w:w="446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Repair pass addressing independent audit findings DS-002-A01 through A04. </w:t>
            </w:r>
            <w:r>
              <w:rPr>
                <w:rFonts w:ascii="Arial" w:hAnsi="Arial"/>
                <w:b/>
                <w:i w:val="0"/>
                <w:sz w:val="19"/>
              </w:rPr>
              <w:t>A01: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reclassified </w:t>
            </w:r>
            <w:r>
              <w:rPr>
                <w:rFonts w:ascii="Consolas" w:hAnsi="Consolas"/>
                <w:b w:val="0"/>
                <w:i w:val="0"/>
                <w:sz w:val="18"/>
              </w:rPr>
              <w:t>DS-AI-001..007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from Committed/MVP to Planned — Sage itself is </w:t>
            </w:r>
            <w:r>
              <w:rPr>
                <w:rFonts w:ascii="Consolas" w:hAnsi="Consolas"/>
                <w:b w:val="0"/>
                <w:i w:val="0"/>
                <w:sz w:val="18"/>
              </w:rPr>
              <w:t>ROADMAP.md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Phase 6, not Phase 1; the underlying safety/authority constraints remain governed unconditionally by DS-PRD-001/002/003/004/005/006/007/008/009/011 regardless of this family's phase. </w:t>
            </w:r>
            <w:r>
              <w:rPr>
                <w:rFonts w:ascii="Arial" w:hAnsi="Arial"/>
                <w:b/>
                <w:i w:val="0"/>
                <w:sz w:val="19"/>
              </w:rPr>
              <w:t>A02: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narrowed </w:t>
            </w:r>
            <w:r>
              <w:rPr>
                <w:rFonts w:ascii="Consolas" w:hAnsi="Consolas"/>
                <w:b w:val="0"/>
                <w:i w:val="0"/>
                <w:sz w:val="18"/>
              </w:rPr>
              <w:t>DS-DAT-003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to its genuine Phase-1 scope (Candle/Quote/Signal identity only), moving the watchlist/position-continuity behavior to a Future Enhancements note tied to those features' own (Planned) classification, removing the prior hard dependency on Planned functionality. </w:t>
            </w:r>
            <w:r>
              <w:rPr>
                <w:rFonts w:ascii="Arial" w:hAnsi="Arial"/>
                <w:b/>
                <w:i w:val="0"/>
                <w:sz w:val="19"/>
              </w:rPr>
              <w:t>A03: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added four new requirement families closing a real completeness gap — </w:t>
            </w:r>
            <w:r>
              <w:rPr>
                <w:rFonts w:ascii="Consolas" w:hAnsi="Consolas"/>
                <w:b w:val="0"/>
                <w:i w:val="0"/>
                <w:sz w:val="18"/>
              </w:rPr>
              <w:t>DS-SIG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(Signal System), </w:t>
            </w:r>
            <w:r>
              <w:rPr>
                <w:rFonts w:ascii="Consolas" w:hAnsi="Consolas"/>
                <w:b w:val="0"/>
                <w:i w:val="0"/>
                <w:sz w:val="18"/>
              </w:rPr>
              <w:t>DS-EXE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(Execution, Auto-Trader &amp; Broker — including the product-level TradeValidationPipeline boundary and a Committed live-trading gate), </w:t>
            </w:r>
            <w:r>
              <w:rPr>
                <w:rFonts w:ascii="Consolas" w:hAnsi="Consolas"/>
                <w:b w:val="0"/>
                <w:i w:val="0"/>
                <w:sz w:val="18"/>
              </w:rPr>
              <w:t>DS-PERF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(Strategy Performance Intelligence), </w:t>
            </w:r>
            <w:r>
              <w:rPr>
                <w:rFonts w:ascii="Consolas" w:hAnsi="Consolas"/>
                <w:b w:val="0"/>
                <w:i w:val="0"/>
                <w:sz w:val="18"/>
              </w:rPr>
              <w:t>DS-MOB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(Mobile Client) — each requirement source-traced to </w:t>
            </w:r>
            <w:r>
              <w:rPr>
                <w:rFonts w:ascii="Consolas" w:hAnsi="Consolas"/>
                <w:b w:val="0"/>
                <w:i w:val="0"/>
                <w:sz w:val="18"/>
              </w:rPr>
              <w:t>ARCHITECTURE.md</w:t>
            </w:r>
            <w:r>
              <w:rPr>
                <w:rFonts w:ascii="Arial" w:hAnsi="Arial"/>
                <w:b w:val="0"/>
                <w:i w:val="0"/>
                <w:sz w:val="19"/>
              </w:rPr>
              <w:t>/</w:t>
            </w:r>
            <w:r>
              <w:rPr>
                <w:rFonts w:ascii="Consolas" w:hAnsi="Consolas"/>
                <w:b w:val="0"/>
                <w:i w:val="0"/>
                <w:sz w:val="18"/>
              </w:rPr>
              <w:t>PROJECT_SPEC.md</w:t>
            </w:r>
            <w:r>
              <w:rPr>
                <w:rFonts w:ascii="Arial" w:hAnsi="Arial"/>
                <w:b w:val="0"/>
                <w:i w:val="0"/>
                <w:sz w:val="19"/>
              </w:rPr>
              <w:t>/</w:t>
            </w:r>
            <w:r>
              <w:rPr>
                <w:rFonts w:ascii="Consolas" w:hAnsi="Consolas"/>
                <w:b w:val="0"/>
                <w:i w:val="0"/>
                <w:sz w:val="18"/>
              </w:rPr>
              <w:t>ROADMAP.md</w:t>
            </w:r>
            <w:r>
              <w:rPr>
                <w:rFonts w:ascii="Arial" w:hAnsi="Arial"/>
                <w:b w:val="0"/>
                <w:i w:val="0"/>
                <w:sz w:val="19"/>
              </w:rPr>
              <w:t>/</w:t>
            </w:r>
            <w:r>
              <w:rPr>
                <w:rFonts w:ascii="Consolas" w:hAnsi="Consolas"/>
                <w:b w:val="0"/>
                <w:i w:val="0"/>
                <w:sz w:val="18"/>
              </w:rPr>
              <w:t>TRADING_RULES.md</w:t>
            </w:r>
            <w:r>
              <w:rPr>
                <w:rFonts w:ascii="Arial" w:hAnsi="Arial"/>
                <w:b w:val="0"/>
                <w:i w:val="0"/>
                <w:sz w:val="19"/>
              </w:rPr>
              <w:t>/</w:t>
            </w:r>
            <w:r>
              <w:rPr>
                <w:rFonts w:ascii="Consolas" w:hAnsi="Consolas"/>
                <w:b w:val="0"/>
                <w:i w:val="0"/>
                <w:sz w:val="18"/>
              </w:rPr>
              <w:t>SECURITY_RULES.md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and phase-classified accordingly. </w:t>
            </w:r>
            <w:r>
              <w:rPr>
                <w:rFonts w:ascii="Arial" w:hAnsi="Arial"/>
                <w:b/>
                <w:i w:val="0"/>
                <w:sz w:val="19"/>
              </w:rPr>
              <w:t>A04: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defined controlled default numeric thresholds for </w:t>
            </w:r>
            <w:r>
              <w:rPr>
                <w:rFonts w:ascii="Consolas" w:hAnsi="Consolas"/>
                <w:b w:val="0"/>
                <w:i w:val="0"/>
                <w:sz w:val="18"/>
              </w:rPr>
              <w:t>DS-MKT-004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(staleness: 10s real-time / delay+60s delayed / 1hr post-close end-of-day) and </w:t>
            </w:r>
            <w:r>
              <w:rPr>
                <w:rFonts w:ascii="Consolas" w:hAnsi="Consolas"/>
                <w:b w:val="0"/>
                <w:i w:val="0"/>
                <w:sz w:val="18"/>
              </w:rPr>
              <w:t>DS-NFR-001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(startup: 10s cold / 3s warm, with a defined reference-hardware profile), making both testable now rather than deferred to DS-004. Also added cross-cutting </w:t>
            </w:r>
            <w:r>
              <w:rPr>
                <w:rFonts w:ascii="Consolas" w:hAnsi="Consolas"/>
                <w:b w:val="0"/>
                <w:i w:val="0"/>
                <w:sz w:val="18"/>
              </w:rPr>
              <w:t>DS-PRD-011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(AI Output Validation, Committed) closing the DS-003-A03 gap at the product level.</w:t>
            </w:r>
          </w:p>
        </w:tc>
      </w:tr>
      <w:tr>
        <w:tc>
          <w:tcPr>
            <w:tcW w:type="dxa" w:w="1008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0.6.0</w:t>
            </w:r>
          </w:p>
        </w:tc>
        <w:tc>
          <w:tcPr>
            <w:tcW w:type="dxa" w:w="1296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2026-07-24</w:t>
            </w:r>
          </w:p>
        </w:tc>
        <w:tc>
          <w:tcPr>
            <w:tcW w:type="dxa" w:w="230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TheSinnerMan</w:t>
            </w:r>
          </w:p>
        </w:tc>
        <w:tc>
          <w:tcPr>
            <w:tcW w:type="dxa" w:w="446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Repair pass addressing independent audit finding DS-002-RA01: the v0.5.0 A01 repair correctly reclassified </w:t>
            </w:r>
            <w:r>
              <w:rPr>
                <w:rFonts w:ascii="Consolas" w:hAnsi="Consolas"/>
                <w:b w:val="0"/>
                <w:i w:val="0"/>
                <w:sz w:val="18"/>
              </w:rPr>
              <w:t>DS-AI-001..007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to Planned but left three Committed requirements (</w:t>
            </w:r>
            <w:r>
              <w:rPr>
                <w:rFonts w:ascii="Consolas" w:hAnsi="Consolas"/>
                <w:b w:val="0"/>
                <w:i w:val="0"/>
                <w:sz w:val="18"/>
              </w:rPr>
              <w:t>DS-RSK-001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DS-OPS-001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DS-OPS-004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) with unqualified dependencies on the newly-Planned Sage requirements. Narrowed all three to their phase-appropriate, Sage-independent obligations, moving Sage-specific query/logging/degradation behavior to Future Enhancements notes. </w:t>
            </w:r>
            <w:r>
              <w:rPr>
                <w:rFonts w:ascii="Consolas" w:hAnsi="Consolas"/>
                <w:b w:val="0"/>
                <w:i w:val="0"/>
                <w:sz w:val="18"/>
              </w:rPr>
              <w:t>DS-AI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family remains Planned.</w:t>
            </w:r>
          </w:p>
        </w:tc>
      </w:tr>
    </w:tbl>
    <w:p>
      <w:r>
        <w:br w:type="page"/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color w:val="0B0B0D"/>
          <w:sz w:val="44"/>
        </w:rPr>
        <w:t>Table of Contents</w:t>
      </w:r>
    </w:p>
    <w:p>
      <w:r>
        <w:rPr>
          <w:i/>
          <w:color w:val="A7ABB3"/>
          <w:sz w:val="17"/>
        </w:rPr>
        <w:t>This Table of Contents is a Word/LibreOffice field. If it appears empty, select it and press F9 (or right-click → Update Field) to populate it from this document's own headings.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t>Right-click and choose Update Field to generate the Table of Contents.</w:t>
      </w:r>
      <w:r>
        <w:fldChar w:fldCharType="end"/>
      </w:r>
    </w:p>
    <w:p>
      <w:r>
        <w:br w:type="page"/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1. Purpose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 xml:space="preserve">DS-002 is the authoritative product and software requirements specification for DarkSage. It translates the philosophy, principles, and boundaries established in </w:t>
      </w:r>
      <w:r>
        <w:rPr>
          <w:rFonts w:ascii="Arial" w:hAnsi="Arial"/>
          <w:b w:val="0"/>
          <w:i w:val="0"/>
          <w:sz w:val="21"/>
        </w:rPr>
        <w:t>DS-001 — Executive Vision &amp; Product Foundation</w:t>
      </w:r>
      <w:r>
        <w:rPr>
          <w:rFonts w:ascii="Arial" w:hAnsi="Arial"/>
          <w:b w:val="0"/>
          <w:i w:val="0"/>
          <w:sz w:val="21"/>
        </w:rPr>
        <w:t xml:space="preserve"> into requirements that are unambiguous, testable, traceable, and consistent with the approved Architecture Decision Records.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DS-002 does not restate DS-001's philosophy. Where a requirement depends on a DS-001 principle, this document references it rather than re-deriving it.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2. Scope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This document governs: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the requirement conventions used across the DarkSage Codex's Volume II requirement family documents (ID scheme, normative language, release classification, priority);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cross-cutting product requirements that apply across multiple functional families (DS-PRD);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 xml:space="preserve">the index of requirement family documents held under </w:t>
      </w:r>
      <w:r>
        <w:rPr>
          <w:rFonts w:ascii="Consolas" w:hAnsi="Consolas"/>
          <w:b w:val="0"/>
          <w:i w:val="0"/>
          <w:sz w:val="20"/>
        </w:rPr>
        <w:t>docs/codex/Volume-02-Product/requirements/</w:t>
      </w:r>
      <w:r>
        <w:rPr>
          <w:rFonts w:ascii="Arial" w:hAnsi="Arial"/>
          <w:b w:val="0"/>
          <w:i w:val="0"/>
          <w:sz w:val="21"/>
        </w:rPr>
        <w:t>;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target user/persona classification at the requirements level;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product-level non-goals and boundaries; and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open product-requirements questions that remain genuinely unresolved.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DS-002 does not govern detailed Sage reasoning/evidence/memory behavior (DS-003), technical architecture (DS-004), database design (DS-005), API contracts (DS-006), UI/UX system detail (DS-007), security architecture (DS-008), testing/QA procedure (DS-009), development standards (DS-010), roadmap sequencing (DS-011), or individual ADRs (DS-012). DS-002 requirements may reference those volumes but do not substitute for them.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3. Audience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Product owners, engineering contributors, independent auditors, and future Codex authors who need an authoritative, testable statement of what DarkSage shall, should, or may do at the product/software level.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4. Definitions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See DS-001 §24 (Glossary) for foundational terms (DarkSage, Sage, User Authority, Deterministic Financial Truth, Presentation Independence, Workspace Studio, Trading Knowledge Engine). Additional terms used specifically in DS-002: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A2D33"/>
          <w:left w:val="single" w:sz="4" w:space="0" w:color="2A2D33"/>
          <w:bottom w:val="single" w:sz="4" w:space="0" w:color="2A2D33"/>
          <w:right w:val="single" w:sz="4" w:space="0" w:color="2A2D33"/>
          <w:insideH w:val="single" w:sz="4" w:space="0" w:color="2A2D33"/>
          <w:insideV w:val="single" w:sz="4" w:space="0" w:color="2A2D33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Term</w:t>
            </w:r>
          </w:p>
        </w:tc>
        <w:tc>
          <w:tcPr>
            <w:tcW w:type="dxa" w:w="468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Meaning</w:t>
            </w:r>
          </w:p>
        </w:tc>
      </w:tr>
      <w:tr>
        <w:tc>
          <w:tcPr>
            <w:tcW w:type="dxa" w:w="468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Requirement family</w:t>
            </w:r>
          </w:p>
        </w:tc>
        <w:tc>
          <w:tcPr>
            <w:tcW w:type="dxa" w:w="468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A grouped set of related requirements sharing an ID prefix (e.g., </w:t>
            </w:r>
            <w:r>
              <w:rPr>
                <w:rFonts w:ascii="Consolas" w:hAnsi="Consolas"/>
                <w:b w:val="0"/>
                <w:i w:val="0"/>
                <w:sz w:val="18"/>
              </w:rPr>
              <w:t>DS-MKT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), held in its own file under </w:t>
            </w:r>
            <w:r>
              <w:rPr>
                <w:rFonts w:ascii="Consolas" w:hAnsi="Consolas"/>
                <w:b w:val="0"/>
                <w:i w:val="0"/>
                <w:sz w:val="18"/>
              </w:rPr>
              <w:t>requirements/</w:t>
            </w:r>
          </w:p>
        </w:tc>
      </w:tr>
      <w:tr>
        <w:tc>
          <w:tcPr>
            <w:tcW w:type="dxa" w:w="468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Cross-cutting requirement</w:t>
            </w:r>
          </w:p>
        </w:tc>
        <w:tc>
          <w:tcPr>
            <w:tcW w:type="dxa" w:w="468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A requirement whose obligation applies across more than one requirement family; recorded under the </w:t>
            </w:r>
            <w:r>
              <w:rPr>
                <w:rFonts w:ascii="Consolas" w:hAnsi="Consolas"/>
                <w:b w:val="0"/>
                <w:i w:val="0"/>
                <w:sz w:val="18"/>
              </w:rPr>
              <w:t>DS-PRD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prefix in this document</w:t>
            </w:r>
          </w:p>
        </w:tc>
      </w:tr>
      <w:tr>
        <w:tc>
          <w:tcPr>
            <w:tcW w:type="dxa" w:w="468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Committed / MVP</w:t>
            </w:r>
          </w:p>
        </w:tc>
        <w:tc>
          <w:tcPr>
            <w:tcW w:type="dxa" w:w="468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A requirement approved for the current minimum viable product scope</w:t>
            </w:r>
          </w:p>
        </w:tc>
      </w:tr>
      <w:tr>
        <w:tc>
          <w:tcPr>
            <w:tcW w:type="dxa" w:w="468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Planned</w:t>
            </w:r>
          </w:p>
        </w:tc>
        <w:tc>
          <w:tcPr>
            <w:tcW w:type="dxa" w:w="468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A requirement approved in direction but not committed to the current MVP scope or sequencing</w:t>
            </w:r>
          </w:p>
        </w:tc>
      </w:tr>
      <w:tr>
        <w:tc>
          <w:tcPr>
            <w:tcW w:type="dxa" w:w="468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Future / Exploratory</w:t>
            </w:r>
          </w:p>
        </w:tc>
        <w:tc>
          <w:tcPr>
            <w:tcW w:type="dxa" w:w="468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A non-binding requirement expressing direction only; requires its own future approval before becoming Committed or Planned</w:t>
            </w:r>
          </w:p>
        </w:tc>
      </w:tr>
      <w:tr>
        <w:tc>
          <w:tcPr>
            <w:tcW w:type="dxa" w:w="468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Material</w:t>
            </w:r>
          </w:p>
        </w:tc>
        <w:tc>
          <w:tcPr>
            <w:tcW w:type="dxa" w:w="468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Financially, analytically, or safety significant enough that an omission or error could mislead a user's decision (used consistently with DS-001 §8.4, §13)</w:t>
            </w:r>
          </w:p>
        </w:tc>
      </w:tr>
    </w:tbl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5. Requirement Conventions and Classification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5.1 Requirement ID Scheme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 xml:space="preserve">Requirement IDs follow </w:t>
      </w:r>
      <w:r>
        <w:rPr>
          <w:rFonts w:ascii="Consolas" w:hAnsi="Consolas"/>
          <w:b w:val="0"/>
          <w:i w:val="0"/>
          <w:sz w:val="20"/>
        </w:rPr>
        <w:t>DS-&lt;DOMAIN&gt;-NNN</w:t>
      </w:r>
      <w:r>
        <w:rPr>
          <w:rFonts w:ascii="Arial" w:hAnsi="Arial"/>
          <w:b w:val="0"/>
          <w:i w:val="0"/>
          <w:sz w:val="21"/>
        </w:rPr>
        <w:t xml:space="preserve"> per </w:t>
      </w:r>
      <w:r>
        <w:rPr>
          <w:rFonts w:ascii="Consolas" w:hAnsi="Consolas"/>
          <w:b w:val="0"/>
          <w:i w:val="0"/>
          <w:sz w:val="20"/>
        </w:rPr>
        <w:t>docs/standards/NAMING_AND_ID_STANDARD.md</w:t>
      </w:r>
      <w:r>
        <w:rPr>
          <w:rFonts w:ascii="Arial" w:hAnsi="Arial"/>
          <w:b w:val="0"/>
          <w:i w:val="0"/>
          <w:sz w:val="21"/>
        </w:rPr>
        <w:t xml:space="preserve">, e.g. </w:t>
      </w:r>
      <w:r>
        <w:rPr>
          <w:rFonts w:ascii="Consolas" w:hAnsi="Consolas"/>
          <w:b w:val="0"/>
          <w:i w:val="0"/>
          <w:sz w:val="20"/>
        </w:rPr>
        <w:t>DS-RSK-001</w:t>
      </w:r>
      <w:r>
        <w:rPr>
          <w:rFonts w:ascii="Arial" w:hAnsi="Arial"/>
          <w:b w:val="0"/>
          <w:i w:val="0"/>
          <w:sz w:val="21"/>
        </w:rPr>
        <w:t xml:space="preserve">. </w:t>
      </w:r>
      <w:r>
        <w:rPr>
          <w:rFonts w:ascii="Consolas" w:hAnsi="Consolas"/>
          <w:b w:val="0"/>
          <w:i w:val="0"/>
          <w:sz w:val="20"/>
        </w:rPr>
        <w:t>NNN</w:t>
      </w:r>
      <w:r>
        <w:rPr>
          <w:rFonts w:ascii="Arial" w:hAnsi="Arial"/>
          <w:b w:val="0"/>
          <w:i w:val="0"/>
          <w:sz w:val="21"/>
        </w:rPr>
        <w:t xml:space="preserve"> is a zero-padded, monotonically increasing integer within its domain family, assigned in authoring order and never reused after removal (a removed requirement's ID is marked Withdrawn, not recycled).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5.2 Normative Language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 xml:space="preserve">Per </w:t>
      </w:r>
      <w:r>
        <w:rPr>
          <w:rFonts w:ascii="Consolas" w:hAnsi="Consolas"/>
          <w:b w:val="0"/>
          <w:i w:val="0"/>
          <w:sz w:val="20"/>
        </w:rPr>
        <w:t>docs/standards/DOCUMENTATION_STANDARD.md</w:t>
      </w:r>
      <w:r>
        <w:rPr>
          <w:rFonts w:ascii="Arial" w:hAnsi="Arial"/>
          <w:b w:val="0"/>
          <w:i w:val="0"/>
          <w:sz w:val="21"/>
        </w:rPr>
        <w:t xml:space="preserve"> §6: </w:t>
      </w:r>
      <w:r>
        <w:rPr>
          <w:rFonts w:ascii="Arial" w:hAnsi="Arial"/>
          <w:b/>
          <w:i w:val="0"/>
          <w:sz w:val="21"/>
        </w:rPr>
        <w:t>shall</w:t>
      </w:r>
      <w:r>
        <w:rPr>
          <w:rFonts w:ascii="Arial" w:hAnsi="Arial"/>
          <w:b w:val="0"/>
          <w:i w:val="0"/>
          <w:sz w:val="21"/>
        </w:rPr>
        <w:t xml:space="preserve"> denotes a mandatory requirement; </w:t>
      </w:r>
      <w:r>
        <w:rPr>
          <w:rFonts w:ascii="Arial" w:hAnsi="Arial"/>
          <w:b/>
          <w:i w:val="0"/>
          <w:sz w:val="21"/>
        </w:rPr>
        <w:t>should</w:t>
      </w:r>
      <w:r>
        <w:rPr>
          <w:rFonts w:ascii="Arial" w:hAnsi="Arial"/>
          <w:b w:val="0"/>
          <w:i w:val="0"/>
          <w:sz w:val="21"/>
        </w:rPr>
        <w:t xml:space="preserve"> denotes a strong recommendation with permitted, justified exceptions; </w:t>
      </w:r>
      <w:r>
        <w:rPr>
          <w:rFonts w:ascii="Arial" w:hAnsi="Arial"/>
          <w:b/>
          <w:i w:val="0"/>
          <w:sz w:val="21"/>
        </w:rPr>
        <w:t>may</w:t>
      </w:r>
      <w:r>
        <w:rPr>
          <w:rFonts w:ascii="Arial" w:hAnsi="Arial"/>
          <w:b w:val="0"/>
          <w:i w:val="0"/>
          <w:sz w:val="21"/>
        </w:rPr>
        <w:t xml:space="preserve"> denotes a permitted option. Every requirement's Description uses exactly one of these terms for its core obligation.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5.3 Release Classification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Every requirement carries exactly one Release Classification: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Committed / MVP</w:t>
      </w:r>
      <w:r>
        <w:rPr>
          <w:rFonts w:ascii="Arial" w:hAnsi="Arial"/>
          <w:b w:val="0"/>
          <w:i w:val="0"/>
          <w:sz w:val="21"/>
        </w:rPr>
        <w:t xml:space="preserve"> — approved for the current minimum viable product. Implementation-ready once dependent architecture exists.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8A6013"/>
          <w:sz w:val="21"/>
        </w:rPr>
        <w:t>Planned</w:t>
      </w:r>
      <w:r>
        <w:rPr>
          <w:rFonts w:ascii="Arial" w:hAnsi="Arial"/>
          <w:b w:val="0"/>
          <w:i w:val="0"/>
          <w:sz w:val="21"/>
        </w:rPr>
        <w:t xml:space="preserve"> — approved direction, not yet committed to current MVP scope or sequencing. Becomes Committed only through an explicit roadmap decision (DS-011) or owner/Keeper approval, not by silent reinterpretation.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Future / Exploratory</w:t>
      </w:r>
      <w:r>
        <w:rPr>
          <w:rFonts w:ascii="Arial" w:hAnsi="Arial"/>
          <w:b w:val="0"/>
          <w:i w:val="0"/>
          <w:sz w:val="21"/>
        </w:rPr>
        <w:t xml:space="preserve"> — non-binding aspiration consistent with DS-001 §22. Requires future dedicated requirements, risk review, and architecture approval before it may become Planned or Committed.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Committed/MVP eligibility test (established in the DS-002-H02 repair pass):</w:t>
      </w:r>
      <w:r>
        <w:rPr>
          <w:rFonts w:ascii="Arial" w:hAnsi="Arial"/>
          <w:b w:val="0"/>
          <w:i w:val="0"/>
          <w:sz w:val="21"/>
        </w:rPr>
        <w:t xml:space="preserve"> a requirement may be classified Committed/MVP only if it is traceable to (a) a DS-001 section explicitly marked FOUNDATIONAL PRINCIPLE, (b) an approved ADR (ADR-001–004), or (c) bare technical or safety necessity without which an already-Committed item would be meaningless (e.g., the application must be able to start at all). Direction-only language in DS-001 (sections marked CURRENT PRODUCT DIRECTION, or plain "may"/"should"/"over time" phrasing) does not by itself support a Committed/MVP classification — such items default to Planned until an explicit owner MVP-scope decision promotes them. This is a conservative, non-inventive default: it removes unsupported commitment claims without deciding the MVP on the owner's behalf.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5.4 Priority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Priority (Critical / High / Medium / Low) indicates severity of harm or value loss if unmet, independent of Release Classification. A Committed/MVP requirement is typically Critical or High; a Planned or Future/Exploratory requirement may carry any priority to indicate its eventual importance once committed.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5.5 Requirement Fields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 xml:space="preserve">Each material requirement in a family document states: ID, Title, Priority, Release Classification, Status, Purpose, Description, Dependencies, Acceptance Criteria, Edge Cases, Implementation Notes, Testing, and (where applicable) Future Enhancements. Fields follow </w:t>
      </w:r>
      <w:r>
        <w:rPr>
          <w:rFonts w:ascii="Consolas" w:hAnsi="Consolas"/>
          <w:b w:val="0"/>
          <w:i w:val="0"/>
          <w:sz w:val="20"/>
        </w:rPr>
        <w:t>docs/templates/markdown/Requirement.md</w:t>
      </w:r>
      <w:r>
        <w:rPr>
          <w:rFonts w:ascii="Arial" w:hAnsi="Arial"/>
          <w:b w:val="0"/>
          <w:i w:val="0"/>
          <w:sz w:val="21"/>
        </w:rPr>
        <w:t xml:space="preserve">; DS-002 extends that template with Purpose, Release Classification, Implementation Notes, and Future Enhancements to satisfy this authoring pass's quality bar. Full five-stage traceability (Requirement → Design/ADR → Source → Test → Release/Change) is recorded in </w:t>
      </w:r>
      <w:r>
        <w:rPr>
          <w:rFonts w:ascii="Consolas" w:hAnsi="Consolas"/>
          <w:b w:val="0"/>
          <w:i w:val="0"/>
          <w:sz w:val="20"/>
        </w:rPr>
        <w:t>docs/traceability/TRACEABILITY_MATRIX.csv</w:t>
      </w:r>
      <w:r>
        <w:rPr>
          <w:rFonts w:ascii="Arial" w:hAnsi="Arial"/>
          <w:b w:val="0"/>
          <w:i w:val="0"/>
          <w:sz w:val="21"/>
        </w:rPr>
        <w:t xml:space="preserve"> as Source/Test/Release links become available; at this drafting stage, Dependencies records the Design/ADR link and Source/Test/Release remain Pending.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6. Cross-Cutting Product Requirements (DS-PRD)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The following requirements apply across multiple requirement families and are recorded once here rather than duplicated per family. Family documents reference these by ID instead of restating them.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DS-PRD-001 — Model Independence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Priority:</w:t>
      </w:r>
      <w:r>
        <w:rPr>
          <w:rFonts w:ascii="Arial" w:hAnsi="Arial"/>
          <w:b w:val="0"/>
          <w:i w:val="0"/>
          <w:sz w:val="21"/>
        </w:rPr>
        <w:t xml:space="preserve"> Critical | </w:t>
      </w: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Draft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Prevent DarkSage's core product capability from becoming architecturally dependent on a single AI/model vendor or model family, preserving the platform's ability to change providers, add local models, or degrade gracefully.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DarkSage core product capability shall not depend architecturally on one AI/model vendor or model family unless explicitly approved by an ADR. Sage-facing functionality shall be defined in terms of capability contracts (reasoning, synthesis, explanation) rather than a specific vendor API.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Dependencies:</w:t>
      </w:r>
      <w:r>
        <w:rPr>
          <w:rFonts w:ascii="Arial" w:hAnsi="Arial"/>
          <w:b w:val="0"/>
          <w:i w:val="0"/>
          <w:sz w:val="21"/>
        </w:rPr>
        <w:t xml:space="preserve"> DS-001 §12, §21; DS-AI (Sage requirement family)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No Committed/MVP requirement names a specific external AI vendor as a mandatory, non-substitutable dependency.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Where a provider is used in the current implementation, an abstraction boundary is documented in DS-004/DS-AI such that a substitute provider could be integrated without rewriting product-level requirements.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Any exception (a requirement that does mandate a specific vendor) is recorded through an ADR, not silently assumed.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Edge Cases: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 capability that is genuinely only available from one vendor today (e.g., a novel model feature) is recorded as a time-bound implementation note, not a permanent architectural dependency.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Local/offline model operation, if unavailable at a given time, degrades per DS-AI failure-behavior requirements rather than blocking the product.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Implementation Notes:</w:t>
      </w:r>
      <w:r>
        <w:rPr>
          <w:rFonts w:ascii="Arial" w:hAnsi="Arial"/>
          <w:b w:val="0"/>
          <w:i w:val="0"/>
          <w:sz w:val="21"/>
        </w:rPr>
        <w:t xml:space="preserve"> Detailed provider-abstraction architecture belongs to DS-004; this requirement constrains product-level requirements-writing, not implementation detail.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Requirements review — reject any new Committed/MVP requirement that hard-codes a vendor without an accompanying ADR.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DS-PRD-002 — Evidence Provenance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Priority:</w:t>
      </w:r>
      <w:r>
        <w:rPr>
          <w:rFonts w:ascii="Arial" w:hAnsi="Arial"/>
          <w:b w:val="0"/>
          <w:i w:val="0"/>
          <w:sz w:val="21"/>
        </w:rPr>
        <w:t xml:space="preserve"> High | </w:t>
      </w: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Draft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Allow users and auditors to trace a material Sage conclusion back to what produced it.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Material Sage conclusions shall, where technically feasible, be traceable to the contributing evidence, calculations, model outputs, and timestamps that produced them.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Dependencies:</w:t>
      </w:r>
      <w:r>
        <w:rPr>
          <w:rFonts w:ascii="Arial" w:hAnsi="Arial"/>
          <w:b w:val="0"/>
          <w:i w:val="0"/>
          <w:sz w:val="21"/>
        </w:rPr>
        <w:t xml:space="preserve"> DS-001 §8.2, §15; DS-AI; DS-MKT; DS-RSK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 material conclusion (one that could materially affect a user's decision) exposes, on request, its contributing evidence items and their timestamps.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Deterministic calculation outputs referenced by a conclusion identify the calculation and its inputs, not only the result.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Where provenance cannot be captured (e.g., a third-party black-box signal), the conclusion discloses that limitation rather than presenting the evidence as fully traceable.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Edge Cases: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Evidence that has since changed or expired is shown with its original timestamp, not silently updated to appear current.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Conflicting evidence sources are both disclosed rather than one being silently discarded.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Implementation Notes:</w:t>
      </w:r>
      <w:r>
        <w:rPr>
          <w:rFonts w:ascii="Arial" w:hAnsi="Arial"/>
          <w:b w:val="0"/>
          <w:i w:val="0"/>
          <w:sz w:val="21"/>
        </w:rPr>
        <w:t xml:space="preserve"> "Where technically feasible" acknowledges that some third-party inputs may arrive without full provenance; DS-AI defines minimum disclosure obligations for such cases.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Evidence-trace inspection test per material Sage conclusion type; verify timestamp and source fields are present and accurate.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DS-PRD-003 — Presentation Independence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Priority:</w:t>
      </w:r>
      <w:r>
        <w:rPr>
          <w:rFonts w:ascii="Arial" w:hAnsi="Arial"/>
          <w:b w:val="0"/>
          <w:i w:val="0"/>
          <w:sz w:val="21"/>
        </w:rPr>
        <w:t xml:space="preserve"> Critical | </w:t>
      </w: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Draft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Guarantee that workspace customization never silently changes what the system is capable of, per ADR-004.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Hiding, moving, removing, or rearranging UI widgets shall not silently disable enabled system capability or Sage's access to enabled evidence.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Dependencies:</w:t>
      </w:r>
      <w:r>
        <w:rPr>
          <w:rFonts w:ascii="Arial" w:hAnsi="Arial"/>
          <w:b w:val="0"/>
          <w:i w:val="0"/>
          <w:sz w:val="21"/>
        </w:rPr>
        <w:t xml:space="preserve"> DS-001 §16; ADR-004; DS-WKS; DS-AI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Removing a widget from a workspace layout does not change the set of data sources, calculations, or evidence available to Sage or to other enabled widgets.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Capability state (what is enabled) and presentation state (what is visible) are stored and evaluated independently.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 capability change (enable/disable) always requires an explicit, attributable user or administrative action distinct from a layout edit.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Edge Cases: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 xml:space="preserve">A widget that is the </w:t>
      </w:r>
      <w:r>
        <w:rPr>
          <w:rFonts w:ascii="Arial" w:hAnsi="Arial"/>
          <w:b w:val="0"/>
          <w:i/>
          <w:sz w:val="21"/>
        </w:rPr>
        <w:t>only</w:t>
      </w:r>
      <w:r>
        <w:rPr>
          <w:rFonts w:ascii="Arial" w:hAnsi="Arial"/>
          <w:b w:val="0"/>
          <w:i w:val="0"/>
          <w:sz w:val="21"/>
        </w:rPr>
        <w:t xml:space="preserve"> current UI surface for a capability may still be hidden; the capability itself (e.g., underlying data feed) remains enabled and available to Sage even with no visible surface.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Restoring a previously hidden widget shall not require re-enabling any capability — the capability was never disabled.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Implementation Notes:</w:t>
      </w:r>
      <w:r>
        <w:rPr>
          <w:rFonts w:ascii="Arial" w:hAnsi="Arial"/>
          <w:b w:val="0"/>
          <w:i w:val="0"/>
          <w:sz w:val="21"/>
        </w:rPr>
        <w:t xml:space="preserve"> Enforced architecturally per DS-004; DS-002 states the product-level obligation and its testability.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Regression test: hide/remove each MVP widget in turn and confirm no change in Sage evidence availability or calculation results.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DS-PRD-004 — Deterministic Financial Truth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Priority:</w:t>
      </w:r>
      <w:r>
        <w:rPr>
          <w:rFonts w:ascii="Arial" w:hAnsi="Arial"/>
          <w:b w:val="0"/>
          <w:i w:val="0"/>
          <w:sz w:val="21"/>
        </w:rPr>
        <w:t xml:space="preserve"> Critical | </w:t>
      </w: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Draft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Ensure users never receive a materially wrong number because a generative model, rather than a deterministic implementation, produced it.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Material financial calculations shall use deterministic, testable implementations as the authoritative source; generative AI output shall not be used as the authoritative source for a material financial calculation.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Dependencies:</w:t>
      </w:r>
      <w:r>
        <w:rPr>
          <w:rFonts w:ascii="Arial" w:hAnsi="Arial"/>
          <w:b w:val="0"/>
          <w:i w:val="0"/>
          <w:sz w:val="21"/>
        </w:rPr>
        <w:t xml:space="preserve"> DS-001 §9, §11 (Constitution #6), §21; ADR-003; DS-RSK; DS-BKT; DS-PRT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Every material financial figure presented to a user (position value, P/L, risk metric, backtest statistic) traces to a deterministic calculation implementation, not to a language-model completion.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Given identical inputs, a material financial calculation produces identical output across repeated runs (determinism is verifiable by test).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Sage may explain, summarize, or contextualize a deterministic result; Sage's explanation is never substituted as the number itself.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Edge Cases: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 calculation with an inherently probabilistic model component (e.g., a Monte Carlo scenario) discloses its stochastic nature and seed/methodology; it is not presented as a single deterministic fact unless the presented figure (e.g., a percentile) is itself deterministically reproducible from stored inputs.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If a deterministic calculation is unavailable (e.g., missing data), the system reports the gap rather than allowing a generative estimate to fill it silently.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Implementation Notes:</w:t>
      </w:r>
      <w:r>
        <w:rPr>
          <w:rFonts w:ascii="Arial" w:hAnsi="Arial"/>
          <w:b w:val="0"/>
          <w:i w:val="0"/>
          <w:sz w:val="21"/>
        </w:rPr>
        <w:t xml:space="preserve"> DS-RSK defines the Risk Engine's authority over risk-calculation determinism; DS-BKT defines backtest determinism; DS-004 defines the calculation-engine architecture.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Deterministic-output regression suite: fixed input fixtures must reproduce identical output byte-for-byte (or within defined floating-point tolerance) across runs and across code versions unless the calculation itself changed (with a recorded change entry).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DS-PRD-005 — User Decision Authority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Priority:</w:t>
      </w:r>
      <w:r>
        <w:rPr>
          <w:rFonts w:ascii="Arial" w:hAnsi="Arial"/>
          <w:b w:val="0"/>
          <w:i w:val="0"/>
          <w:sz w:val="21"/>
        </w:rPr>
        <w:t xml:space="preserve"> Critical | </w:t>
      </w: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Draft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Preserve the user as the final decision-maker for consequential actions.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Sage may recommend, explain, compare, prepare, and warn, but the user shall retain authority over consequential investment, trading, and automation actions. User authority may be exercised either through a distinct per-action confirmation or through explicit prior activation of a bounded automation policy with defined permissions, limits, and emergency controls.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Dependencies:</w:t>
      </w:r>
      <w:r>
        <w:rPr>
          <w:rFonts w:ascii="Arial" w:hAnsi="Arial"/>
          <w:b w:val="0"/>
          <w:i w:val="0"/>
          <w:sz w:val="21"/>
        </w:rPr>
        <w:t xml:space="preserve"> DS-001 §8.3, §11 (Constitution #1, #7), §12; DS-AI; DS-RSK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Sage never directly executes a consequential action. A consequential action proceeds only through either (a) a distinct, attributable user confirmation or (b) a previously confirmed, bounded automation policy whose permissions, limits, and current state are visible and auditable.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Recommendation language is distinguishable from confirmed-action language in the UI and in Sage's own output (e.g., "I recommend..." vs. an executed state).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Users can decline, question, or ignore a Sage recommendation without being blocked from proceeding with their own decision, subject only to Risk Engine controls (DS-PRD-006).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Edge Cases: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 user who repeatedly overrides Sage's warnings is not silently rate-limited or degraded in future capability as a consequence; friction, if any, must be explicit and disclosed.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Bulk or automated user-configured actions (e.g., a saved rule the user explicitly enabled) are distinguished from unrequested autonomous Sage action.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Implementation Notes:</w:t>
      </w:r>
      <w:r>
        <w:rPr>
          <w:rFonts w:ascii="Arial" w:hAnsi="Arial"/>
          <w:b w:val="0"/>
          <w:i w:val="0"/>
          <w:sz w:val="21"/>
        </w:rPr>
        <w:t xml:space="preserve"> Detailed Sage behavioral boundaries belong to DS-003.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UI/behavioral tests confirm that consequential actions require either an attributable per-action confirmation or an active, previously confirmed automation policy; Sage never serves as the confirming or executing authority.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DS-PRD-006 — Risk Engine Authority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Priority:</w:t>
      </w:r>
      <w:r>
        <w:rPr>
          <w:rFonts w:ascii="Arial" w:hAnsi="Arial"/>
          <w:b w:val="0"/>
          <w:i w:val="0"/>
          <w:sz w:val="21"/>
        </w:rPr>
        <w:t xml:space="preserve"> Critical | </w:t>
      </w: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Draft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Guarantee that risk controls remain enforceable independent of Sage, per ADR-002.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Sage shall not bypass or silently override Guardian / Risk Engine rules. Risk Engine determinations shall remain independently enforceable regardless of Sage's output.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Dependencies:</w:t>
      </w:r>
      <w:r>
        <w:rPr>
          <w:rFonts w:ascii="Arial" w:hAnsi="Arial"/>
          <w:b w:val="0"/>
          <w:i w:val="0"/>
          <w:sz w:val="21"/>
        </w:rPr>
        <w:t xml:space="preserve"> DS-001 §13; ADR-002; DS-RSK; DS-AI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 Risk Engine block or limit cannot be circumvented by a Sage-issued instruction, prompt, or generated output.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Sage's own output surfaces a Risk Engine block/limit when relevant rather than concealing or reinterpreting it.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Any change to a Risk Engine rule requires an explicit, attributable user or administrative action through a defined risk-configuration surface, not a Sage side effect.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Edge Cases: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If Sage and the Risk Engine disagree (e.g., Sage suggests an action the Risk Engine would block), the disagreement is surfaced to the user rather than silently resolved in Sage's favor.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Risk Engine unavailability (e.g., service degradation) shall not be treated as an implicit "allow" — see DS-RSK for fail-safe behavior.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Implementation Notes:</w:t>
      </w:r>
      <w:r>
        <w:rPr>
          <w:rFonts w:ascii="Arial" w:hAnsi="Arial"/>
          <w:b w:val="0"/>
          <w:i w:val="0"/>
          <w:sz w:val="21"/>
        </w:rPr>
        <w:t xml:space="preserve"> DS-RSK defines the Risk Engine's calculation and enforcement requirements; DS-004/DS-008 define architectural/security enforcement of this boundary.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Adversarial test: attempt to have Sage instruct or narrate around a known Risk Engine limit; confirm the limit still applies and the attempt is logged.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DS-PRD-007 — No Unapproved Autonomous Trading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Priority:</w:t>
      </w:r>
      <w:r>
        <w:rPr>
          <w:rFonts w:ascii="Arial" w:hAnsi="Arial"/>
          <w:b w:val="0"/>
          <w:i w:val="0"/>
          <w:sz w:val="21"/>
        </w:rPr>
        <w:t xml:space="preserve"> Critical | </w:t>
      </w: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Draft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Prevent unapproved execution authority while preserving Founder-approved bounded automation modes.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DarkSage shall not permit unapproved, self-escalating, or Sage-directed autonomous execution. Unattended execution is permitted only within a separately defined automation mode that the user explicitly activates and that remains bounded by deterministic strategy logic, permissions, exposure limits, buying-power checks, market-condition checks, execution validation, broker controls, auditability, and emergency-stop behavior.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Dependencies:</w:t>
      </w:r>
      <w:r>
        <w:rPr>
          <w:rFonts w:ascii="Arial" w:hAnsi="Arial"/>
          <w:b w:val="0"/>
          <w:i w:val="0"/>
          <w:sz w:val="21"/>
        </w:rPr>
        <w:t xml:space="preserve"> DS-001 §13, §26.5; DS-RSK; DS-STR; DS-EXE; ADR-002; ADR-005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Advisory Only and Confirmation Required modes never place an order without the required user action.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Full-Auto Paper may operate unattended only after explicit activation and remains clearly simulated.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Restricted Full-Auto Live remains unavailable until its dedicated release gates, independent security review, broker permissions, risk controls, reconciliation, and operational readiness requirements are satisfied.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Sage cannot directly submit, approve, modify, cancel, or route an order; approved deterministic services perform those actions through the canonical validation pipeline.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The active automation mode, scope, limits, and emergency controls are always visible and auditable.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Edge Cases: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Disabling, expiring, or invalidating an automation policy stops new order creation fail-closed.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An alert, Discord message, Sage conversation, or external-channel reaction is notification-only unless a future remote-control design is separately approved with strong authentication and explicit authority.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Implementation Notes:</w:t>
      </w:r>
      <w:r>
        <w:rPr>
          <w:rFonts w:ascii="Arial" w:hAnsi="Arial"/>
          <w:b w:val="0"/>
          <w:i w:val="0"/>
          <w:sz w:val="21"/>
        </w:rPr>
        <w:t xml:space="preserve"> DS-EXE owns detailed automation-mode behavior. ADR-005 records the durable five-mode decision.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Mode-matrix tests verify allowed and forbidden actions for every automation state, including restart, stale data, provider outage, policy expiry, and emergency-stop transitions.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DS-PRD-008 — Data State Visibility (Freshness, Delay, History, Simulation)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Priority:</w:t>
      </w:r>
      <w:r>
        <w:rPr>
          <w:rFonts w:ascii="Arial" w:hAnsi="Arial"/>
          <w:b w:val="0"/>
          <w:i w:val="0"/>
          <w:sz w:val="21"/>
        </w:rPr>
        <w:t xml:space="preserve"> High | </w:t>
      </w: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Draft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Prevent a user from mistaking stale, delayed, historical, or simulated data for current live data.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Users and Sage shall be able to distinguish stale, delayed, historical, simulated, and current data wherever that distinction is material to a decision.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Dependencies:</w:t>
      </w:r>
      <w:r>
        <w:rPr>
          <w:rFonts w:ascii="Arial" w:hAnsi="Arial"/>
          <w:b w:val="0"/>
          <w:i w:val="0"/>
          <w:sz w:val="21"/>
        </w:rPr>
        <w:t xml:space="preserve"> DS-001 §19; DS-MKT; DS-BKT; DS-AI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Every material data value displayed carries a discoverable state indicator (current / delayed / stale / historical / simulated) and, where applicable, a timestamp.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Sage's narrative output referencing a data value states its state/timestamp when the state is anything other than current.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Backtest and simulated output is visually and textually distinguishable from live data in every surface it appears.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Edge Cases: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 data feed that silently stops updating is surfaced as stale after a defined staleness threshold (see DS-MKT), not left showing a last-known value indistinguishable from current.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Mixed-state views (some symbols current, some delayed) label each item individually rather than applying one blanket label to the view.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Implementation Notes:</w:t>
      </w:r>
      <w:r>
        <w:rPr>
          <w:rFonts w:ascii="Arial" w:hAnsi="Arial"/>
          <w:b w:val="0"/>
          <w:i w:val="0"/>
          <w:sz w:val="21"/>
        </w:rPr>
        <w:t xml:space="preserve"> Staleness thresholds and per-feed definitions belong to DS-MKT.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Feed-interruption simulation test verifying stale/delayed indicators appear within the defined threshold window.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DS-PRD-009 — Uncertainty Communication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Priority:</w:t>
      </w:r>
      <w:r>
        <w:rPr>
          <w:rFonts w:ascii="Arial" w:hAnsi="Arial"/>
          <w:b w:val="0"/>
          <w:i w:val="0"/>
          <w:sz w:val="21"/>
        </w:rPr>
        <w:t xml:space="preserve"> High | </w:t>
      </w: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Draft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Prevent probabilistic output from being mistaken for guaranteed fact.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Probabilistic or model-generated forecasts shall not be represented as deterministic future facts.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Dependencies:</w:t>
      </w:r>
      <w:r>
        <w:rPr>
          <w:rFonts w:ascii="Arial" w:hAnsi="Arial"/>
          <w:b w:val="0"/>
          <w:i w:val="0"/>
          <w:sz w:val="21"/>
        </w:rPr>
        <w:t xml:space="preserve"> DS-001 §8.4, §13, §15; DS-AI; DS-RSK; DS-BKT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Any forward-looking, probability-based, or model-generated statement (forecast, scenario probability, scored ranking) is labeled as such in the surface where it appears, not presented with the same visual/textual authority as an observed historical fact.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Confidence or uncertainty is communicated using consistent, defined language or scale, not ad hoc wording that varies by feature.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Backtest results are never presented as a guarantee of future performance (explicit disclosure required per DS-BKT).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Edge Cases: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 high-confidence model output is still labeled as a model output; confidence level does not upgrade a forecast to a "fact" presentation.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Absence of sufficient evidence is communicated as "uncertain / insufficient evidence," not silently omitted or defaulted to a neutral-looking value.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Implementation Notes:</w:t>
      </w:r>
      <w:r>
        <w:rPr>
          <w:rFonts w:ascii="Arial" w:hAnsi="Arial"/>
          <w:b w:val="0"/>
          <w:i w:val="0"/>
          <w:sz w:val="21"/>
        </w:rPr>
        <w:t xml:space="preserve"> A shared confidence/uncertainty vocabulary is defined once (DS-AI) and reused across families rather than redefined per feature.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Content-review test across all forecast/score-producing surfaces confirming presence of an uncertainty label and absence of guarantee language.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DS-PRD-010 — Application Startup and Session Initialization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Priority:</w:t>
      </w:r>
      <w:r>
        <w:rPr>
          <w:rFonts w:ascii="Arial" w:hAnsi="Arial"/>
          <w:b w:val="0"/>
          <w:i w:val="0"/>
          <w:sz w:val="21"/>
        </w:rPr>
        <w:t xml:space="preserve"> High | </w:t>
      </w: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Draft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Ensure the application reaches a usable, trustworthy state predictably on launch.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DarkSage shall initialize to a usable workspace state on startup, communicating the status of required local and external dependencies (data feeds, local storage, configured integrations) before presenting data as current.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Dependencies:</w:t>
      </w:r>
      <w:r>
        <w:rPr>
          <w:rFonts w:ascii="Arial" w:hAnsi="Arial"/>
          <w:b w:val="0"/>
          <w:i w:val="0"/>
          <w:sz w:val="21"/>
        </w:rPr>
        <w:t xml:space="preserve"> DS-USR (onboarding); DS-WKS (saved layout restore); DS-MKT (feed status); DS-OPS (startup logging)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On a normal launch, the application reaches a usable state within a startup budget defined in DS-NFR-001 — restoring prior workspace state where layout persistence exists (DS-WKS-003, Planned pending that feature's implementation), or presenting a default view otherwise.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If a required dependency (e.g., local data store) fails to initialize, the user is shown an understandable error rather than a silently degraded or misleading UI.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Data displayed immediately after startup is marked with its actual state (see DS-PRD-008) until freshness is confirmed.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Edge Cases: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First-run startup with no saved layout or prior configuration routes to onboarding (DS-USR) rather than an empty/broken workspace.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Startup while offline succeeds in a degraded mode per DS-OPS rather than blocking entirely, where local-only capability remains usable.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Implementation Notes:</w:t>
      </w:r>
      <w:r>
        <w:rPr>
          <w:rFonts w:ascii="Arial" w:hAnsi="Arial"/>
          <w:b w:val="0"/>
          <w:i w:val="0"/>
          <w:sz w:val="21"/>
        </w:rPr>
        <w:t xml:space="preserve"> Startup performance targets are defined once in DS-NFR and referenced here rather than duplicated.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Cold-start test (clean profile), warm-start test (existing profile), and offline-start test, each verifying correct state communication.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DS-PRD-011 — AI Output Validation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Priority:</w:t>
      </w:r>
      <w:r>
        <w:rPr>
          <w:rFonts w:ascii="Arial" w:hAnsi="Arial"/>
          <w:b w:val="0"/>
          <w:i w:val="0"/>
          <w:sz w:val="21"/>
        </w:rPr>
        <w:t xml:space="preserve"> Critical | </w:t>
      </w: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Status:</w:t>
      </w:r>
      <w:r>
        <w:rPr>
          <w:rFonts w:ascii="Arial" w:hAnsi="Arial"/>
          <w:b w:val="0"/>
          <w:i w:val="0"/>
          <w:sz w:val="21"/>
        </w:rPr>
        <w:t xml:space="preserve"> Draft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Close a gap identified in the DS-003-A03 audit finding: </w:t>
      </w:r>
      <w:r>
        <w:rPr>
          <w:rFonts w:ascii="Consolas" w:hAnsi="Consolas"/>
          <w:b w:val="0"/>
          <w:i w:val="0"/>
          <w:sz w:val="20"/>
        </w:rPr>
        <w:t>SECURITY_RULES.md</w:t>
      </w:r>
      <w:r>
        <w:rPr>
          <w:rFonts w:ascii="Arial" w:hAnsi="Arial"/>
          <w:b w:val="0"/>
          <w:i w:val="0"/>
          <w:sz w:val="21"/>
        </w:rPr>
        <w:t xml:space="preserve"> treats all AI output as untrusted input requiring validation, but no DS-002 cross-cutting requirement stated this. This is a safety guardrail that applies the moment any AI feature exists, regardless of that feature's own phase/classification — the same reasoning as DS-PRD-006/007.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Structured output produced by any AI provider (local or cloud, any vendor) shall be validated before any application use or state transition; AI output shall never directly execute shell commands, modify security settings, submit broker orders, change live credentials, or override risk controls. Validation shall fail closed (reject/ignore the output) when validation cannot be completed with confidence.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Dependencies: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SECURITY_RULES.md</w:t>
      </w:r>
      <w:r>
        <w:rPr>
          <w:rFonts w:ascii="Arial" w:hAnsi="Arial"/>
          <w:b w:val="0"/>
          <w:i w:val="0"/>
          <w:sz w:val="21"/>
        </w:rPr>
        <w:t xml:space="preserve"> "AI Output Is Untrusted Input"; DS-PRD-001, DS-PRD-004, DS-PRD-006, DS-PRD-007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No code path applies raw AI output to a security-sensitive or trading-sensitive state transition without a validation step in between.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 validation failure results in the output being rejected/ignored (fail closed), not applied with a warning.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This requirement applies to every AI feature regardless of that feature's own Release Classification (e.g., it already governs the Planned DS-AI/DS-SGE families now, before they are built).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Edge Cases: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AI output that is itself just conversational text (no state transition) is not blocked by this requirement — it applies to output that would drive an action or a security-relevant state change.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Implementation Notes:</w:t>
      </w:r>
      <w:r>
        <w:rPr>
          <w:rFonts w:ascii="Arial" w:hAnsi="Arial"/>
          <w:b w:val="0"/>
          <w:i w:val="0"/>
          <w:sz w:val="21"/>
        </w:rPr>
        <w:t xml:space="preserve"> DS-004/DS-008 concern for the validation-layer architecture.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Adversarial test: craft AI output attempting a disallowed action (e.g., embedded shell-command-like text, a fabricated "override risk controls" instruction) and confirm it is rejected before reaching any sensitive code path.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7. Requirement Family Index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 xml:space="preserve">Detailed functional requirements are held in per-family documents under </w:t>
      </w:r>
      <w:r>
        <w:rPr>
          <w:rFonts w:ascii="Consolas" w:hAnsi="Consolas"/>
          <w:b w:val="0"/>
          <w:i w:val="0"/>
          <w:sz w:val="20"/>
        </w:rPr>
        <w:t>docs/codex/Volume-02-Product/requirements/</w:t>
      </w:r>
      <w:r>
        <w:rPr>
          <w:rFonts w:ascii="Arial" w:hAnsi="Arial"/>
          <w:b w:val="0"/>
          <w:i w:val="0"/>
          <w:sz w:val="21"/>
        </w:rPr>
        <w:t>. This index is authoritative for which families exist and their scope boundary; the family documents are authoritative for their own requirement content.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A2D33"/>
          <w:left w:val="single" w:sz="4" w:space="0" w:color="2A2D33"/>
          <w:bottom w:val="single" w:sz="4" w:space="0" w:color="2A2D33"/>
          <w:right w:val="single" w:sz="4" w:space="0" w:color="2A2D33"/>
          <w:insideH w:val="single" w:sz="4" w:space="0" w:color="2A2D33"/>
          <w:insideV w:val="single" w:sz="4" w:space="0" w:color="2A2D33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Prefix</w:t>
            </w:r>
          </w:p>
        </w:tc>
        <w:tc>
          <w:tcPr>
            <w:tcW w:type="dxa" w:w="23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Family</w:t>
            </w:r>
          </w:p>
        </w:tc>
        <w:tc>
          <w:tcPr>
            <w:tcW w:type="dxa" w:w="23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File</w:t>
            </w:r>
          </w:p>
        </w:tc>
        <w:tc>
          <w:tcPr>
            <w:tcW w:type="dxa" w:w="23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Summary Scope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DS-PRD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Product/Platform Behavior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(this document, §6)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Cross-cutting product mandates; application startup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DS-USR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Users, Personas &amp; Onboarding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requirements/DS-USR-Users-and-Onboarding.md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Onboarding, user preferences, terminology mode, capability-based personas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DS-WKS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Workspace Studio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requirements/DS-WKS-Workspace-Studio.md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Configurable workspaces, drag/drop layout, saved layouts, multi-monitor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DS-MKT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Market Data &amp; Intelligence (Observatory)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requirements/DS-MKT-Market-Data.md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Ingestion, historical data, real-time/delayed handling, calendars, corporate actions, watchlists, symbol identity reference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DS-SCN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Scanner (Watchtower)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requirements/DS-SCN-Scanner.md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Scanning, deterministic pre-filtering, ranking/scoring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DS-SIG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Signal System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requirements/DS-SIG-Signal-System.md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Signal representation, grading, why-trade/why-not-trade, expiration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DS-CHT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Charts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requirements/DS-CHT-Charts.md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Charting and technical analysis surfaces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DS-AI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Sage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requirements/DS-AI-Sage.md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Conversational interaction, evidence access, explainability, confidence, provider abstraction, failure/degradation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DS-RSK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Risk Engine (Guardian)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requirements/DS-RSK-Risk.md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Risk Engine authority, deterministic calculations, position/risk metrics, scenario analysis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DS-STR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Strategies (Forge)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requirements/DS-STR-Strategies.md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Strategy construction and validation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DS-PERF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Strategy Performance Intelligence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requirements/DS-PERF-Strategy-Performance.md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Performance metrics, segmentation, Strategy DNA, anti-overfitting safeguards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DS-BKT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Backtesting (Chronicle)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requirements/DS-BKT-Backtesting.md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Historical backtesting, cost/slippage realism, look-ahead bias prevention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DS-PRT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Portfolio (Treasury)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requirements/DS-PRT-Portfolio.md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Portfolio tracking, positions, transactions, realized/unrealized performance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DS-EXE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Execution, Auto-Trader &amp; Broker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requirements/DS-EXE-Execution-and-Broker.md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TradeValidationPipeline product boundary, Auto-Trader states, Emergency Stop/Flatten, broker adapter, live-trading gate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DS-MOB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Mobile Client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requirements/DS-MOB-Mobile-Client.md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Mobile scope, client-only boundary, mobile security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DS-ALT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Alerts &amp; Monitoring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requirements/DS-ALT-Alerts.md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Alerts and notifications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DS-RSH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Research Intelligence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requirements/DS-RSH-Research-Intelligence.md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Evidence-governed news, filings, earnings, macro, insider/political disclosures, catalysts, and thesis monitoring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DS-JRN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Journal &amp; Review Intelligence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requirements/DS-JRN-Journal-and-Review.md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Trade journal, behavioral reflection, daily/weekly review, lessons, and process improvement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DS-DAT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Data Management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requirements/DS-DAT-Data-Management.md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Local data storage, import/export, symbol/security identity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DS-EDU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Trading Knowledge &amp; Education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requirements/DS-EDU-Trading-Knowledge.md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Contextual terminology reference; future Trading Knowledge Engine (DS-001 §19.2)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DS-INT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Integrations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requirements/DS-INT-Integrations.md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External integration boundaries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DS-SEC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Security &amp; Privacy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requirements/DS-SEC-Security-and-Privacy.md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Privacy, credential/secrets handling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DS-NFR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Non-Functional Requirements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requirements/DS-NFR-Non-Functional.md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Accessibility, performance, reliability, maintainability, extensibility, testing expectations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DS-OPS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Reliability, Observability &amp; Operations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requirements/DS-OPS-Operations.md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Logging, auditability, error handling, offline/degraded operation</w:t>
            </w:r>
          </w:p>
        </w:tc>
      </w:tr>
    </w:tbl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 xml:space="preserve">Additional prefixes may be added only when genuinely needed and consistent with </w:t>
      </w:r>
      <w:r>
        <w:rPr>
          <w:rFonts w:ascii="Consolas" w:hAnsi="Consolas"/>
          <w:b w:val="0"/>
          <w:i w:val="0"/>
          <w:sz w:val="20"/>
        </w:rPr>
        <w:t>docs/standards/NAMING_AND_ID_STANDARD.md</w:t>
      </w:r>
      <w:r>
        <w:rPr>
          <w:rFonts w:ascii="Arial" w:hAnsi="Arial"/>
          <w:b w:val="0"/>
          <w:i w:val="0"/>
          <w:sz w:val="21"/>
        </w:rPr>
        <w:t>; any addition updates this index in the same change.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8. Target Users and Personas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Per DS-001 §18, DarkSage serves broad groups that value explainable decision support. DS-002 defines three capability-based user groups for requirements purposes (detailed in DS-USR):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Developing / self-directed investor</w:t>
      </w:r>
      <w:r>
        <w:rPr>
          <w:rFonts w:ascii="Arial" w:hAnsi="Arial"/>
          <w:b w:val="0"/>
          <w:i w:val="0"/>
          <w:sz w:val="21"/>
        </w:rPr>
        <w:t xml:space="preserve"> — learning markets, values explanation and guardrails over raw power.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Active trader</w:t>
      </w:r>
      <w:r>
        <w:rPr>
          <w:rFonts w:ascii="Arial" w:hAnsi="Arial"/>
          <w:b w:val="0"/>
          <w:i w:val="0"/>
          <w:sz w:val="21"/>
        </w:rPr>
        <w:t xml:space="preserve"> — values speed of access to relevant information, scanning, and alerting.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Advanced / professional-style user</w:t>
      </w:r>
      <w:r>
        <w:rPr>
          <w:rFonts w:ascii="Arial" w:hAnsi="Arial"/>
          <w:b w:val="0"/>
          <w:i w:val="0"/>
          <w:sz w:val="21"/>
        </w:rPr>
        <w:t xml:space="preserve"> — values analytical depth, customization, and minimal friction from simplified defaults.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These are capability-based groups, not demographic assumptions; a single user may move between them. The product shall remain approachable without artificially limiting advanced capability (DS-001 §18).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9. Non-Goals and Boundaries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Consistent with DS-001 §21, DS-002 requirements shall not be interpreted to imply that DarkSage is: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 promise or guarantee of profit;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 guaranteed market predictor or oracle;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 substitute for user judgment;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an autonomous trading system (see DS-PRD-007);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dependent on visible widgets for analytical capability (see DS-PRD-003);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required to use AI for tasks that are properly deterministic (see DS-PRD-004; DS-001 §9);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committed to every platform, asset class, or integration mentioned as future direction in DS-001 §22.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10. Dependencies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DS-001 — Executive Vision &amp; Product Foundation</w:t>
      </w:r>
      <w:r>
        <w:rPr>
          <w:rFonts w:ascii="Arial" w:hAnsi="Arial"/>
          <w:b w:val="0"/>
          <w:i w:val="0"/>
          <w:sz w:val="21"/>
        </w:rPr>
        <w:t xml:space="preserve"> (v1.0.0, Approved) — governing philosophy and boundaries.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ADR-001 — Desktop-First Application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ADR-002 — Sage Cannot Bypass the Risk Engine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ADR-003 — Deterministic Financial Calculations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ADR-004 — Presentation Independence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11. Risks and Constraints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Sequencing risk:</w:t>
      </w:r>
      <w:r>
        <w:rPr>
          <w:rFonts w:ascii="Arial" w:hAnsi="Arial"/>
          <w:b w:val="0"/>
          <w:i w:val="0"/>
          <w:sz w:val="21"/>
        </w:rPr>
        <w:t xml:space="preserve"> DS-002 is authored before DS-004 (Technical Architecture); some Implementation Notes are necessarily provisional and marked as delegated to DS-004 rather than prescribed here.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Scope discipline risk:</w:t>
      </w:r>
      <w:r>
        <w:rPr>
          <w:rFonts w:ascii="Arial" w:hAnsi="Arial"/>
          <w:b w:val="0"/>
          <w:i w:val="0"/>
          <w:sz w:val="21"/>
        </w:rPr>
        <w:t xml:space="preserve"> the breadth of DS-001's product definition (§4) creates pressure to over-commit MVP scope. This draft mitigates that by using Release Classification consistently and defaulting ambiguous items to Planned rather than Committed.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Terminology consistency risk:</w:t>
      </w:r>
      <w:r>
        <w:rPr>
          <w:rFonts w:ascii="Arial" w:hAnsi="Arial"/>
          <w:b w:val="0"/>
          <w:i w:val="0"/>
          <w:sz w:val="21"/>
        </w:rPr>
        <w:t xml:space="preserve"> dual professional/Codex-themed terminology (DS-001 §17) must remain consistent across all family documents; DS-USR owns the terminology-mode requirement and other families reference it rather than redefining it.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12. Verification Approach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 xml:space="preserve">Each requirement family document defines feature-level Testing per requirement. At the DS-002 level, verification of this document itself consists of: unique-ID verification across all families, cross-reference consistency against DS-001/ADR-001–004, Release Classification consistency, and Markdown/metadata structural checks, recorded in </w:t>
      </w:r>
      <w:r>
        <w:rPr>
          <w:rFonts w:ascii="Consolas" w:hAnsi="Consolas"/>
          <w:b w:val="0"/>
          <w:i w:val="0"/>
          <w:sz w:val="20"/>
        </w:rPr>
        <w:t>HANDOFF.md</w:t>
      </w:r>
      <w:r>
        <w:rPr>
          <w:rFonts w:ascii="Arial" w:hAnsi="Arial"/>
          <w:b w:val="0"/>
          <w:i w:val="0"/>
          <w:sz w:val="21"/>
        </w:rPr>
        <w:t xml:space="preserve"> for this task.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13. References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docs/CODEX_INDEX.md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docs/standards/DOCUMENTATION_STANDARD.md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docs/standards/STYLE_GUIDE.md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docs/standards/WRITING_GUIDE.md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docs/standards/NAMING_AND_ID_STANDARD.md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docs/templates/markdown/Requirement.md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docs/traceability/README.md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docs/codex/Volume-01-Foundation/DS-001-Executive-Vision.md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docs/codex/Volume-12-ADRs/ADR-001-Desktop-First-Application.md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docs/codex/Volume-12-ADRs/ADR-002-Sage-Cannot-Bypass-the-Risk-Engine.md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docs/codex/Volume-12-ADRs/ADR-003-Deterministic-Financial-Calculations.md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docs/codex/Volume-12-ADRs/ADR-004-Presentation-Independence.md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PROJECT_SPEC.md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ARCHITECTURE.md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TRADING_RULES.md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SECURITY_RULES.md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 xml:space="preserve"> (repository-root engineering specification; authoritative controlled sources per the DS-002-H02 Committed/MVP eligibility test, consulted starting with the v0.4.0 revision)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Appendix A — Open Questions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The following are genuine owner-decision items, not routine implementation detail, and are not answered by this draft:</w:t>
      </w:r>
    </w:p>
    <w:p>
      <w:pPr>
        <w:pStyle w:val="ListNumber"/>
        <w:spacing w:after="60"/>
      </w:pPr>
      <w:r>
        <w:rPr>
          <w:rFonts w:ascii="Arial" w:hAnsi="Arial"/>
          <w:b/>
          <w:i w:val="0"/>
          <w:sz w:val="21"/>
        </w:rPr>
        <w:t>MVP scope and asset-class boundary — substantially answered by a source discovered after the DS-002-H02 repair.</w:t>
      </w:r>
      <w:r>
        <w:rPr>
          <w:rFonts w:ascii="Arial" w:hAnsi="Arial"/>
          <w:b w:val="0"/>
          <w:i w:val="0"/>
          <w:sz w:val="21"/>
        </w:rPr>
        <w:t xml:space="preserve"> DS-001 itself deliberately does not commit to specific features, markets, asset classes, or acceptance thresholds (§4). However, </w:t>
      </w:r>
      <w:r>
        <w:rPr>
          <w:rFonts w:ascii="Consolas" w:hAnsi="Consolas"/>
          <w:b w:val="0"/>
          <w:i w:val="0"/>
          <w:sz w:val="20"/>
        </w:rPr>
        <w:t>PROJECT_SPEC.md</w:t>
      </w:r>
      <w:r>
        <w:rPr>
          <w:rFonts w:ascii="Arial" w:hAnsi="Arial"/>
          <w:b w:val="0"/>
          <w:i w:val="0"/>
          <w:sz w:val="21"/>
        </w:rPr>
        <w:t xml:space="preserve"> §1/§5 and 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's Phase 1 ("Core Market Intelligence") section — pre-existing, authoritative, repository-root engineering documents that predate this Codex volume — already establish: initial asset-class scope is US equities, initially S&amp;P 500-focused; initial feature scope is market data ingestion, the core indicator set, the scanner, dual-chart-engine charting, and a basic desktop shell; options, live trading, and mobile are explicitly later phases (Phase 11, Phase 13–14, Phase 9 respectively). This draft's v0.4.0 revision re-elevated 9 requirements to Committed/MVP accordingly (see Governing Source citations on each), and the v0.5.0 repair defined concrete default staleness/startup thresholds directly in </w:t>
      </w:r>
      <w:r>
        <w:rPr>
          <w:rFonts w:ascii="Consolas" w:hAnsi="Consolas"/>
          <w:b w:val="0"/>
          <w:i w:val="0"/>
          <w:sz w:val="20"/>
        </w:rPr>
        <w:t>DS-MKT-004</w:t>
      </w:r>
      <w:r>
        <w:rPr>
          <w:rFonts w:ascii="Arial" w:hAnsi="Arial"/>
          <w:b w:val="0"/>
          <w:i w:val="0"/>
          <w:sz w:val="21"/>
        </w:rPr>
        <w:t>/</w:t>
      </w:r>
      <w:r>
        <w:rPr>
          <w:rFonts w:ascii="Consolas" w:hAnsi="Consolas"/>
          <w:b w:val="0"/>
          <w:i w:val="0"/>
          <w:sz w:val="20"/>
        </w:rPr>
        <w:t>DS-NFR-001</w:t>
      </w:r>
      <w:r>
        <w:rPr>
          <w:rFonts w:ascii="Arial" w:hAnsi="Arial"/>
          <w:b w:val="0"/>
          <w:i w:val="0"/>
          <w:sz w:val="21"/>
        </w:rPr>
        <w:t xml:space="preserve"> (see their Governing Threshold notes), closing the DS-002-A04 finding. What remains genuinely open is formal owner sign-off that 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>'s phase boundaries are themselves the intended release-scope authority for Codex purposes (a governance/process confirmation, not a product invention).</w:t>
      </w:r>
    </w:p>
    <w:p>
      <w:pPr>
        <w:pStyle w:val="ListNumber"/>
        <w:spacing w:after="60"/>
      </w:pPr>
      <w:r>
        <w:rPr>
          <w:rFonts w:ascii="Arial" w:hAnsi="Arial"/>
          <w:b/>
          <w:i w:val="0"/>
          <w:sz w:val="21"/>
        </w:rPr>
        <w:t>Live brokerage/execution integration timing</w:t>
      </w:r>
      <w:r>
        <w:rPr>
          <w:rFonts w:ascii="Arial" w:hAnsi="Arial"/>
          <w:b w:val="0"/>
          <w:i w:val="0"/>
          <w:sz w:val="21"/>
        </w:rPr>
        <w:t xml:space="preserve"> — DS-001 §21 and DS-PRD-007 exclude autonomous trading from current scope, but do not state whether </w:t>
      </w:r>
      <w:r>
        <w:rPr>
          <w:rFonts w:ascii="Arial" w:hAnsi="Arial"/>
          <w:b w:val="0"/>
          <w:i/>
          <w:sz w:val="21"/>
        </w:rPr>
        <w:t>manual, user-confirmed</w:t>
      </w:r>
      <w:r>
        <w:rPr>
          <w:rFonts w:ascii="Arial" w:hAnsi="Arial"/>
          <w:b w:val="0"/>
          <w:i w:val="0"/>
          <w:sz w:val="21"/>
        </w:rPr>
        <w:t xml:space="preserve"> order placement through a connected brokerage is itself Committed/MVP, Planned, or Future/Exploratory for the current release. DS-INT/DS-PRT record this as Planned pending an explicit decision.</w:t>
      </w:r>
    </w:p>
    <w:p>
      <w:pPr>
        <w:pStyle w:val="ListNumber"/>
        <w:spacing w:after="60"/>
      </w:pPr>
      <w:r>
        <w:rPr>
          <w:rFonts w:ascii="Arial" w:hAnsi="Arial"/>
          <w:b/>
          <w:i w:val="0"/>
          <w:sz w:val="21"/>
        </w:rPr>
        <w:t>Multi-monitor support commitment level</w:t>
      </w:r>
      <w:r>
        <w:rPr>
          <w:rFonts w:ascii="Arial" w:hAnsi="Arial"/>
          <w:b w:val="0"/>
          <w:i w:val="0"/>
          <w:sz w:val="21"/>
        </w:rPr>
        <w:t xml:space="preserve"> — DS-001 §19.1 mentions multi-monitor workflows as part of the Workspace Studio vision without committing to it. DS-WKS classifies it Future/Exploratory pending an owner decision on whether it belongs in a nearer-term Planned scope.</w:t>
      </w:r>
    </w:p>
    <w:p>
      <w:pPr>
        <w:pStyle w:val="ListNumber"/>
        <w:spacing w:after="60"/>
      </w:pPr>
      <w:r>
        <w:rPr>
          <w:rFonts w:ascii="Arial" w:hAnsi="Arial"/>
          <w:b/>
          <w:i w:val="0"/>
          <w:sz w:val="21"/>
        </w:rPr>
        <w:t>RESOLVED in v0.5.0.</w:t>
      </w:r>
      <w:r>
        <w:rPr>
          <w:rFonts w:ascii="Arial" w:hAnsi="Arial"/>
          <w:b w:val="0"/>
          <w:i w:val="0"/>
          <w:sz w:val="21"/>
        </w:rPr>
        <w:t xml:space="preserve"> Missing requirement-family coverage identified in the v0.4.0 reconciliation pass (Signal System, TradeValidationPipeline, Strategy Performance Intelligence, Mobile client, Auto-Trader/Execution/Broker architecture) is now addressed by the new </w:t>
      </w:r>
      <w:r>
        <w:rPr>
          <w:rFonts w:ascii="Consolas" w:hAnsi="Consolas"/>
          <w:b w:val="0"/>
          <w:i w:val="0"/>
          <w:sz w:val="20"/>
        </w:rPr>
        <w:t>DS-SIG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DS-EXE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DS-PERF</w:t>
      </w:r>
      <w:r>
        <w:rPr>
          <w:rFonts w:ascii="Arial" w:hAnsi="Arial"/>
          <w:b w:val="0"/>
          <w:i w:val="0"/>
          <w:sz w:val="21"/>
        </w:rPr>
        <w:t xml:space="preserve">, and </w:t>
      </w:r>
      <w:r>
        <w:rPr>
          <w:rFonts w:ascii="Consolas" w:hAnsi="Consolas"/>
          <w:b w:val="0"/>
          <w:i w:val="0"/>
          <w:sz w:val="20"/>
        </w:rPr>
        <w:t>DS-MOB</w:t>
      </w:r>
      <w:r>
        <w:rPr>
          <w:rFonts w:ascii="Arial" w:hAnsi="Arial"/>
          <w:b w:val="0"/>
          <w:i w:val="0"/>
          <w:sz w:val="21"/>
        </w:rPr>
        <w:t xml:space="preserve"> families (DS-002-A03 repair). Retained here for revision-history traceability, not as an open item.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Routine implementation details (specific UI component choices, specific data-vendor selection) are intentionally left to DS-004/DS-005/DS-006/DS-007 and are not recorded as SRS-level open questions.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296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A7ABB3"/>
        <w:sz w:val="17"/>
      </w:rPr>
    </w:r>
    <w:r>
      <w:rPr>
        <w:rFonts w:ascii="Arial" w:hAnsi="Arial"/>
        <w:color w:val="A7ABB3"/>
        <w:sz w:val="17"/>
      </w:rPr>
      <w:t xml:space="preserve">Page </w:t>
    </w:r>
    <w:r>
      <w:rPr>
        <w:rFonts w:ascii="Arial" w:hAnsi="Arial"/>
        <w:color w:val="A7ABB3"/>
        <w:sz w:val="17"/>
      </w:rPr>
      <w:fldChar w:fldCharType="begin"/>
    </w:r>
    <w:r>
      <w:rPr>
        <w:rFonts w:ascii="Arial" w:hAnsi="Arial"/>
        <w:color w:val="A7ABB3"/>
        <w:sz w:val="17"/>
      </w:rPr>
      <w:instrText xml:space="preserve">PAGE</w:instrText>
    </w:r>
    <w:r>
      <w:rPr>
        <w:rFonts w:ascii="Arial" w:hAnsi="Arial"/>
        <w:color w:val="A7ABB3"/>
        <w:sz w:val="17"/>
      </w:rPr>
      <w:fldChar w:fldCharType="separate"/>
    </w:r>
    <w:r>
      <w:rPr>
        <w:rFonts w:ascii="Arial" w:hAnsi="Arial"/>
        <w:color w:val="A7ABB3"/>
        <w:sz w:val="17"/>
      </w:rPr>
      <w:t>1</w:t>
    </w:r>
    <w:r>
      <w:rPr>
        <w:rFonts w:ascii="Arial" w:hAnsi="Arial"/>
        <w:color w:val="A7ABB3"/>
        <w:sz w:val="17"/>
      </w:rPr>
      <w:fldChar w:fldCharType="end"/>
    </w:r>
    <w:r>
      <w:rPr>
        <w:rFonts w:ascii="Arial" w:hAnsi="Arial"/>
        <w:color w:val="A7ABB3"/>
        <w:sz w:val="17"/>
      </w:rPr>
      <w:t xml:space="preserve"> of </w:t>
    </w:r>
    <w:r>
      <w:rPr>
        <w:rFonts w:ascii="Arial" w:hAnsi="Arial"/>
        <w:color w:val="A7ABB3"/>
        <w:sz w:val="17"/>
      </w:rPr>
      <w:fldChar w:fldCharType="begin"/>
    </w:r>
    <w:r>
      <w:rPr>
        <w:rFonts w:ascii="Arial" w:hAnsi="Arial"/>
        <w:color w:val="A7ABB3"/>
        <w:sz w:val="17"/>
      </w:rPr>
      <w:instrText xml:space="preserve">NUMPAGES</w:instrText>
    </w:r>
    <w:r>
      <w:rPr>
        <w:rFonts w:ascii="Arial" w:hAnsi="Arial"/>
        <w:color w:val="A7ABB3"/>
        <w:sz w:val="17"/>
      </w:rPr>
      <w:fldChar w:fldCharType="separate"/>
    </w:r>
    <w:r>
      <w:rPr>
        <w:rFonts w:ascii="Arial" w:hAnsi="Arial"/>
        <w:color w:val="A7ABB3"/>
        <w:sz w:val="17"/>
      </w:rPr>
      <w:t>1</w:t>
    </w:r>
    <w:r>
      <w:rPr>
        <w:rFonts w:ascii="Arial" w:hAnsi="Arial"/>
        <w:color w:val="A7ABB3"/>
        <w:sz w:val="17"/>
      </w:rPr>
      <w:fldChar w:fldCharType="end"/>
    </w:r>
  </w:p>
  <w:p>
    <w:pPr>
      <w:jc w:val="center"/>
    </w:pPr>
    <w:r>
      <w:rPr>
        <w:rFonts w:ascii="Arial" w:hAnsi="Arial"/>
        <w:color w:val="A7ABB3"/>
        <w:sz w:val="15"/>
      </w:rPr>
      <w:t>v0.7.0 — Draft  |  Classification: Internal</w:t>
    </w:r>
  </w:p>
  <w:p>
    <w:pPr>
      <w:jc w:val="center"/>
    </w:pPr>
    <w:r>
      <w:rPr>
        <w:rFonts w:ascii="Consolas" w:hAnsi="Consolas"/>
        <w:color w:val="A7ABB3"/>
        <w:sz w:val="14"/>
      </w:rPr>
      <w:t>Generated from DS-002 v0.7.0 — baseline 8b5cf5bd0341d5d6f70c67302c8bce2069d0929a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40"/>
      <w:pBdr>
        <w:bottom w:val="single" w:sz="6" w:space="4" w:color="C8A45D"/>
      </w:pBdr>
    </w:pPr>
    <w:r/>
    <w:r>
      <w:rPr>
        <w:rFonts w:ascii="Arial" w:hAnsi="Arial"/>
        <w:color w:val="17181C"/>
        <w:sz w:val="17"/>
      </w:rPr>
      <w:t>DarkSage — Product Requirements (SRS)</w:t>
    </w:r>
    <w:r>
      <w:tab/>
    </w:r>
    <w:r>
      <w:rPr>
        <w:rFonts w:ascii="Consolas" w:hAnsi="Consolas"/>
        <w:b/>
        <w:color w:val="C8A45D"/>
        <w:sz w:val="17"/>
      </w:rPr>
      <w:t>DS-002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