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9360"/>
      </w:tblGrid>
      <w:tr>
        <w:trPr>
          <w:trHeight w:val="12240" w:hRule="exact"/>
        </w:trPr>
        <w:tc>
          <w:tcPr>
            <w:tcW w:type="dxa" w:w="9360"/>
            <w:shd w:val="clear" w:color="auto" w:fill="0B0B0D"/>
          </w:tcPr>
          <w:p>
            <w:pPr>
              <w:spacing w:after="0"/>
            </w:pPr>
            <w:r/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/>
                <w:i w:val="0"/>
                <w:color w:val="E0BE72"/>
                <w:sz w:val="80"/>
              </w:rPr>
              <w:t>DarkSage</w:t>
            </w:r>
          </w:p>
          <w:p>
            <w:pPr>
              <w:spacing w:before="0" w:after="3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36"/>
              </w:rPr>
              <w:t>Idea Parking Lot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4"/>
              </w:rPr>
              <w:t>Version 0.3.1 — Draft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Owner: TheSinnerMan</w:t>
            </w:r>
          </w:p>
          <w:p>
            <w:pPr>
              <w:spacing w:before="0" w:after="4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Classification: Internal</w:t>
            </w:r>
          </w:p>
          <w:p>
            <w:pPr>
              <w:spacing w:before="0" w:after="720"/>
              <w:jc w:val="center"/>
            </w:pPr>
            <w:r>
              <w:rPr>
                <w:rFonts w:ascii="Arial" w:hAnsi="Arial"/>
                <w:b w:val="0"/>
                <w:i/>
                <w:color w:val="C8A45D"/>
                <w:sz w:val="28"/>
              </w:rPr>
              <w:t>Wisdom Over Noise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repository: LightSwornPVP/DarkSage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baseline commit: 8b5cf5bd0341d5d6f70c67302c8bce2069d0929a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Generation date: 2026-07-25T16:51:31-04:00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Document ID: DS-014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800" w:right="1440" w:bottom="1800" w:left="1440" w:header="720" w:footer="720" w:gutter="0"/>
          <w:cols w:space="720"/>
          <w:docGrid w:linePitch="360"/>
        </w:sectPr>
      </w:pP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Document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2592"/>
        <w:gridCol w:w="6480"/>
      </w:tblGrid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Document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DS-014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Title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Idea Parking Lot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0.3.1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Status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Draft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Owner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Classification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Internal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Repository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LightSwornPVP/DarkSage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Created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Last Updated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2026-07-25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color w:val="A7ABB3"/>
          <w:sz w:val="17"/>
        </w:rPr>
        <w:t>Status lifecycle: Draft → Under Review → Approved → Superseded/Deprecated.</w:t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08"/>
        <w:gridCol w:w="1296"/>
        <w:gridCol w:w="2304"/>
        <w:gridCol w:w="4464"/>
      </w:tblGrid>
      <w:tr>
        <w:tc>
          <w:tcPr>
            <w:tcW w:type="dxa" w:w="1008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Version</w:t>
            </w:r>
          </w:p>
        </w:tc>
        <w:tc>
          <w:tcPr>
            <w:tcW w:type="dxa" w:w="1296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Date</w:t>
            </w:r>
          </w:p>
        </w:tc>
        <w:tc>
          <w:tcPr>
            <w:tcW w:type="dxa" w:w="230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Author</w:t>
            </w:r>
          </w:p>
        </w:tc>
        <w:tc>
          <w:tcPr>
            <w:tcW w:type="dxa" w:w="446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Summary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0.3.1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2026-07-25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 / Keeper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Independent-audit repair (H3): the Founder Vision Completion Disposition section, previously misnumbered "## 14." (skipping §§12–13 after §11 References/Appendix A), renumbered to the correct next-available "## 12." No section content changed.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0.3.0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2026-07-25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 / Keeper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Founder Vision Completion amendment and cross-volume traceability, including Discord notification boundaries where applicable.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0.1.0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First controlled draft, authored as part of the final grouped batch (DS-013/DS-014). Establishes the idea-parking governance model (</w:t>
            </w:r>
            <w:r>
              <w:rPr>
                <w:rFonts w:ascii="Consolas" w:hAnsi="Consolas"/>
                <w:b w:val="0"/>
                <w:i w:val="0"/>
                <w:sz w:val="18"/>
              </w:rPr>
              <w:t>DS-IDG-NNN</w:t>
            </w:r>
            <w:r>
              <w:rPr>
                <w:rFonts w:ascii="Arial" w:hAnsi="Arial"/>
                <w:b w:val="0"/>
                <w:i w:val="0"/>
                <w:sz w:val="19"/>
              </w:rPr>
              <w:t>) and a structured catalog of 25 exploratory ideas (</w:t>
            </w:r>
            <w:r>
              <w:rPr>
                <w:rFonts w:ascii="Consolas" w:hAnsi="Consolas"/>
                <w:b w:val="0"/>
                <w:i w:val="0"/>
                <w:sz w:val="18"/>
              </w:rPr>
              <w:t>DS-IDEA-NNN</w:t>
            </w:r>
            <w:r>
              <w:rPr>
                <w:rFonts w:ascii="Arial" w:hAnsi="Arial"/>
                <w:b w:val="0"/>
                <w:i w:val="0"/>
                <w:sz w:val="19"/>
              </w:rPr>
              <w:t>) — research directions, architectural inspirations, and speculative concepts not yet mature enough for DS-013.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Targeted repair for independent-audit High finding H3 (third-party model privacy/security gates). </w:t>
            </w:r>
            <w:r>
              <w:rPr>
                <w:rFonts w:ascii="Consolas" w:hAnsi="Consolas"/>
                <w:b w:val="0"/>
                <w:i w:val="0"/>
                <w:sz w:val="18"/>
              </w:rPr>
              <w:t>DS-IDG-004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expanded from four gates (licensing, benchmark, compute, integration) to </w:t>
            </w:r>
            <w:r>
              <w:rPr>
                <w:rFonts w:ascii="Arial" w:hAnsi="Arial"/>
                <w:b/>
                <w:i w:val="0"/>
                <w:sz w:val="19"/>
              </w:rPr>
              <w:t>nine mandatory gates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: licensing, independent benchmarking, compute requirements, privacy, security (aligned with DS-008 in full), model-supply-chain risk, untrusted-artifact/weight handling, integration-boundary risk, and operational feasibility — no third-party model candidate may be promoted until all nine are satisfied and recorded. </w:t>
            </w:r>
            <w:r>
              <w:rPr>
                <w:rFonts w:ascii="Consolas" w:hAnsi="Consolas"/>
                <w:b w:val="0"/>
                <w:i w:val="0"/>
                <w:sz w:val="18"/>
              </w:rPr>
              <w:t>DS-IDEA-002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(Kronos),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DS-IDEA-019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(Training Sage as a Dedicated Model), and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DS-IDEA-020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(Distillation) updated to reference the full nine-gate requirement; Kronos remains treated strictly as a research reference, never a committed dependency.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0.2.1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Consolidated cleanup pass: </w:t>
            </w:r>
            <w:r>
              <w:rPr>
                <w:rFonts w:ascii="Consolas" w:hAnsi="Consolas"/>
                <w:b w:val="0"/>
                <w:i w:val="0"/>
                <w:sz w:val="18"/>
              </w:rPr>
              <w:t>DS-IDEA-018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no longer cites </w:t>
            </w:r>
            <w:r>
              <w:rPr>
                <w:rFonts w:ascii="Consolas" w:hAnsi="Consolas"/>
                <w:b w:val="0"/>
                <w:i w:val="0"/>
                <w:sz w:val="18"/>
              </w:rPr>
              <w:t>.ai-workflow/AGENT_PROTOCOL.md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directly as a Promotion Criteria destination or Related Feature/Volume — a public controlled document must not depend on a local-only workflow file for authority (DS-DEV-025). It now points to DS-010 process documentation or another public, committed process record instead; any local file implementing a resulting practice is explicitly described as non-authoritative operational convenience only. Appendix A Open Question #2 (DS-IDEA-018's process-vs-product classification) is unchanged and remains open.</w:t>
            </w:r>
          </w:p>
        </w:tc>
      </w:tr>
    </w:tbl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Table of Contents</w:t>
      </w:r>
    </w:p>
    <w:p>
      <w:r>
        <w:rPr>
          <w:i/>
          <w:color w:val="A7ABB3"/>
          <w:sz w:val="17"/>
        </w:rPr>
        <w:t>This Table of Contents is a Word/LibreOffice field. If it appears empty, select it and press F9 (or right-click → Update Field) to populate it from this document's own headings.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Right-click and choose Update Field to generate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1. Purpose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DS-014 is the controlled exploratory idea repository for DarkSage. It captures speculative ideas, research directions, architectural inspirations, model references, emerging technology, and ambitious long-term concepts that are not yet mature enough to track as a potential product capability in DS-013. </w:t>
      </w:r>
      <w:r>
        <w:rPr>
          <w:rFonts w:ascii="Arial" w:hAnsi="Arial"/>
          <w:b/>
          <w:i w:val="0"/>
          <w:sz w:val="21"/>
        </w:rPr>
        <w:t>All content in this document is non-committed</w:t>
      </w:r>
      <w:r>
        <w:rPr>
          <w:rFonts w:ascii="Arial" w:hAnsi="Arial"/>
          <w:b w:val="0"/>
          <w:i w:val="0"/>
          <w:sz w:val="21"/>
        </w:rPr>
        <w:t xml:space="preserve"> — no </w:t>
      </w:r>
      <w:r>
        <w:rPr>
          <w:rFonts w:ascii="Consolas" w:hAnsi="Consolas"/>
          <w:b w:val="0"/>
          <w:i w:val="0"/>
          <w:sz w:val="20"/>
        </w:rPr>
        <w:t>DS-IDEA-NNN</w:t>
      </w:r>
      <w:r>
        <w:rPr>
          <w:rFonts w:ascii="Arial" w:hAnsi="Arial"/>
          <w:b w:val="0"/>
          <w:i w:val="0"/>
          <w:sz w:val="21"/>
        </w:rPr>
        <w:t xml:space="preserve"> entry carries any Release Classification (Committed/MVP, Planned, Future/Exploratory), and none becomes product direction until it is formally promoted through Codex-Driven Development (DS-001 Constitution #12): first typically into a DS-013 backlog item once it is well-defined enough, and ultimately into a dedicated DS-002+ requirement or ADR.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2. Scope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This document governs: the idea status taxonomy (Exploratory, Under Active Research, Promoted, Archived/Not Pursuing); the promotion path from idea to DS-013 backlog item; the treatment rule for named external models/research references (including Kronos); and the structured catalog of currently known exploratory ideas.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DS-014 does not govern: productized candidate features well-defined enough to track as a potential product capability (DS-013 — see §5's boundary rule, DS-IDG-005); committed or Planned product requirements (DS-002 through DS-009); or architecture decisions (DS-012, ADR-001–004).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3. Audience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Product owners, engineering/research contributors, independent auditors, and future Codex authors evaluating exploratory directions.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4. Definitions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See DS-001 §24 and DS-002 §4. Additional terms: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Term</w:t>
            </w:r>
          </w:p>
        </w:tc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Idea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 speculative, research-stage, or insufficiently-defined concept recorded for future consideration, carrying no product commitment of any kind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Research reference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 named external model, paper, technique, or project cited as architectural/research inspiration — explicitly not a dependency, requirement, or endorsement of superiority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Promotion (to DS-013)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The act of maturing an idea into a well-enough-defined candidate feature to be tracked as a DS-013 backlog item, per DS-013's own DS-BLG-003 promotion process for further advancement from there</w:t>
            </w:r>
          </w:p>
        </w:tc>
      </w:tr>
    </w:tbl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5. Idea Governance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DS-IDG-001 — Non-Committed Status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(governance)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DS-001 §11 (Constitution #12); DS-BLG-001 (DS-013, 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All DS-014 content is non-committed and carries no Release Classification (Committed/MVP, Planned, Future/Exploratory) until formally promoted through Codex-Driven Development into a dedicated DS-013 backlog item, DS-002+ requirement, or ADR. This mirrors DS-BLG-001's identical rule for DS-013 — DS-014 sits one level further from commitment than DS-013 does.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No DS-001 through DS-013 requirement or backlog item cites a </w:t>
      </w:r>
      <w:r>
        <w:rPr>
          <w:rFonts w:ascii="Consolas" w:hAnsi="Consolas"/>
          <w:b w:val="0"/>
          <w:i w:val="0"/>
          <w:sz w:val="20"/>
        </w:rPr>
        <w:t>DS-IDEA-NNN</w:t>
      </w:r>
      <w:r>
        <w:rPr>
          <w:rFonts w:ascii="Arial" w:hAnsi="Arial"/>
          <w:b w:val="0"/>
          <w:i w:val="0"/>
          <w:sz w:val="21"/>
        </w:rPr>
        <w:t xml:space="preserve"> ID as its Governing Source for Committed, Planned, or Approved-Future status.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idea's own entry in this document states or implies a Release Classification.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Requirements-review check confirming no idea-only mention is treated as a committed, Planned, or Approved-Future item.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DS-IDG-002 — Idea Status Taxonomy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(governance)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DS-014 (this document, normative)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Every idea carries exactly one Status: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Exploratory</w:t>
      </w:r>
      <w:r>
        <w:rPr>
          <w:rFonts w:ascii="Arial" w:hAnsi="Arial"/>
          <w:b w:val="0"/>
          <w:i w:val="0"/>
          <w:sz w:val="21"/>
        </w:rPr>
        <w:t xml:space="preserve"> — recorded for awareness and future consideration; no active work.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Under Active Research</w:t>
      </w:r>
      <w:r>
        <w:rPr>
          <w:rFonts w:ascii="Arial" w:hAnsi="Arial"/>
          <w:b w:val="0"/>
          <w:i w:val="0"/>
          <w:sz w:val="21"/>
        </w:rPr>
        <w:t xml:space="preserve"> — someone is actively investigating feasibility, prior art, or a preliminary technical approach.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Promoted</w:t>
      </w:r>
      <w:r>
        <w:rPr>
          <w:rFonts w:ascii="Arial" w:hAnsi="Arial"/>
          <w:b w:val="0"/>
          <w:i w:val="0"/>
          <w:sz w:val="21"/>
        </w:rPr>
        <w:t xml:space="preserve"> — matured into a DS-013 backlog item (cross-referenced by ID); this document retains the research-stage record as history.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Archived / Not Pursuing</w:t>
      </w:r>
      <w:r>
        <w:rPr>
          <w:rFonts w:ascii="Arial" w:hAnsi="Arial"/>
          <w:b w:val="0"/>
          <w:i w:val="0"/>
          <w:sz w:val="21"/>
        </w:rPr>
        <w:t xml:space="preserve"> — evaluated and explicitly set aside, with the reason recorded; retained, not deleted.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Every </w:t>
      </w:r>
      <w:r>
        <w:rPr>
          <w:rFonts w:ascii="Consolas" w:hAnsi="Consolas"/>
          <w:b w:val="0"/>
          <w:i w:val="0"/>
          <w:sz w:val="20"/>
        </w:rPr>
        <w:t>DS-IDEA-NNN</w:t>
      </w:r>
      <w:r>
        <w:rPr>
          <w:rFonts w:ascii="Arial" w:hAnsi="Arial"/>
          <w:b w:val="0"/>
          <w:i w:val="0"/>
          <w:sz w:val="21"/>
        </w:rPr>
        <w:t xml:space="preserve"> item's Status field uses exactly one of these four values.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Status-taxonomy conformance check across all ideas on every DS-014 revision.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DS-IDG-003 — Promotion Path to DS-013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(governance)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DS-BLG-003, DS-BLG-006 (DS-013, both 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An idea matures into a DS-013 candidate only when it is understood enough to track as a potential product capability — a defined scope, a plausible Product Area, and at least a preliminary Rationale, per DS-013's own boundary rule (DS-BLG-006). At that point, a corresponding </w:t>
      </w:r>
      <w:r>
        <w:rPr>
          <w:rFonts w:ascii="Consolas" w:hAnsi="Consolas"/>
          <w:b w:val="0"/>
          <w:i w:val="0"/>
          <w:sz w:val="20"/>
        </w:rPr>
        <w:t>DS-BL-NNN</w:t>
      </w:r>
      <w:r>
        <w:rPr>
          <w:rFonts w:ascii="Arial" w:hAnsi="Arial"/>
          <w:b w:val="0"/>
          <w:i w:val="0"/>
          <w:sz w:val="21"/>
        </w:rPr>
        <w:t xml:space="preserve"> entry is authored in DS-013, this idea's Status changes to Promoted, and both entries cross-reference each other by ID. The DS-014 entry is never deleted — it remains the research-stage history behind the DS-013 item.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No idea is marked Promoted without a corresponding, existing </w:t>
      </w:r>
      <w:r>
        <w:rPr>
          <w:rFonts w:ascii="Consolas" w:hAnsi="Consolas"/>
          <w:b w:val="0"/>
          <w:i w:val="0"/>
          <w:sz w:val="20"/>
        </w:rPr>
        <w:t>DS-BL-NNN</w:t>
      </w:r>
      <w:r>
        <w:rPr>
          <w:rFonts w:ascii="Arial" w:hAnsi="Arial"/>
          <w:b w:val="0"/>
          <w:i w:val="0"/>
          <w:sz w:val="21"/>
        </w:rPr>
        <w:t xml:space="preserve"> entry in DS-013 that cross-references it.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promoted idea's original DS-014 entry remains in this document.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Promotion-record audit: every Promoted-status idea's cited </w:t>
      </w:r>
      <w:r>
        <w:rPr>
          <w:rFonts w:ascii="Consolas" w:hAnsi="Consolas"/>
          <w:b w:val="0"/>
          <w:i w:val="0"/>
          <w:sz w:val="20"/>
        </w:rPr>
        <w:t>DS-BL-NNN</w:t>
      </w:r>
      <w:r>
        <w:rPr>
          <w:rFonts w:ascii="Arial" w:hAnsi="Arial"/>
          <w:b w:val="0"/>
          <w:i w:val="0"/>
          <w:sz w:val="21"/>
        </w:rPr>
        <w:t xml:space="preserve"> ID exists in DS-013 and cross-references back.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DS-IDG-004 — Third-Party Model and Research Reference Treatment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(governance)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DS-014 (this document, normative); DS-PRD-001 (DS-002, Committed, model-independence principle); DS-QA-011 (DS-009, Committed, model-evaluation non-substitution rule); DS-008 (Committed, security architecture)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Any named external model, paper, technique, or project referenced in this document (including Kronos, §6.1) is treated strictly as an architectural or research reference: it is never a committed dependency, never assumed to be a superior model or technique without independent benchmarking, and always subject to the following mandatory review gates before any promotion beyond this document: </w:t>
      </w:r>
      <w:r>
        <w:rPr>
          <w:rFonts w:ascii="Arial" w:hAnsi="Arial"/>
          <w:b/>
          <w:i w:val="0"/>
          <w:sz w:val="21"/>
        </w:rPr>
        <w:t>licensing</w:t>
      </w:r>
      <w:r>
        <w:rPr>
          <w:rFonts w:ascii="Arial" w:hAnsi="Arial"/>
          <w:b w:val="0"/>
          <w:i w:val="0"/>
          <w:sz w:val="21"/>
        </w:rPr>
        <w:t xml:space="preserve"> (terms of use, redistribution, and commercial-use rights); </w:t>
      </w:r>
      <w:r>
        <w:rPr>
          <w:rFonts w:ascii="Arial" w:hAnsi="Arial"/>
          <w:b/>
          <w:i w:val="0"/>
          <w:sz w:val="21"/>
        </w:rPr>
        <w:t>independent benchmarking</w:t>
      </w:r>
      <w:r>
        <w:rPr>
          <w:rFonts w:ascii="Arial" w:hAnsi="Arial"/>
          <w:b w:val="0"/>
          <w:i w:val="0"/>
          <w:sz w:val="21"/>
        </w:rPr>
        <w:t xml:space="preserve"> (measured evaluation, per DS-QA-011, never taken on the source's own published claims alone); </w:t>
      </w:r>
      <w:r>
        <w:rPr>
          <w:rFonts w:ascii="Arial" w:hAnsi="Arial"/>
          <w:b/>
          <w:i w:val="0"/>
          <w:sz w:val="21"/>
        </w:rPr>
        <w:t>compute requirements</w:t>
      </w:r>
      <w:r>
        <w:rPr>
          <w:rFonts w:ascii="Arial" w:hAnsi="Arial"/>
          <w:b w:val="0"/>
          <w:i w:val="0"/>
          <w:sz w:val="21"/>
        </w:rPr>
        <w:t xml:space="preserve"> (training/inference cost against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§2.1's Cheap-First Architecture principle); </w:t>
      </w:r>
      <w:r>
        <w:rPr>
          <w:rFonts w:ascii="Arial" w:hAnsi="Arial"/>
          <w:b/>
          <w:i w:val="0"/>
          <w:sz w:val="21"/>
        </w:rPr>
        <w:t>privacy</w:t>
      </w:r>
      <w:r>
        <w:rPr>
          <w:rFonts w:ascii="Arial" w:hAnsi="Arial"/>
          <w:b w:val="0"/>
          <w:i w:val="0"/>
          <w:sz w:val="21"/>
        </w:rPr>
        <w:t xml:space="preserve"> (what data, if any, the model was trained on or would process, and whether that exposes DarkSage user data — aligned with DS-SCA-002/003's credential/secrets handling and DS-001 §14's privacy-by-design principle); </w:t>
      </w:r>
      <w:r>
        <w:rPr>
          <w:rFonts w:ascii="Arial" w:hAnsi="Arial"/>
          <w:b/>
          <w:i w:val="0"/>
          <w:sz w:val="21"/>
        </w:rPr>
        <w:t>security</w:t>
      </w:r>
      <w:r>
        <w:rPr>
          <w:rFonts w:ascii="Arial" w:hAnsi="Arial"/>
          <w:b w:val="0"/>
          <w:i w:val="0"/>
          <w:sz w:val="21"/>
        </w:rPr>
        <w:t xml:space="preserve"> (aligned with DS-008 in full — see below); </w:t>
      </w:r>
      <w:r>
        <w:rPr>
          <w:rFonts w:ascii="Arial" w:hAnsi="Arial"/>
          <w:b/>
          <w:i w:val="0"/>
          <w:sz w:val="21"/>
        </w:rPr>
        <w:t>model-supply-chain risk</w:t>
      </w:r>
      <w:r>
        <w:rPr>
          <w:rFonts w:ascii="Arial" w:hAnsi="Arial"/>
          <w:b w:val="0"/>
          <w:i w:val="0"/>
          <w:sz w:val="21"/>
        </w:rPr>
        <w:t xml:space="preserve"> (provenance of the model/weights/training data, and the risk of a compromised or malicious upstream source, per DS-SCA-018's dependency-security discipline extended to model artifacts); </w:t>
      </w:r>
      <w:r>
        <w:rPr>
          <w:rFonts w:ascii="Arial" w:hAnsi="Arial"/>
          <w:b/>
          <w:i w:val="0"/>
          <w:sz w:val="21"/>
        </w:rPr>
        <w:t>untrusted-artifact/weight handling</w:t>
      </w:r>
      <w:r>
        <w:rPr>
          <w:rFonts w:ascii="Arial" w:hAnsi="Arial"/>
          <w:b w:val="0"/>
          <w:i w:val="0"/>
          <w:sz w:val="21"/>
        </w:rPr>
        <w:t xml:space="preserve"> (a downloaded model file or weight checkpoint is treated as untrusted input until verified, per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"Input Validation" and DS-SCA-009's injection-defense discipline extended to binary model artifacts — never loaded or executed without integrity/provenance verification); </w:t>
      </w:r>
      <w:r>
        <w:rPr>
          <w:rFonts w:ascii="Arial" w:hAnsi="Arial"/>
          <w:b/>
          <w:i w:val="0"/>
          <w:sz w:val="21"/>
        </w:rPr>
        <w:t>integration-boundary risk</w:t>
      </w:r>
      <w:r>
        <w:rPr>
          <w:rFonts w:ascii="Arial" w:hAnsi="Arial"/>
          <w:b w:val="0"/>
          <w:i w:val="0"/>
          <w:sz w:val="21"/>
        </w:rPr>
        <w:t xml:space="preserve"> (any output from a referenced model is subject to DS-PRD-011/DS-SCA-008's AI-output-validation boundary before any application use, and never gains a privileged path around the canonical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 xml:space="preserve">, DS-EXE-001); and </w:t>
      </w:r>
      <w:r>
        <w:rPr>
          <w:rFonts w:ascii="Arial" w:hAnsi="Arial"/>
          <w:b/>
          <w:i w:val="0"/>
          <w:sz w:val="21"/>
        </w:rPr>
        <w:t>operational feasibility</w:t>
      </w:r>
      <w:r>
        <w:rPr>
          <w:rFonts w:ascii="Arial" w:hAnsi="Arial"/>
          <w:b w:val="0"/>
          <w:i w:val="0"/>
          <w:sz w:val="21"/>
        </w:rPr>
        <w:t xml:space="preserve"> (maintenance, update cadence, and long-term availability of the referenced model/technique). This extends DS-PRD-001's model-independence principle (no Committed/MVP capability may hard-depend on one vendor/model without an ADR) to the research stage, and DS-QA-011's rule that model evaluation never substitutes for deterministic verification applies to any output derived from a referenced model. </w:t>
      </w:r>
      <w:r>
        <w:rPr>
          <w:rFonts w:ascii="Arial" w:hAnsi="Arial"/>
          <w:b/>
          <w:i w:val="0"/>
          <w:sz w:val="21"/>
        </w:rPr>
        <w:t>No third-party model candidate may be promoted (to DS-013 or beyond) until all nine gates are satisfied and recorded</w:t>
      </w:r>
      <w:r>
        <w:rPr>
          <w:rFonts w:ascii="Arial" w:hAnsi="Arial"/>
          <w:b w:val="0"/>
          <w:i w:val="0"/>
          <w:sz w:val="21"/>
        </w:rPr>
        <w:t xml:space="preserve"> — a partial evaluation (e.g., benchmarking alone, without privacy/security/supply-chain review) is insufficient for promotion.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idea entry in this document states or implies that a named external model/reference is already adopted, superior, or a dependency.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Every idea referencing a named external model states, in its own Research Needed field, all nine mandatory gates (licensing, independent benchmarking, compute requirements, privacy, security, model-supply-chain risk, untrusted-artifact/weight handling, integration-boundary risk, operational feasibility) as preconditions for further advancement — not a subset.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third-party model candidate is marked Promoted (in either this document or its DS-013 cross-reference) without all nine gates recorded as satisfied.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Security and privacy treatment for any referenced model is consistent with DS-008 in full, never a lesser or parallel security standard.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Content-review check across every idea naming an external model/reference, confirming all nine gates are present and consistent with this rule; security/privacy-alignment check against DS-008 (shared with DS-008's own applicable tests, e.g., DS-SCA-009's injection-defense test extended to model artifacts).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DS-IDG-005 — Relationship to DS-013 (Boundary Rule)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(governance)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DS-014 (this document, normative); DS-BLG-006 (DS-013, 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This is the DS-014-side statement of DS-013's DS-BLG-006 boundary rule: DS-014 holds the research-stage concept; DS-013 holds the productized candidate once one exists. Neither document restates the other's content as a second, independent authority — each cross-references the other by ID where a topic exists in both.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DS-BLG-006's acceptance criteria exactly (shared rule, stated on both sides for document-local completeness).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Cross-volume duplication check between DS-013 and DS-014 (shared with DS-BLG-006's own test).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6. Idea Catalog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Each idea states: ID, Title, Description, Why It Is Interesting, Potential DarkSage Value, Risks/Unknowns, Research Needed, Promotion Criteria, Related Features/Volumes, Status, and Notes.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 Market Foundation Model Research Cluster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DS-IDEA-001 — DarkSage Market Foundation Model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large, pretrained model specialized for market/time-series data, potentially serving as a shared analytical backbone for multiple DarkSage capabilities (forecasting, regime detection, pattern recognition) rather than separate purpose-built models per task.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Foundation-model approaches have shown strong transfer-learning results in other domains; a shared backbone could reduce duplicated modeling effort across DarkSage's analytical surfaces if it proves viable.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unify DS-IDEA-004 (Market Encoder), DS-IDEA-005 (Forecast Engine), and DS-IDEA-006 (Regime Engine) behind one trained representation, if benchmarking supports it.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Training/maintenance cost; data requirements at foundation-model scale may exceed what a local-first, cost-conscious project can sustain (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§2.1 Cheap-First Architecture); unproven claim until independently benchmarked against DarkSage's deterministic baselines (DS-PRD-004 boundary is never affected regardless of outcome).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Literature review of existing market/financial foundation models; feasibility of training or fine-tuning at DarkSage's practical compute budget; benchmark design against deterministic baselines.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concrete, benchmarked proposal with defined scope (which analytical tasks, what data, what compute) before promotion to a DS-013 backlog item.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DS-BL-018, DS-BL-019 (DS-013, cross-referenced); DS-IDEA-002/003/004/005/006.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The umbrella concept for this research cluster; DS-IDEA-002 through 006 are more specific technical directions within it.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DS-IDEA-002 — Market Tokenization Inspired by Kronos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technique for representing market time-series data as discrete tokens (analogous to language-model tokenization), inspired by the Kronos research project's approach to financial time-series modeling.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Tokenized time-series representations may enable applying transformer-style architectures to market data more directly than raw numerical sequences.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A candidate input representation for DS-IDEA-001/004 if the market-foundation-model research track advances.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Kronos's licensing terms are not yet reviewed; its published benchmark results are not yet independently reproduced; tokenization schemes can lose information relevant to deterministic financial calculations, which must never depend on this representation (DS-PRD-004 remains absolute regardless); model weights/checkpoints obtained from an external source are untrusted artifacts until verified; unreviewed training-data provenance could carry privacy or supply-chain exposure.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All nine of DS-IDG-004's mandatory gates — licensing (terms of use/redistribution); independent benchmarking (not taken on published claims alone); compute requirements at DarkSage's scale; privacy (training-data composition and any DarkSage-data exposure risk); security (per DS-008); model-supply-chain risk (provenance of the model/weights); untrusted-artifact/weight handling (integrity/provenance verification before any weight is loaded); integration-boundary risk (confirming no path around DS-EXE-001/DS-PRD-011); and operational feasibility (maintenance/update cadence). Also: evaluation of tokenization information loss relevant to DarkSage's own data (equities-focused, per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§1/§5).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All nine DS-IDG-004 gates satisfied and recorded — not a subset — before any promotion to DS-013.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DS-BL-020 (DS-013, cross-referenced); DS-IDEA-001.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Arial" w:hAnsi="Arial"/>
          <w:b/>
          <w:i w:val="0"/>
          <w:sz w:val="21"/>
        </w:rPr>
        <w:t>Kronos is treated strictly as an architectural/research reference per DS-IDG-004 — not a committed dependency, not an assumed-superior model, and subject to licensing, independent benchmarking, compute requirements, privacy, security, model-supply-chain risk, untrusted-artifact/weight handling, integration-boundary risk, and operational feasibility evaluation.</w:t>
      </w:r>
      <w:r>
        <w:rPr>
          <w:rFonts w:ascii="Arial" w:hAnsi="Arial"/>
          <w:b w:val="0"/>
          <w:i w:val="0"/>
          <w:sz w:val="21"/>
        </w:rPr>
        <w:t xml:space="preserve"> This idea exists to track that evaluation, not to endorse adoption.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DS-IDEA-003 — Multi-Modal Market Representation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Combining multiple data modalities (price/volume time series, news text, filing documents, order-flow data) into one joint representation for analysis, rather than treating each as a separate, unrelated input.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Markets are influenced by more than price history alone; a joint representation could surface relationships single-modality analysis misses.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inform DS-IDEA-007 (Evidence Fusion Engine) and DS-IDEA-013 (SEC filing/news/fundamental fusion) with a shared technical foundation.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Significant architectural complexity; risk of an opaque, hard-to-explain joint representation conflicting with DS-001 §15's Explainability Standard if not carefully designed.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Literature review of multi-modal financial modeling approaches; explainability-preserving architecture design.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concrete architecture proposal that preserves per-modality evidence traceability (DS-PRD-002)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DS-BL-019 (DS-013, cross-referenced); DS-IDEA-001, DS-IDEA-007, DS-IDEA-013.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DS-IDEA-004 — Specialized Market Encoder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smaller, purpose-built encoder model for extracting structured features from market data, as a lighter-weight alternative to a full foundation-model approach.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Potentially more tractable than DS-IDEA-001 at DarkSage's compute budget while still providing specialized representation quality.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A near-term technical stepping stone toward DS-IDEA-001, or a standalone lighter-weight capability.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Same evaluation burden as any specialized model (DS-BL-018's Model Benchmarking gate).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Architecture survey; compute-cost estimate at DarkSage's scale.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Benchmarked against general-purpose provider baselines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DS-BL-018 (DS-013, cross-referenced); DS-IDEA-001.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DS-IDEA-005 — Forecast Engine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dedicated probabilistic forecasting component producing scenario/probability distributions for price or regime outcomes, distinct from deterministic backtesting.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Could formalize DS-IDEA-022 (Probabilistic Scenario Trees)'s output into a reusable engine.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Would need to integrate carefully with DS-PRD-009 (Uncertainty Communication) — any forecast output must be labeled probabilistic, never presented as deterministic fact.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High risk of over-claiming predictive accuracy; must never be positioned as replacing DS-RSK-002's deterministic risk calculations.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Forecasting methodology survey; calibration/backtesting-of-the-forecaster-itself methodology.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Calibration methodology proven and explicit uncertainty labeling designed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DS-BL-019 (DS-013, cross-referenced); DS-IDEA-001, DS-IDEA-022.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DS-IDEA-006 — Regime Engine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dedicated market-regime classification component (e.g., trending/ranging/high-volatility/low-volatility), building on the MarketRegime entity (DS-DB-003) already present in DS-005's data model.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3 already names "Market regime classification" directionally; this idea explores whether a specialized model improves on deterministic/statistical classification alone.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enhance DS-PERF's strategy-performance segmentation (DS-002 §5.3's Phase-3 direction) if it outperforms simpler statistical methods.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DS-ARC-020 already requires "measured statistical evidence only — a model's guess is never a substitute for computed statistics" for Strategy Performance/DNA architecture; any Regime Engine promotion must respect this boundary exactly.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Benchmark against the existing deterministic/statistical regime-classification approach DS-ARC-020 already anticipates.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Demonstrated improvement over statistical baseline, with the deterministic/statistical fallback always preserved as the authoritative floor (DS-ARC-020).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DS-004 (DS-ARC-020), DS-005 (DS-DB-003); DS-IDEA-001.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6.2 Evidence, Explainability, and Uncertainty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DS-IDEA-007 — Evidence Fusion Engine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dedicated component for combining multiple evidence sources (deterministic calculations, news, filings, Sage's own reasoning) into one coherent, traceable explanation.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Directly serves DS-001 §15's Explainability Standard at a deeper technical level than a single Sage response alone.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Backing technical component for DS-BL-022 (Additional Explainability and Evidence-Fusion Systems, DS-013).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Must preserve per-source provenance (DS-PRD-002) — a fused explanation that obscures which claim came from which source would be a regression, not an improvement.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Fusion architecture design that preserves per-source attribution.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Architecture proposal demonstrating provenance preservation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DS-BL-022 (DS-013, cross-referenced); DS-IDEA-003, DS-IDEA-021.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DS-IDEA-021 — Novel Explainability Interfaces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UI/UX-level exploration of new ways to present explanations beyond DS-UX-009's expandable-panel pattern — e.g., interactive evidence graphs, layered drill-down visualizations.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DS-UX-009 establishes a baseline pattern; this idea explores whether richer presentation improves comprehension without violating DS-001 §15's "shall not become a performance of certainty" constraint.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enhance both the Signal detail surface (Committed) and the future Sage conversational surface (Planned, Phase 6).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Risk of prioritizing visual sophistication over genuine clarity, which DS-001 §8.1 (Clarity) explicitly cautions against.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UX research on explanation comprehension; prototyping against DS-UX-009's existing pattern.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interface concept validated against DS-001 §8.1/§15 before promotion to a DS-007 (DS-UX) requirement.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DS-BL-022 (DS-013, cross-referenced); DS-007 (DS-UX-009).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DS-IDEA-022 — Probabilistic Scenario Trees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visual/analytical representation of branching future scenarios with associated probabilities, rather than a single point forecast.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Naturally communicates uncertainty (DS-PRD-009) rather than false precision, aligning with DS-001 §8's Evidence and Explainability values.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A candidate presentation layer for DS-IDEA-005 (Forecast Engine) output, and for DS-RSK-004's scenario analysis (Planned) once built.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Complexity of presenting branching probability trees without overwhelming the user (tension with DS-001 §8.1 Clarity).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UX prototyping; integration design with DS-RSK-004's deterministic scenario engine.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presentation concept validated against DS-RSK-004's existing deterministic scenario-analysis requirement.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DS-BL-022 (DS-013, cross-referenced); DS-002 (DS-RSK-004); DS-IDEA-005.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DS-IDEA-023 — Market Analog Retrieval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Retrieving historically similar market conditions/setups as evidence for a current analysis ("this looks like X historical period"), grounded in DS-PERF's Strategy DNA statistical infrastructure.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Gives users a concrete, evidence-based comparison rather than an abstract probability, consistent with DS-001 §8.2 (Evidence).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extend DS-PERF-003's Strategy DNA (Planned, Phase 3) with a user-facing retrieval interface.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Risk of implying predictive certainty from a historical analog when markets may not repeat — must be presented per DS-PRD-009's uncertainty-communication rule, and per DS-001 §13's "historical performance is not a guarantee of future performance."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Similarity-metric design; retrieval architecture.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similarity methodology validated as statistically meaningful (not superficial pattern-matching)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DS-002 (DS-PERF-003); DS-IDEA-006.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DS-IDEA-024 — Uncertainty-Aware Signal Presentation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Extending DS-SIG-002's deterministic signal grading with richer uncertainty presentation — e.g., confidence intervals or sensitivity ranges on the underlying scores, not just a single grade.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Could make DS-PRD-009's uncertainty-communication principle more concrete for the Signal system specifically.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Enhancement to the already-Committed DS-SIG-001/002 signal-grading baseline.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Must not alter DS-SIG-002's deterministic grading methodology itself (DS-PRD-004) — this is a presentation/uncertainty-quantification layer on top, not a replacement.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Statistical methodology for deriving meaningful confidence bounds from the existing deterministic scoring pipeline.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methodology that adds uncertainty quantification without altering the underlying deterministic score, validated before promotion to a DS-002 (DS-SIG) requirement.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DS-BL-022 (DS-013, cross-referenced); DS-002 (DS-SIG-001/002).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6.3 Model Infrastructure and Orchestration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DS-IDEA-008 — Local Model Orchestration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coordination layer for managing multiple local models (different sizes/specializations) selected per task, building on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6's local model manager direction.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Could improve resource efficiency by routing simple tasks to smaller models and complex tasks to larger ones.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Extends DS-ARC-013's AI Provider Interface (Planned, Phase 6) with a more sophisticated local-routing layer.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Added orchestration complexity; must not compromise DS-ARC-014's zero-cloud-provider functional guarantee.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Routing-policy design; latency/resource-tradeoff evaluation.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routing policy proposal that preserves DS-ARC-014's zero-cloud-dependency guarantee before promotion to a DS-004 requirement.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DS-004 (DS-ARC-013/014).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DS-IDEA-009 — Model Ensemble / Specialist-Model Architecture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Combining outputs from multiple specialist models (e.g., one for pattern recognition, one for regime classification) rather than relying on a single general-purpose model.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A common technique for improving robustness over any single model; aligns with the specialist-Agent ownership pattern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already uses for human/AI contributor roles.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combine DS-IDEA-004 (Market Encoder) and DS-IDEA-006 (Regime Engine) outputs coherently.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Ensemble disagreement handling must be explainable (DS-001 §15), not a black-box averaging step.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Ensemble architecture design; disagreement-explanation methodology.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ensemble proposal with explainable disagreement handling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DS-IDEA-004, DS-IDEA-006, DS-IDEA-008.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DS-IDEA-010 — Synthetic Market Generation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Generating synthetic (simulated, non-historical) market data for stress-testing strategies beyond available historical data.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8 already names Monte Carlo simulation and risk-of-ruin analysis directionally; synthetic generation is a plausible extension technique.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Backing technique for DS-BL-006 (Deeper Backtesting and Synthetic Scenario Testing, DS-013).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A statistically invalid generation method could produce misleadingly favorable backtest results — must integrate with DS-BKT-003's look-ahead-bias/data-leakage discipline and be clearly labeled as synthetic per DS-PRD-008 wherever displayed.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Generation-methodology survey (statistical resampling, bootstrapping, or generative modeling); statistical-validity evaluation methodology.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generation methodology with demonstrated statistical validity before promotion to a DS-002 (DS-BKT) requirement.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DS-BL-006 (DS-013, cross-referenced); DS-002 (DS-BKT-003/004).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DS-IDEA-011 — Cross-Asset Context Modeling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Modeling relationships between an analyzed security and broader market/sector/macro context (e.g., correlated assets, sector rotation signals) as additional evidence.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10 already names sector rotation and market breadth directionally; this idea explores a modeling approach to it.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enrich Sage's evidence base (DS-PRD-002) with cross-asset context.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Added data-source dependency (sector/macro data feeds); must maintain per-source provenance.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Data-source evaluation; modeling-approach survey.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modeling approach and data-source plan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10; DS-IDEA-003.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DS-IDEA-012 — Options and Order-Flow Intelligence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Analytical use of options-market data (e.g., unusual options activity, put/call skew) and order-flow data as market-intelligence evidence, distinct from options </w:t>
      </w:r>
      <w:r>
        <w:rPr>
          <w:rFonts w:ascii="Arial" w:hAnsi="Arial"/>
          <w:b w:val="0"/>
          <w:i/>
          <w:sz w:val="21"/>
        </w:rPr>
        <w:t>trading</w:t>
      </w:r>
      <w:r>
        <w:rPr>
          <w:rFonts w:ascii="Arial" w:hAnsi="Arial"/>
          <w:b w:val="0"/>
          <w:i w:val="0"/>
          <w:sz w:val="21"/>
        </w:rPr>
        <w:t xml:space="preserve"> (DS-BL-007).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Options/order-flow data can carry information about market participants' expectations even for an equities-focused platform.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A market-intelligence evidence source, not necessarily requiring options trading capability itself.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Options/order-flow data licensing is typically more expensive and specialized than equities data.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Data-source and licensing evaluation; distinguishing this evidence-only use from DS-BL-007's options-trading scope.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Data-source licensing/cost evaluated before promotion to a DS-013 backlog item.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DS-BL-007 (DS-013, related but distinct scope).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DS-IDEA-013 — SEC Filing, News, and Fundamental Fusion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Combining SEC filing data, news, and fundamental data into DarkSage's evidence base for Sage and Signal explanations.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A concrete, well-precedented data-fusion direction (many trading-intelligence products already do this) with clear evidentiary value.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Directly serves DS-PRD-002's evidence-provenance principle by adding well-attributable evidence types.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Data-source licensing (SEC filings are public, but aggregation/normalization services often are not); staleness must be disclosed per DS-PRD-008.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Data-source and licensing evaluation.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Data-source plan and licensing evaluation complete before promotion to a DS-013 backlog item.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DS-IDEA-003, DS-IDEA-007.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6.4 Agents, Workspace, and Coordination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DS-IDEA-014 — Autonomous Research Agents with Strict Boundaries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AI agents that autonomously conduct market research (gathering evidence, summarizing) within strictly defined, non-execution boundaries — never trading, never bypassing the deterministic core.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Could extend Sage's research capability beyond a single conversational turn, while remaining fully within DS-003's Core Rule boundary.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A potential Phase-6+ Sage capability extension, strictly advisory.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Autonomous agent behavior is inherently harder to bound and audit than single-turn interaction; must never approach DS-EXE-001's execution boundary even indirectly.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Boundary-enforcement architecture; audit/observability requirements for autonomous multi-step agent behavior.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boundary-enforcement design independently reviewed against DS-EXE-001/DS-SCA-012 before any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DS-003 (Core Rule), DS-002 (DS-EXE-001), DS-008 (DS-SCA-012).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High-sensitivity idea given its proximity to execution boundaries; any future work here should treat DS-EXE-001's governance boundary as non-negotiable regardless of implementation sophistication.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DS-IDEA-015 — Advanced Workspace Studio Concepts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Workspace Studio ideas beyond DS-WKS-001–006's current scope — e.g., workspace templates shared across purposes, AI-suggested layouts, context-sensitive widget recommendations.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DS-001 §19.1's Workspace Studio Vision is intentionally broad ("may support... purpose-specific workspaces, user-selected information density, and multi-monitor workflows"), leaving room for further ideas beyond what DS-WKS/DS-UX have already captured.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Could inform future DS-WKS/DS-UX requirement authoring.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Must preserve Presentation Independence (ADR-004) regardless of how sophisticated workspace suggestions become.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UX research on workspace customization patterns in comparable products.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concept well-defined enough for a DS-013 backlog item.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DS-BL-016 (DS-013, related); DS-002 (DS-WKS), DS-007 (DS-UX-001).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DS-IDEA-016 — Future Multi-Device Coordination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Coordinated state/notification handoff across desktop and mobile beyond DS-ARC-003's baseline cross-client consistency — e.g., "continue on mobile" handoff, synchronized alert acknowledgment.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A natural extension once both desktop and mobile clients exist (Phase 9+).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Improved cross-device UX built on the already-Committed backend-authoritative-state foundation (DS-ARC-001).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None beyond standard multi-client synchronization complexity.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UX research on handoff patterns.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handoff concept defined once Phase 9's mobile baseline exists.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DS-BL-015 (DS-013, related); DS-004 (DS-ARC-003).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DS-IDEA-017 — DarkSage Agent Bridge / MCP Orchestration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bridge/orchestration layer allowing DarkSage's AI capabilities to interoperate with external agent/tool-orchestration protocols (e.g., Model Context Protocol-style tool interfaces), for structured tool-calling between Sage and deterministic backend services.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Could formalize how Sage invokes deterministic tools (DS-AI-002, DS-SGE-006) using an emerging standard interface pattern rather than a bespoke one.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Cleaner separation between Sage's reasoning layer and the deterministic services it queries, potentially easing DS-PRD-001's model-independence goal.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Any such bridge must still route every tool call through DS-PRD-011's AI-output-validation boundary; a generic orchestration protocol must not become a bypass path around DS-EXE-001.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Protocol survey; security review of tool-calling boundary enforcement.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design demonstrating the validation/execution boundaries are preserved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DS-003 (DS-SGE-006), DS-002 (DS-PRD-011), DS-008 (DS-SCA-008).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This is a technical/architectural idea about Sage's own tool-calling infrastructure — distinct from and not to be confused with this Codex's own authoring-process tooling.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DS-IDEA-018 — Keeper and Development-Assistant Shared Workflow Concepts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Ideas for improving this Codex's own authoring/audit/governance workflow — e.g., more automated cross-reference checking, structured findings export formats.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This Codex has now completed 14 volumes using a consistent author → self-verify → independent-audit → repair cycle; patterns worth formalizing may exist.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Process efficiency for future Codex authoring/maintenance, not a product capability.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Any tooling built for this purpose is internal development process, not product functionality — must remain clearly separated from DarkSage's own public product scope (DS-DEV-024's tool-neutral public-repository requirement applies to any resulting artifacts).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Retrospective analysis of this Codex's own authoring history for repeated patterns worth automating.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Not applicable to DS-013 product-feature promotion — this idea, if pursued, would inform DS-010 process documentation or another public, committed process record, not a product requirement. Any local, non-committed workflow file that happens to implement a resulting practice does so only as operational convenience and is never cited here as this idea's authority or destination (DS-DEV-025's local-workflow-authority rule).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DS-010 (development standards).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This idea concerns DarkSage's own engineering process, not a DarkSage product feature — it is recorded here for completeness per the batch instruction but would never itself become a DS-002+ requirement; at most it could inform a future DS-010 revision.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6.5 Sage Model Training and Specialization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DS-IDEA-019 — Training Sage as a Dedicated Local/Open-Weight Model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Training or fine-tuning a dedicated open-weight model specifically for Sage's role, rather than relying solely on general-purpose local/cloud providers.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Could improve Sage's domain fluency and reduce dependency on any single external provider, advancing DS-PRD-001's model-independence goal further.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A deeper investment in local-first AI (DS-ARC-014) beyond the general-purpose provider-abstraction baseline.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Training cost and expertise requirements are substantial; base open-weight model licensing must be reviewed; base model weights are untrusted artifacts until provenance/integrity is verified; training-data composition of the base model may carry privacy or supply-chain exposure not yet assessed.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All nine of DS-IDG-004's mandatory gates (licensing, independent benchmarking, compute requirements, privacy, security per DS-008, model-supply-chain risk, untrusted-artifact/weight handling, integration-boundary risk, operational feasibility) applied to each candidate base model, plus training/fine-tuning cost estimate.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base model with all nine DS-IDG-004 gates satisfied and recorded, and a training plan benchmarked against general-purpose providers,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DS-BL-018 (DS-013, cross-referenced); DS-IDEA-001, DS-IDEA-020.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Any candidate base/open-weight model is a third-party model candidate under DS-IDG-004 and subject to its full nine-gate review before promotion.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DS-IDEA-020 — Distillation and Adapter-Based Specialization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Using knowledge distillation or lightweight adapter techniques (e.g., LoRA-style) to specialize a smaller local model from a larger reference model's behavior, as a lower-cost alternative to full training (DS-IDEA-019).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Adapter-based approaches are typically far cheaper than full fine-tuning while still providing meaningful specialization.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A more tractable near-term path toward DS-BL-018/021's specialized-model goals than full training.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Distillation from a licensed reference model may carry redistribution restrictions; the reference model's weights are an untrusted artifact until verified; requires the same full review as any other referenced model (DS-IDG-004), not licensing alone.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Technique survey; all nine of DS-IDG-004's mandatory gates applied to each candidate reference/base model.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technique and target model pair, with all nine DS-IDG-004 gates satisfied and recorded, before promotion.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DS-BL-018, DS-BL-021 (DS-013, cross-referenced); DS-IDEA-002, DS-IDEA-019.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Exploratory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Any candidate reference/base model for distillation is a third-party model candidate under DS-IDG-004 and subject to its full nine-gate review before promotion.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6.6 Broader Research Direction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DS-IDEA-025 — Future Research into Additional Open Financial Models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An ongoing, general-purpose research watch for newly published open-weight or open-research financial/market models beyond Kronos (DS-IDEA-002), to be evaluated as they emerge.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Why It Is Interesting:</w:t>
      </w:r>
      <w:r>
        <w:rPr>
          <w:rFonts w:ascii="Arial" w:hAnsi="Arial"/>
          <w:b w:val="0"/>
          <w:i w:val="0"/>
          <w:sz w:val="21"/>
        </w:rPr>
        <w:t xml:space="preserve"> The open financial-modeling research landscape is active and evolving; a standing watch avoids anchoring exclusively on any one reference.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Potential DarkSage Value:</w:t>
      </w:r>
      <w:r>
        <w:rPr>
          <w:rFonts w:ascii="Arial" w:hAnsi="Arial"/>
          <w:b w:val="0"/>
          <w:i w:val="0"/>
          <w:sz w:val="21"/>
        </w:rPr>
        <w:t xml:space="preserve"> Keeps DS-IDEA-001's foundation-model research track informed by the broader field rather than a single reference point.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Risks/Unknowns:</w:t>
      </w:r>
      <w:r>
        <w:rPr>
          <w:rFonts w:ascii="Arial" w:hAnsi="Arial"/>
          <w:b w:val="0"/>
          <w:i w:val="0"/>
          <w:sz w:val="21"/>
        </w:rPr>
        <w:t xml:space="preserve"> None specific — this is a research-monitoring practice, not a technical commitment.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Research Needed:</w:t>
      </w:r>
      <w:r>
        <w:rPr>
          <w:rFonts w:ascii="Arial" w:hAnsi="Arial"/>
          <w:b w:val="0"/>
          <w:i w:val="0"/>
          <w:sz w:val="21"/>
        </w:rPr>
        <w:t xml:space="preserve"> Ongoing literature/release monitoring; no fixed endpoint.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Promotion Criteria:</w:t>
      </w:r>
      <w:r>
        <w:rPr>
          <w:rFonts w:ascii="Arial" w:hAnsi="Arial"/>
          <w:b w:val="0"/>
          <w:i w:val="0"/>
          <w:sz w:val="21"/>
        </w:rPr>
        <w:t xml:space="preserve"> A specific newly-identified model is promoted into its own dedicated </w:t>
      </w:r>
      <w:r>
        <w:rPr>
          <w:rFonts w:ascii="Consolas" w:hAnsi="Consolas"/>
          <w:b w:val="0"/>
          <w:i w:val="0"/>
          <w:sz w:val="20"/>
        </w:rPr>
        <w:t>DS-IDEA-NNN</w:t>
      </w:r>
      <w:r>
        <w:rPr>
          <w:rFonts w:ascii="Arial" w:hAnsi="Arial"/>
          <w:b w:val="0"/>
          <w:i w:val="0"/>
          <w:sz w:val="21"/>
        </w:rPr>
        <w:t xml:space="preserve"> entry (following DS-IDG-004's treatment rule) once it merits individual tracking, rather than being folded into this general entry indefinitely.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Related Features/Volumes:</w:t>
      </w:r>
      <w:r>
        <w:rPr>
          <w:rFonts w:ascii="Arial" w:hAnsi="Arial"/>
          <w:b w:val="0"/>
          <w:i w:val="0"/>
          <w:sz w:val="21"/>
        </w:rPr>
        <w:t xml:space="preserve"> DS-IDEA-001, DS-IDEA-002.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Under Active Research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Notes:</w:t>
      </w:r>
      <w:r>
        <w:rPr>
          <w:rFonts w:ascii="Arial" w:hAnsi="Arial"/>
          <w:b w:val="0"/>
          <w:i w:val="0"/>
          <w:sz w:val="21"/>
        </w:rPr>
        <w:t xml:space="preserve"> This entry is intentionally open-ended; per DS-IDG-004, any specific model surfaced through this research is treated with the same non-dependency, non-superiority, evaluation-required discipline as Kronos.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7. Non-Goals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DS-014 does not: commit any idea to Committed, Planned, or Approved-Future status by virtue of inclusion (DS-IDG-001); assume any named external model or research reference is superior, adopted, or a dependency without independent benchmarking and licensing review (DS-IDG-004); duplicate DS-013's productized-candidate content as a second, competing description (DS-IDG-005 — cross-reference instead); or commit to a specific AI/ML architecture, training approach, or vendor.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8. Dependencies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DS-001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DS-002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DS-003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DS-004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DS-009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DS-013</w:t>
      </w:r>
      <w:r>
        <w:rPr>
          <w:rFonts w:ascii="Arial" w:hAnsi="Arial"/>
          <w:b w:val="0"/>
          <w:i w:val="0"/>
          <w:sz w:val="21"/>
        </w:rPr>
        <w:t xml:space="preserve"> (this batch, cross-referenced items)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PROJECT_SPEC.md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9. Risks and Constraints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Classification discipline:</w:t>
      </w:r>
      <w:r>
        <w:rPr>
          <w:rFonts w:ascii="Arial" w:hAnsi="Arial"/>
          <w:b w:val="0"/>
          <w:i w:val="0"/>
          <w:sz w:val="21"/>
        </w:rPr>
        <w:t xml:space="preserve"> no idea carries a Release Classification; every idea explicitly states Research Needed and Promotion Criteria rather than implying current direction.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Third-party model discipline:</w:t>
      </w:r>
      <w:r>
        <w:rPr>
          <w:rFonts w:ascii="Arial" w:hAnsi="Arial"/>
          <w:b w:val="0"/>
          <w:i w:val="0"/>
          <w:sz w:val="21"/>
        </w:rPr>
        <w:t xml:space="preserve"> every idea naming an external model/reference (DS-IDEA-002, and any future entries under DS-IDEA-025's ongoing watch) explicitly carries DS-IDG-004's non-dependency, non-superiority, evaluation-required treatment — preventing this document from becoming an implicit roadmap toward any specific external technology.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Process-vs-product boundary:</w:t>
      </w:r>
      <w:r>
        <w:rPr>
          <w:rFonts w:ascii="Arial" w:hAnsi="Arial"/>
          <w:b w:val="0"/>
          <w:i w:val="0"/>
          <w:sz w:val="21"/>
        </w:rPr>
        <w:t xml:space="preserve"> DS-IDEA-018 (Codex workflow concepts) is explicitly flagged as concerning DarkSage's own engineering process rather than a product feature, to prevent it from being mistaken for a product-backlog candidate.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10. Verification Approach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Document-level verification (unique-ID check across </w:t>
      </w:r>
      <w:r>
        <w:rPr>
          <w:rFonts w:ascii="Consolas" w:hAnsi="Consolas"/>
          <w:b w:val="0"/>
          <w:i w:val="0"/>
          <w:sz w:val="20"/>
        </w:rPr>
        <w:t>DS-IDG-NNN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DS-IDEA-NNN</w:t>
      </w:r>
      <w:r>
        <w:rPr>
          <w:rFonts w:ascii="Arial" w:hAnsi="Arial"/>
          <w:b w:val="0"/>
          <w:i w:val="0"/>
          <w:sz w:val="21"/>
        </w:rPr>
        <w:t xml:space="preserve">, cross-reference consistency against DS-001 through DS-004/DS-009/DS-013, no idea carrying an implied Release Classification, DS-013 cross-references valid, Kronos and all other named models treated per DS-IDG-004) recorded in </w:t>
      </w:r>
      <w:r>
        <w:rPr>
          <w:rFonts w:ascii="Consolas" w:hAnsi="Consolas"/>
          <w:b w:val="0"/>
          <w:i w:val="0"/>
          <w:sz w:val="20"/>
        </w:rPr>
        <w:t>.ai-workflow/HANDOFF.md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11. References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PROJECT_SPEC.md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docs/codex/Volume-01-Foundation/DS-001-Executive-Vision.md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docs/codex/Volume-03-Sage/DS-003-Sage-AI-Bible.md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docs/codex/Volume-09-Testing/DS-009-Testing-and-QA.md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docs/codex/Volume-13-Backlog/DS-013-Feature-Backlog.md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Appendix A — Open Questions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Kronos and market-foundation-model licensing/benchmarking</w:t>
      </w:r>
      <w:r>
        <w:rPr>
          <w:rFonts w:ascii="Arial" w:hAnsi="Arial"/>
          <w:b w:val="0"/>
          <w:i w:val="0"/>
          <w:sz w:val="21"/>
        </w:rPr>
        <w:t xml:space="preserve"> — entirely unresolved; DS-IDEA-002 exists specifically to track this evaluation, not to presuppose its outcome.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DS-IDEA-018's process-vs-product classification</w:t>
      </w:r>
      <w:r>
        <w:rPr>
          <w:rFonts w:ascii="Arial" w:hAnsi="Arial"/>
          <w:b w:val="0"/>
          <w:i w:val="0"/>
          <w:sz w:val="21"/>
        </w:rPr>
        <w:t xml:space="preserve"> — recorded as a genuine boundary question: this Codex has no precedent for whether an internal-process idea belongs in DS-014 at all; retained here per the batch instruction, flagged for future governance clarification.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Governance-confirmation carryover</w:t>
      </w:r>
      <w:r>
        <w:rPr>
          <w:rFonts w:ascii="Arial" w:hAnsi="Arial"/>
          <w:b w:val="0"/>
          <w:i w:val="0"/>
          <w:sz w:val="21"/>
        </w:rPr>
        <w:t xml:space="preserve"> — the standing </w:t>
      </w:r>
      <w:r>
        <w:rPr>
          <w:rFonts w:ascii="Consolas" w:hAnsi="Consolas"/>
          <w:b w:val="0"/>
          <w:i w:val="0"/>
          <w:sz w:val="20"/>
        </w:rPr>
        <w:t>BLOCKERS.md</w:t>
      </w:r>
      <w:r>
        <w:rPr>
          <w:rFonts w:ascii="Arial" w:hAnsi="Arial"/>
          <w:b w:val="0"/>
          <w:i w:val="0"/>
          <w:sz w:val="21"/>
        </w:rPr>
        <w:t xml:space="preserve"> items apply identically here and are not re-litigated.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12. Founder Vision Completion Disposition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Ideas promoted into controlled direction by the Foundation Completion amendment—Research Intelligence, structured Journal/Reviews, bounded Sage agency, canonical trade-intelligence packages, advanced portfolio/strategy intelligence, contextual education, and Discord alerts—shall be cross-referenced as Promoted rather than left appearing unowned or merely speculative. Remaining model-training, distillation, market-foundation-model, social, tax, budgeting, and advanced multi-platform ideas stay exploratory until their own requirements and risk reviews are approved.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296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A7ABB3"/>
        <w:sz w:val="17"/>
      </w:rPr>
    </w:r>
    <w:r>
      <w:rPr>
        <w:rFonts w:ascii="Arial" w:hAnsi="Arial"/>
        <w:color w:val="A7ABB3"/>
        <w:sz w:val="17"/>
      </w:rPr>
      <w:t xml:space="preserve">Page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PAGE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  <w:r>
      <w:rPr>
        <w:rFonts w:ascii="Arial" w:hAnsi="Arial"/>
        <w:color w:val="A7ABB3"/>
        <w:sz w:val="17"/>
      </w:rPr>
      <w:t xml:space="preserve"> of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NUMPAGES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</w:p>
  <w:p>
    <w:pPr>
      <w:jc w:val="center"/>
    </w:pPr>
    <w:r>
      <w:rPr>
        <w:rFonts w:ascii="Arial" w:hAnsi="Arial"/>
        <w:color w:val="A7ABB3"/>
        <w:sz w:val="15"/>
      </w:rPr>
      <w:t>v0.3.1 — Draft  |  Classification: Internal</w:t>
    </w:r>
  </w:p>
  <w:p>
    <w:pPr>
      <w:jc w:val="center"/>
    </w:pPr>
    <w:r>
      <w:rPr>
        <w:rFonts w:ascii="Consolas" w:hAnsi="Consolas"/>
        <w:color w:val="A7ABB3"/>
        <w:sz w:val="14"/>
      </w:rPr>
      <w:t>Generated from DS-014 v0.3.1 — baseline 8b5cf5bd0341d5d6f70c67302c8bce2069d0929a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40"/>
      <w:pBdr>
        <w:bottom w:val="single" w:sz="6" w:space="4" w:color="C8A45D"/>
      </w:pBdr>
    </w:pPr>
    <w:r/>
    <w:r>
      <w:rPr>
        <w:rFonts w:ascii="Arial" w:hAnsi="Arial"/>
        <w:color w:val="17181C"/>
        <w:sz w:val="17"/>
      </w:rPr>
      <w:t>DarkSage — Idea Parking Lot</w:t>
    </w:r>
    <w:r>
      <w:tab/>
    </w:r>
    <w:r>
      <w:rPr>
        <w:rFonts w:ascii="Consolas" w:hAnsi="Consolas"/>
        <w:b/>
        <w:color w:val="C8A45D"/>
        <w:sz w:val="17"/>
      </w:rPr>
      <w:t>DS-014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