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Technical Architecture</w:t>
            </w:r>
          </w:p>
          <w:p>
            <w:pPr>
              <w:spacing w:before="0" w:after="80"/>
              <w:jc w:val="center"/>
            </w:pPr>
            <w:r>
              <w:rPr>
                <w:rFonts w:ascii="Times New Roman" w:hAnsi="Times New Roman"/>
                <w:b w:val="0"/>
                <w:i w:val="0"/>
                <w:color w:val="A7ABB3"/>
                <w:sz w:val="24"/>
              </w:rPr>
              <w:t>Version 0.3.0 — Draft</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34a65818d48f596122281075e18c6e5f36ec93b5</w:t>
            </w:r>
          </w:p>
          <w:p>
            <w:pPr>
              <w:spacing w:before="0" w:after="40"/>
              <w:jc w:val="center"/>
            </w:pPr>
            <w:r>
              <w:rPr>
                <w:rFonts w:ascii="Consolas" w:hAnsi="Consolas"/>
                <w:b w:val="0"/>
                <w:i w:val="0"/>
                <w:color w:val="A7ABB3"/>
                <w:sz w:val="18"/>
              </w:rPr>
              <w:t>Generation date: 2026-07-25T13:31:10-04:00</w:t>
            </w:r>
          </w:p>
          <w:p>
            <w:pPr>
              <w:spacing w:before="0" w:after="40"/>
              <w:jc w:val="center"/>
            </w:pPr>
            <w:r>
              <w:rPr>
                <w:rFonts w:ascii="Consolas" w:hAnsi="Consolas"/>
                <w:b w:val="0"/>
                <w:i w:val="0"/>
                <w:color w:val="A7ABB3"/>
                <w:sz w:val="18"/>
              </w:rPr>
              <w:t>Document ID: DS-004</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DS-004</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Technical Architecture</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0.3.0</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2026-07-23</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2026-07-24</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2026-07-23</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Document control scaffold and Foundational Direction statement created; no detailed normative content.</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First substantial controlled draft. Formalizes the repository's pre-existing, authoritative </w:t>
            </w:r>
            <w:r>
              <w:rPr>
                <w:rFonts w:ascii="Consolas" w:hAnsi="Consolas"/>
                <w:b w:val="0"/>
                <w:i w:val="0"/>
                <w:sz w:val="18"/>
              </w:rPr>
              <w:t>ARCHITECTURE.md</w:t>
            </w:r>
            <w:r>
              <w:rPr>
                <w:rFonts w:ascii="Arial" w:hAnsi="Arial"/>
                <w:b w:val="0"/>
                <w:i w:val="0"/>
                <w:sz w:val="19"/>
              </w:rPr>
              <w:t xml:space="preserve"> (31 sections) into Codex-governed, testable </w:t>
            </w:r>
            <w:r>
              <w:rPr>
                <w:rFonts w:ascii="Consolas" w:hAnsi="Consolas"/>
                <w:b w:val="0"/>
                <w:i w:val="0"/>
                <w:sz w:val="18"/>
              </w:rPr>
              <w:t>DS-ARC-NNN</w:t>
            </w:r>
            <w:r>
              <w:rPr>
                <w:rFonts w:ascii="Arial" w:hAnsi="Arial"/>
                <w:b w:val="0"/>
                <w:i w:val="0"/>
                <w:sz w:val="19"/>
              </w:rPr>
              <w:t xml:space="preserve"> requirements, cross-referenced to DS-001, DS-002, DS-003, and ADR-001–004. </w:t>
            </w:r>
            <w:r>
              <w:rPr>
                <w:rFonts w:ascii="Consolas" w:hAnsi="Consolas"/>
                <w:b w:val="0"/>
                <w:i w:val="0"/>
                <w:sz w:val="18"/>
              </w:rPr>
              <w:t>ARCHITECTURE.md</w:t>
            </w:r>
            <w:r>
              <w:rPr>
                <w:rFonts w:ascii="Arial" w:hAnsi="Arial"/>
                <w:b w:val="0"/>
                <w:i w:val="0"/>
                <w:sz w:val="19"/>
              </w:rPr>
              <w:t xml:space="preserve"> remains the detailed implementation reference (full indicator/pattern/metric catalogs, exact module lists); DS-004 states the governance-critical architectural contracts as traceable, auditable requirements.</w:t>
            </w:r>
          </w:p>
        </w:tc>
      </w:tr>
      <w:tr>
        <w:tc>
          <w:tcPr>
            <w:tcW w:type="dxa" w:w="1008"/>
          </w:tcPr>
          <w:p>
            <w:pPr>
              <w:spacing w:after="80"/>
            </w:pPr>
            <w:r>
              <w:rPr>
                <w:rFonts w:ascii="Arial" w:hAnsi="Arial"/>
                <w:b w:val="0"/>
                <w:i w:val="0"/>
                <w:sz w:val="19"/>
              </w:rPr>
              <w:t>0.3.0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Repair pass addressing independent audit findings DS-004-A01 through A03. </w:t>
            </w:r>
            <w:r>
              <w:rPr>
                <w:rFonts w:ascii="Arial" w:hAnsi="Arial"/>
                <w:b/>
                <w:i w:val="0"/>
                <w:sz w:val="19"/>
              </w:rPr>
              <w:t>A01:</w:t>
            </w:r>
            <w:r>
              <w:rPr>
                <w:rFonts w:ascii="Arial" w:hAnsi="Arial"/>
                <w:b w:val="0"/>
                <w:i w:val="0"/>
                <w:sz w:val="19"/>
              </w:rPr>
              <w:t xml:space="preserve"> reclassified </w:t>
            </w:r>
            <w:r>
              <w:rPr>
                <w:rFonts w:ascii="Consolas" w:hAnsi="Consolas"/>
                <w:b w:val="0"/>
                <w:i w:val="0"/>
                <w:sz w:val="18"/>
              </w:rPr>
              <w:t>DS-ARC-011</w:t>
            </w:r>
            <w:r>
              <w:rPr>
                <w:rFonts w:ascii="Arial" w:hAnsi="Arial"/>
                <w:b w:val="0"/>
                <w:i w:val="0"/>
                <w:sz w:val="19"/>
              </w:rPr>
              <w:t>/</w:t>
            </w:r>
            <w:r>
              <w:rPr>
                <w:rFonts w:ascii="Consolas" w:hAnsi="Consolas"/>
                <w:b w:val="0"/>
                <w:i w:val="0"/>
                <w:sz w:val="18"/>
              </w:rPr>
              <w:t>012</w:t>
            </w:r>
            <w:r>
              <w:rPr>
                <w:rFonts w:ascii="Arial" w:hAnsi="Arial"/>
                <w:b w:val="0"/>
                <w:i w:val="0"/>
                <w:sz w:val="19"/>
              </w:rPr>
              <w:t xml:space="preserve"> (TradeValidationPipeline/Risk-Permissions integration, Phase 7) and </w:t>
            </w:r>
            <w:r>
              <w:rPr>
                <w:rFonts w:ascii="Consolas" w:hAnsi="Consolas"/>
                <w:b w:val="0"/>
                <w:i w:val="0"/>
                <w:sz w:val="18"/>
              </w:rPr>
              <w:t>DS-ARC-013</w:t>
            </w:r>
            <w:r>
              <w:rPr>
                <w:rFonts w:ascii="Arial" w:hAnsi="Arial"/>
                <w:b w:val="0"/>
                <w:i w:val="0"/>
                <w:sz w:val="19"/>
              </w:rPr>
              <w:t xml:space="preserve"> (AI Provider Interface, Phase 6) from Committed/MVP to Planned; narrowed </w:t>
            </w:r>
            <w:r>
              <w:rPr>
                <w:rFonts w:ascii="Consolas" w:hAnsi="Consolas"/>
                <w:b w:val="0"/>
                <w:i w:val="0"/>
                <w:sz w:val="18"/>
              </w:rPr>
              <w:t>DS-ARC-004</w:t>
            </w:r>
            <w:r>
              <w:rPr>
                <w:rFonts w:ascii="Arial" w:hAnsi="Arial"/>
                <w:b w:val="0"/>
                <w:i w:val="0"/>
                <w:sz w:val="19"/>
              </w:rPr>
              <w:t xml:space="preserve"> (Backend Service Architecture) and </w:t>
            </w:r>
            <w:r>
              <w:rPr>
                <w:rFonts w:ascii="Consolas" w:hAnsi="Consolas"/>
                <w:b w:val="0"/>
                <w:i w:val="0"/>
                <w:sz w:val="18"/>
              </w:rPr>
              <w:t>DS-ARC-005</w:t>
            </w:r>
            <w:r>
              <w:rPr>
                <w:rFonts w:ascii="Arial" w:hAnsi="Arial"/>
                <w:b w:val="0"/>
                <w:i w:val="0"/>
                <w:sz w:val="19"/>
              </w:rPr>
              <w:t xml:space="preserve"> (Shared Models) to their genuine Phase-1 module/model subset, with the remainder explicitly Planned. Added a document-level Release Classification note distinguishing "implementation phase" from "governance boundary." </w:t>
            </w:r>
            <w:r>
              <w:rPr>
                <w:rFonts w:ascii="Arial" w:hAnsi="Arial"/>
                <w:b/>
                <w:i w:val="0"/>
                <w:sz w:val="19"/>
              </w:rPr>
              <w:t>A02:</w:t>
            </w:r>
            <w:r>
              <w:rPr>
                <w:rFonts w:ascii="Arial" w:hAnsi="Arial"/>
                <w:b w:val="0"/>
                <w:i w:val="0"/>
                <w:sz w:val="19"/>
              </w:rPr>
              <w:t xml:space="preserve"> added six new requirements (</w:t>
            </w:r>
            <w:r>
              <w:rPr>
                <w:rFonts w:ascii="Consolas" w:hAnsi="Consolas"/>
                <w:b w:val="0"/>
                <w:i w:val="0"/>
                <w:sz w:val="18"/>
              </w:rPr>
              <w:t>DS-ARC-020</w:t>
            </w:r>
            <w:r>
              <w:rPr>
                <w:rFonts w:ascii="Arial" w:hAnsi="Arial"/>
                <w:b w:val="0"/>
                <w:i w:val="0"/>
                <w:sz w:val="19"/>
              </w:rPr>
              <w:t xml:space="preserve"> through </w:t>
            </w:r>
            <w:r>
              <w:rPr>
                <w:rFonts w:ascii="Consolas" w:hAnsi="Consolas"/>
                <w:b w:val="0"/>
                <w:i w:val="0"/>
                <w:sz w:val="18"/>
              </w:rPr>
              <w:t>DS-ARC-025</w:t>
            </w:r>
            <w:r>
              <w:rPr>
                <w:rFonts w:ascii="Arial" w:hAnsi="Arial"/>
                <w:b w:val="0"/>
                <w:i w:val="0"/>
                <w:sz w:val="19"/>
              </w:rPr>
              <w:t>) covering Strategy Performance/DNA, Broker/Auto-Trader architecture, Emergency Stop/Flatten, Portfolio architecture, Mobile control security, and the complete Trading Knowledge Engine architecture (</w:t>
            </w:r>
            <w:r>
              <w:rPr>
                <w:rFonts w:ascii="Consolas" w:hAnsi="Consolas"/>
                <w:b w:val="0"/>
                <w:i w:val="0"/>
                <w:sz w:val="18"/>
              </w:rPr>
              <w:t>ARCHITECTURE.md</w:t>
            </w:r>
            <w:r>
              <w:rPr>
                <w:rFonts w:ascii="Arial" w:hAnsi="Arial"/>
                <w:b w:val="0"/>
                <w:i w:val="0"/>
                <w:sz w:val="19"/>
              </w:rPr>
              <w:t xml:space="preserve"> §31) — all previously omitted. </w:t>
            </w:r>
            <w:r>
              <w:rPr>
                <w:rFonts w:ascii="Arial" w:hAnsi="Arial"/>
                <w:b/>
                <w:i w:val="0"/>
                <w:sz w:val="19"/>
              </w:rPr>
              <w:t>A03:</w:t>
            </w:r>
            <w:r>
              <w:rPr>
                <w:rFonts w:ascii="Arial" w:hAnsi="Arial"/>
                <w:b w:val="0"/>
                <w:i w:val="0"/>
                <w:sz w:val="19"/>
              </w:rPr>
              <w:t xml:space="preserve"> gave </w:t>
            </w:r>
            <w:r>
              <w:rPr>
                <w:rFonts w:ascii="Consolas" w:hAnsi="Consolas"/>
                <w:b w:val="0"/>
                <w:i w:val="0"/>
                <w:sz w:val="18"/>
              </w:rPr>
              <w:t>DS-ARC-003</w:t>
            </w:r>
            <w:r>
              <w:rPr>
                <w:rFonts w:ascii="Arial" w:hAnsi="Arial"/>
                <w:b w:val="0"/>
                <w:i w:val="0"/>
                <w:sz w:val="19"/>
              </w:rPr>
              <w:t xml:space="preserve"> (Mobile Client) concrete, testable acceptance criteria now (client-only, backend-authoritative boundaries), while its implementation timing remains Phase 9/Planned.</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Foundational Direction</w:t>
      </w:r>
    </w:p>
    <w:p>
      <w:pPr>
        <w:spacing w:after="120" w:line="288" w:lineRule="auto"/>
      </w:pPr>
      <w:r>
        <w:rPr>
          <w:rFonts w:ascii="Arial" w:hAnsi="Arial"/>
          <w:b w:val="0"/>
          <w:i w:val="0"/>
          <w:sz w:val="21"/>
        </w:rPr>
        <w:t>Desktop-first; local-first where practical; deterministic financial calculations; presentation independence; user-controlled automation; explainability by default.</w:t>
      </w:r>
    </w:p>
    <w:p>
      <w:pPr>
        <w:pStyle w:val="Heading1"/>
        <w:spacing w:before="480" w:after="240"/>
        <w:pBdr>
          <w:bottom w:val="single" w:sz="16" w:space="4" w:color="C8A45D"/>
        </w:pBdr>
      </w:pPr>
      <w:r>
        <w:rPr>
          <w:rFonts w:ascii="Arial" w:hAnsi="Arial"/>
          <w:b w:val="0"/>
          <w:i w:val="0"/>
          <w:color w:val="0B0B0D"/>
          <w:sz w:val="44"/>
        </w:rPr>
        <w:t>1. Purpose</w:t>
      </w:r>
    </w:p>
    <w:p>
      <w:pPr>
        <w:spacing w:after="120" w:line="288" w:lineRule="auto"/>
      </w:pPr>
      <w:r>
        <w:rPr>
          <w:rFonts w:ascii="Arial" w:hAnsi="Arial"/>
          <w:b w:val="0"/>
          <w:i w:val="0"/>
          <w:sz w:val="21"/>
        </w:rPr>
        <w:t>DS-004 is the Codex-governed technical architecture specification for DarkSage. It does not invent architecture: the repository already contains a mature, pre-existing, authoritative engineering specification (</w:t>
      </w:r>
      <w:r>
        <w:rPr>
          <w:rFonts w:ascii="Consolas" w:hAnsi="Consolas"/>
          <w:b w:val="0"/>
          <w:i w:val="0"/>
          <w:sz w:val="20"/>
        </w:rPr>
        <w:t>ARCHITECTURE.md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that predates this Codex volume. DS-004's role is to translate the governance-critical parts of that specification — the parts that enforce ADR-001–004's boundaries and DS-002/DS-003's requirements — into testable, traceable, ID'd requirements, and to point to </w:t>
      </w:r>
      <w:r>
        <w:rPr>
          <w:rFonts w:ascii="Consolas" w:hAnsi="Consolas"/>
          <w:b w:val="0"/>
          <w:i w:val="0"/>
          <w:sz w:val="20"/>
        </w:rPr>
        <w:t>ARCHITECTURE.md</w:t>
      </w:r>
      <w:r>
        <w:rPr>
          <w:rFonts w:ascii="Arial" w:hAnsi="Arial"/>
          <w:b w:val="0"/>
          <w:i w:val="0"/>
          <w:sz w:val="21"/>
        </w:rPr>
        <w:t xml:space="preserve"> as the source of truth for exhaustive implementation detail (full indicator lists, full pattern catalogs, full module trees) that does not need duplication here.</w:t>
      </w:r>
    </w:p>
    <w:p>
      <w:pPr>
        <w:pStyle w:val="Heading1"/>
        <w:spacing w:before="480" w:after="240"/>
        <w:pBdr>
          <w:bottom w:val="single" w:sz="16" w:space="4" w:color="C8A45D"/>
        </w:pBdr>
      </w:pPr>
      <w:r>
        <w:rPr>
          <w:rFonts w:ascii="Arial" w:hAnsi="Arial"/>
          <w:b w:val="0"/>
          <w:i w:val="0"/>
          <w:color w:val="0B0B0D"/>
          <w:sz w:val="44"/>
        </w:rPr>
        <w:t>2. Scope</w:t>
      </w:r>
    </w:p>
    <w:p>
      <w:pPr>
        <w:spacing w:after="120" w:line="288" w:lineRule="auto"/>
      </w:pPr>
      <w:r>
        <w:rPr>
          <w:rFonts w:ascii="Arial" w:hAnsi="Arial"/>
          <w:b w:val="0"/>
          <w:i w:val="0"/>
          <w:sz w:val="21"/>
        </w:rPr>
        <w:t>This document governs the architectural contracts that enforce:</w:t>
      </w:r>
    </w:p>
    <w:p>
      <w:pPr>
        <w:pStyle w:val="ListBullet"/>
        <w:spacing w:after="60"/>
      </w:pPr>
      <w:r>
        <w:rPr>
          <w:rFonts w:ascii="Arial" w:hAnsi="Arial"/>
          <w:b w:val="0"/>
          <w:i w:val="0"/>
          <w:sz w:val="21"/>
        </w:rPr>
        <w:t>the client/server topology and the rule that clients never contain critical trading logic;</w:t>
      </w:r>
    </w:p>
    <w:p>
      <w:pPr>
        <w:pStyle w:val="ListBullet"/>
        <w:spacing w:after="60"/>
      </w:pPr>
      <w:r>
        <w:rPr>
          <w:rFonts w:ascii="Arial" w:hAnsi="Arial"/>
          <w:b w:val="0"/>
          <w:i w:val="0"/>
          <w:sz w:val="21"/>
        </w:rPr>
        <w:t>provider/engine abstraction boundaries (market data, charts, AI);</w:t>
      </w:r>
    </w:p>
    <w:p>
      <w:pPr>
        <w:pStyle w:val="ListBullet"/>
        <w:spacing w:after="60"/>
      </w:pPr>
      <w:r>
        <w:rPr>
          <w:rFonts w:ascii="Arial" w:hAnsi="Arial"/>
          <w:b w:val="0"/>
          <w:i w:val="0"/>
          <w:sz w:val="21"/>
        </w:rPr>
        <w:t xml:space="preserve">the canonical </w:t>
      </w:r>
      <w:r>
        <w:rPr>
          <w:rFonts w:ascii="Consolas" w:hAnsi="Consolas"/>
          <w:b w:val="0"/>
          <w:i w:val="0"/>
          <w:sz w:val="20"/>
        </w:rPr>
        <w:t>TradeValidationPipeline</w:t>
      </w:r>
      <w:r>
        <w:rPr>
          <w:rFonts w:ascii="Arial" w:hAnsi="Arial"/>
          <w:b w:val="0"/>
          <w:i w:val="0"/>
          <w:sz w:val="21"/>
        </w:rPr>
        <w:t xml:space="preserve"> and Sage's inability to bypass it (ADR-002);</w:t>
      </w:r>
    </w:p>
    <w:p>
      <w:pPr>
        <w:pStyle w:val="ListBullet"/>
        <w:spacing w:after="60"/>
      </w:pPr>
      <w:r>
        <w:rPr>
          <w:rFonts w:ascii="Arial" w:hAnsi="Arial"/>
          <w:b w:val="0"/>
          <w:i w:val="0"/>
          <w:sz w:val="21"/>
        </w:rPr>
        <w:t>the deterministic-calculation/AI-advisory boundary (ADR-003);</w:t>
      </w:r>
    </w:p>
    <w:p>
      <w:pPr>
        <w:pStyle w:val="ListBullet"/>
        <w:spacing w:after="60"/>
      </w:pPr>
      <w:r>
        <w:rPr>
          <w:rFonts w:ascii="Arial" w:hAnsi="Arial"/>
          <w:b w:val="0"/>
          <w:i w:val="0"/>
          <w:sz w:val="21"/>
        </w:rPr>
        <w:t>database, caching, and deployment-stage sequencing; and</w:t>
      </w:r>
    </w:p>
    <w:p>
      <w:pPr>
        <w:pStyle w:val="ListBullet"/>
        <w:spacing w:after="60"/>
      </w:pPr>
      <w:r>
        <w:rPr>
          <w:rFonts w:ascii="Arial" w:hAnsi="Arial"/>
          <w:b w:val="0"/>
          <w:i w:val="0"/>
          <w:sz w:val="21"/>
        </w:rPr>
        <w:t>the core architectural rules against tight coupling (</w:t>
      </w:r>
      <w:r>
        <w:rPr>
          <w:rFonts w:ascii="Consolas" w:hAnsi="Consolas"/>
          <w:b w:val="0"/>
          <w:i w:val="0"/>
          <w:sz w:val="20"/>
        </w:rPr>
        <w:t>ARCHITECTURE.md</w:t>
      </w:r>
      <w:r>
        <w:rPr>
          <w:rFonts w:ascii="Arial" w:hAnsi="Arial"/>
          <w:b w:val="0"/>
          <w:i w:val="0"/>
          <w:sz w:val="21"/>
        </w:rPr>
        <w:t xml:space="preserve"> §30).</w:t>
      </w:r>
    </w:p>
    <w:p>
      <w:pPr>
        <w:spacing w:after="120" w:line="288" w:lineRule="auto"/>
      </w:pPr>
      <w:r>
        <w:rPr>
          <w:rFonts w:ascii="Arial" w:hAnsi="Arial"/>
          <w:b w:val="0"/>
          <w:i w:val="0"/>
          <w:sz w:val="21"/>
        </w:rPr>
        <w:t xml:space="preserve">DS-004 does not restate </w:t>
      </w:r>
      <w:r>
        <w:rPr>
          <w:rFonts w:ascii="Consolas" w:hAnsi="Consolas"/>
          <w:b w:val="0"/>
          <w:i w:val="0"/>
          <w:sz w:val="20"/>
        </w:rPr>
        <w:t>ARCHITECTURE.md</w:t>
      </w:r>
      <w:r>
        <w:rPr>
          <w:rFonts w:ascii="Arial" w:hAnsi="Arial"/>
          <w:b w:val="0"/>
          <w:i w:val="0"/>
          <w:sz w:val="21"/>
        </w:rPr>
        <w:t xml:space="preserve">'s full detail (e.g., the complete indicator list, the complete chart-pattern list, every backend module) — those remain authoritative in </w:t>
      </w:r>
      <w:r>
        <w:rPr>
          <w:rFonts w:ascii="Consolas" w:hAnsi="Consolas"/>
          <w:b w:val="0"/>
          <w:i w:val="0"/>
          <w:sz w:val="20"/>
        </w:rPr>
        <w:t>ARCHITECTURE.md</w:t>
      </w:r>
      <w:r>
        <w:rPr>
          <w:rFonts w:ascii="Arial" w:hAnsi="Arial"/>
          <w:b w:val="0"/>
          <w:i w:val="0"/>
          <w:sz w:val="21"/>
        </w:rPr>
        <w:t xml:space="preserve"> itself and are referenced, not copied. DS-004 does not govern database schema detail (DS-005), API contracts (DS-006), UI/UX system detail (DS-007), or security architecture detail (DS-008); where a DS-004 requirement borders one of those, it states the architectural contract and delegates implementation detail forward.</w:t>
      </w:r>
    </w:p>
    <w:p>
      <w:pPr>
        <w:spacing w:after="120" w:line="288" w:lineRule="auto"/>
      </w:pPr>
      <w:r>
        <w:rPr>
          <w:rFonts w:ascii="Arial" w:hAnsi="Arial"/>
          <w:b/>
          <w:i w:val="0"/>
          <w:sz w:val="21"/>
        </w:rPr>
        <w:t>Release Classification note (added in the DS-004-A01 repair):</w:t>
      </w:r>
      <w:r>
        <w:rPr>
          <w:rFonts w:ascii="Arial" w:hAnsi="Arial"/>
          <w:b w:val="0"/>
          <w:i w:val="0"/>
          <w:sz w:val="21"/>
        </w:rPr>
        <w:t xml:space="preserve"> A requirement's Release Classification tracks </w:t>
      </w:r>
      <w:r>
        <w:rPr>
          <w:rFonts w:ascii="Arial" w:hAnsi="Arial"/>
          <w:b w:val="0"/>
          <w:i/>
          <w:sz w:val="21"/>
        </w:rPr>
        <w:t>when that implementation is scheduled</w:t>
      </w:r>
      <w:r>
        <w:rPr>
          <w:rFonts w:ascii="Arial" w:hAnsi="Arial"/>
          <w:b w:val="0"/>
          <w:i w:val="0"/>
          <w:sz w:val="21"/>
        </w:rPr>
        <w:t xml:space="preserve"> per </w:t>
      </w:r>
      <w:r>
        <w:rPr>
          <w:rFonts w:ascii="Consolas" w:hAnsi="Consolas"/>
          <w:b w:val="0"/>
          <w:i w:val="0"/>
          <w:sz w:val="20"/>
        </w:rPr>
        <w:t>ROADMAP.md</w:t>
      </w:r>
      <w:r>
        <w:rPr>
          <w:rFonts w:ascii="Arial" w:hAnsi="Arial"/>
          <w:b w:val="0"/>
          <w:i w:val="0"/>
          <w:sz w:val="21"/>
        </w:rPr>
        <w:t xml:space="preserve">'s phases, not merely whether a DS-001/ADR principle constrains it. Several requirements in this document are Committed/MVP because they are unconditional governance boundaries (e.g., DS-ARC-001's client/server separation, DS-ARC-011's TradeValidationPipeline boundary is enforced via the Committed DS-EXE-001 in DS-002 even though DS-ARC-011's own </w:t>
      </w:r>
      <w:r>
        <w:rPr>
          <w:rFonts w:ascii="Arial" w:hAnsi="Arial"/>
          <w:b w:val="0"/>
          <w:i/>
          <w:sz w:val="21"/>
        </w:rPr>
        <w:t>implementation</w:t>
      </w:r>
      <w:r>
        <w:rPr>
          <w:rFonts w:ascii="Arial" w:hAnsi="Arial"/>
          <w:b w:val="0"/>
          <w:i w:val="0"/>
          <w:sz w:val="21"/>
        </w:rPr>
        <w:t xml:space="preserve"> is Planned/Phase 7). Where a requirement describes later-phase feature implementation (Phase 6 AI provider work, Phase 7 execution/broker work, Phase 3/4/5/9 features), it is classified Planned to match, even though the constraints governing it may already be Committed elsewhere.</w:t>
      </w:r>
    </w:p>
    <w:p>
      <w:pPr>
        <w:pStyle w:val="Heading1"/>
        <w:spacing w:before="480" w:after="240"/>
        <w:pBdr>
          <w:bottom w:val="single" w:sz="16" w:space="4" w:color="C8A45D"/>
        </w:pBdr>
      </w:pPr>
      <w:r>
        <w:rPr>
          <w:rFonts w:ascii="Arial" w:hAnsi="Arial"/>
          <w:b w:val="0"/>
          <w:i w:val="0"/>
          <w:color w:val="0B0B0D"/>
          <w:sz w:val="44"/>
        </w:rPr>
        <w:t>3. Audience</w:t>
      </w:r>
    </w:p>
    <w:p>
      <w:pPr>
        <w:spacing w:after="120" w:line="288" w:lineRule="auto"/>
      </w:pPr>
      <w:r>
        <w:rPr>
          <w:rFonts w:ascii="Arial" w:hAnsi="Arial"/>
          <w:b w:val="0"/>
          <w:i w:val="0"/>
          <w:sz w:val="21"/>
        </w:rPr>
        <w:t>Engineering contributors, independent auditors, and future Codex authors implementing or extending DarkSage's technical architecture.</w:t>
      </w:r>
    </w:p>
    <w:p>
      <w:pPr>
        <w:pStyle w:val="Heading1"/>
        <w:spacing w:before="480" w:after="240"/>
        <w:pBdr>
          <w:bottom w:val="single" w:sz="16" w:space="4" w:color="C8A45D"/>
        </w:pBdr>
      </w:pPr>
      <w:r>
        <w:rPr>
          <w:rFonts w:ascii="Arial" w:hAnsi="Arial"/>
          <w:b w:val="0"/>
          <w:i w:val="0"/>
          <w:color w:val="0B0B0D"/>
          <w:sz w:val="44"/>
        </w:rPr>
        <w:t>4. Definitions</w:t>
      </w:r>
    </w:p>
    <w:p>
      <w:pPr>
        <w:spacing w:after="120" w:line="288" w:lineRule="auto"/>
      </w:pPr>
      <w:r>
        <w:rPr>
          <w:rFonts w:ascii="Arial" w:hAnsi="Arial"/>
          <w:b w:val="0"/>
          <w:i w:val="0"/>
          <w:sz w:val="21"/>
        </w:rPr>
        <w:t>See DS-001 §24, DS-002 §4. Additional terms: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Term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Architectural contract</w:t>
            </w:r>
          </w:p>
        </w:tc>
        <w:tc>
          <w:tcPr>
            <w:tcW w:type="dxa" w:w="4680"/>
          </w:tcPr>
          <w:p>
            <w:pPr>
              <w:spacing w:after="60"/>
            </w:pPr>
            <w:r>
              <w:rPr>
                <w:rFonts w:ascii="Arial" w:hAnsi="Arial"/>
                <w:b w:val="0"/>
                <w:i w:val="0"/>
                <w:sz w:val="19"/>
              </w:rPr>
              <w:t>A structural boundary or interface obligation (e.g., "clients never contain critical trading logic") that constrains implementation regardless of which specific technology fulfills it</w:t>
            </w:r>
          </w:p>
        </w:tc>
      </w:tr>
      <w:tr>
        <w:tc>
          <w:tcPr>
            <w:tcW w:type="dxa" w:w="4680"/>
          </w:tcPr>
          <w:p>
            <w:pPr>
              <w:spacing w:after="60"/>
            </w:pPr>
            <w:r>
              <w:rPr>
                <w:rFonts w:ascii="Arial" w:hAnsi="Arial"/>
                <w:b w:val="0"/>
                <w:i w:val="0"/>
                <w:sz w:val="19"/>
              </w:rPr>
              <w:t>Governing Source</w:t>
            </w:r>
          </w:p>
        </w:tc>
        <w:tc>
          <w:tcPr>
            <w:tcW w:type="dxa" w:w="4680"/>
          </w:tcPr>
          <w:p>
            <w:pPr>
              <w:spacing w:after="60"/>
            </w:pPr>
            <w:r>
              <w:rPr>
                <w:rFonts w:ascii="Arial" w:hAnsi="Arial"/>
                <w:b w:val="0"/>
                <w:i w:val="0"/>
                <w:sz w:val="19"/>
              </w:rPr>
              <w:t>The repository-root document/section (</w:t>
            </w:r>
            <w:r>
              <w:rPr>
                <w:rFonts w:ascii="Consolas" w:hAnsi="Consolas"/>
                <w:b w:val="0"/>
                <w:i w:val="0"/>
                <w:sz w:val="18"/>
              </w:rPr>
              <w:t>ARCHITECTURE.md</w:t>
            </w:r>
            <w:r>
              <w:rPr>
                <w:rFonts w:ascii="Arial" w:hAnsi="Arial"/>
                <w:b w:val="0"/>
                <w:i w:val="0"/>
                <w:sz w:val="19"/>
              </w:rPr>
              <w:t xml:space="preserve">, </w:t>
            </w:r>
            <w:r>
              <w:rPr>
                <w:rFonts w:ascii="Consolas" w:hAnsi="Consolas"/>
                <w:b w:val="0"/>
                <w:i w:val="0"/>
                <w:sz w:val="18"/>
              </w:rPr>
              <w:t>PROJECT_SPEC.md</w:t>
            </w:r>
            <w:r>
              <w:rPr>
                <w:rFonts w:ascii="Arial" w:hAnsi="Arial"/>
                <w:b w:val="0"/>
                <w:i w:val="0"/>
                <w:sz w:val="19"/>
              </w:rPr>
              <w:t xml:space="preserve">, </w:t>
            </w:r>
            <w:r>
              <w:rPr>
                <w:rFonts w:ascii="Consolas" w:hAnsi="Consolas"/>
                <w:b w:val="0"/>
                <w:i w:val="0"/>
                <w:sz w:val="18"/>
              </w:rPr>
              <w:t>ROADMAP.md</w:t>
            </w:r>
            <w:r>
              <w:rPr>
                <w:rFonts w:ascii="Arial" w:hAnsi="Arial"/>
                <w:b w:val="0"/>
                <w:i w:val="0"/>
                <w:sz w:val="19"/>
              </w:rPr>
              <w:t>) that already establishes a given architectural decision, cited per DS-002's Committed/MVP eligibility test</w:t>
            </w:r>
          </w:p>
        </w:tc>
      </w:tr>
      <w:tr>
        <w:tc>
          <w:tcPr>
            <w:tcW w:type="dxa" w:w="4680"/>
          </w:tcPr>
          <w:p>
            <w:pPr>
              <w:spacing w:after="60"/>
            </w:pPr>
            <w:r>
              <w:rPr>
                <w:rFonts w:ascii="Arial" w:hAnsi="Arial"/>
                <w:b w:val="0"/>
                <w:i w:val="0"/>
                <w:sz w:val="19"/>
              </w:rPr>
              <w:t>TradeValidationPipeline</w:t>
            </w:r>
          </w:p>
        </w:tc>
        <w:tc>
          <w:tcPr>
            <w:tcW w:type="dxa" w:w="4680"/>
          </w:tcPr>
          <w:p>
            <w:pPr>
              <w:spacing w:after="60"/>
            </w:pPr>
            <w:r>
              <w:rPr>
                <w:rFonts w:ascii="Arial" w:hAnsi="Arial"/>
                <w:b w:val="0"/>
                <w:i w:val="0"/>
                <w:sz w:val="19"/>
              </w:rPr>
              <w:t xml:space="preserve">The canonical 12-stage trade-proposal validation sequence defined once in </w:t>
            </w:r>
            <w:r>
              <w:rPr>
                <w:rFonts w:ascii="Consolas" w:hAnsi="Consolas"/>
                <w:b w:val="0"/>
                <w:i w:val="0"/>
                <w:sz w:val="18"/>
              </w:rPr>
              <w:t>ARCHITECTURE.md</w:t>
            </w:r>
            <w:r>
              <w:rPr>
                <w:rFonts w:ascii="Arial" w:hAnsi="Arial"/>
                <w:b w:val="0"/>
                <w:i w:val="0"/>
                <w:sz w:val="19"/>
              </w:rPr>
              <w:t xml:space="preserve"> §14 and mirrored verbatim in </w:t>
            </w:r>
            <w:r>
              <w:rPr>
                <w:rFonts w:ascii="Consolas" w:hAnsi="Consolas"/>
                <w:b w:val="0"/>
                <w:i w:val="0"/>
                <w:sz w:val="18"/>
              </w:rPr>
              <w:t>docs/pipeline-stages.txt</w:t>
            </w:r>
            <w:r>
              <w:rPr>
                <w:rFonts w:ascii="Arial" w:hAnsi="Arial"/>
                <w:b w:val="0"/>
                <w:i w:val="0"/>
                <w:sz w:val="19"/>
              </w:rPr>
              <w:t xml:space="preserve">, checked by </w:t>
            </w:r>
            <w:r>
              <w:rPr>
                <w:rFonts w:ascii="Consolas" w:hAnsi="Consolas"/>
                <w:b w:val="0"/>
                <w:i w:val="0"/>
                <w:sz w:val="18"/>
              </w:rPr>
              <w:t>scripts/verify-foundation.sh</w:t>
            </w:r>
          </w:p>
        </w:tc>
      </w:tr>
    </w:tbl>
    <w:p>
      <w:pPr>
        <w:pStyle w:val="Heading1"/>
        <w:spacing w:before="480" w:after="240"/>
        <w:pBdr>
          <w:bottom w:val="single" w:sz="16" w:space="4" w:color="C8A45D"/>
        </w:pBdr>
      </w:pPr>
      <w:r>
        <w:rPr>
          <w:rFonts w:ascii="Arial" w:hAnsi="Arial"/>
          <w:b w:val="0"/>
          <w:i w:val="0"/>
          <w:color w:val="0B0B0D"/>
          <w:sz w:val="44"/>
        </w:rPr>
        <w:t>5. Client/Server Topology</w:t>
      </w:r>
    </w:p>
    <w:p>
      <w:pPr>
        <w:pStyle w:val="Heading2"/>
        <w:spacing w:before="360" w:after="160"/>
        <w:pBdr>
          <w:bottom w:val="single" w:sz="8" w:space="4" w:color="C8A45D"/>
        </w:pBdr>
      </w:pPr>
      <w:r>
        <w:rPr>
          <w:rFonts w:ascii="Arial" w:hAnsi="Arial"/>
          <w:b w:val="0"/>
          <w:i w:val="0"/>
          <w:color w:val="17181C"/>
          <w:sz w:val="34"/>
        </w:rPr>
        <w:t>DS-ARC-001 — Client/Server Separation</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Enforce that trading logic cannot leak into a client, protecting user authority and auditability regardless of which client surface is used.</w:t>
      </w:r>
    </w:p>
    <w:p>
      <w:pPr>
        <w:spacing w:after="120" w:line="288" w:lineRule="auto"/>
      </w:pPr>
      <w:r>
        <w:rPr>
          <w:rFonts w:ascii="Arial" w:hAnsi="Arial"/>
          <w:b/>
          <w:i w:val="0"/>
          <w:sz w:val="21"/>
        </w:rPr>
        <w:t>Description:</w:t>
      </w:r>
      <w:r>
        <w:rPr>
          <w:rFonts w:ascii="Arial" w:hAnsi="Arial"/>
          <w:b w:val="0"/>
          <w:i w:val="0"/>
          <w:sz w:val="21"/>
        </w:rPr>
        <w:t xml:space="preserve"> DarkSage shall use a client/server architecture in which desktop and mobile clients communicate with core backend services exclusively through a defined API; clients shall never contain critical trading logic, and the backend shall be the authoritative source of truth for trading and account state (positions, orders, portfolios, signals, strategies, risk state, broker state).</w:t>
      </w:r>
    </w:p>
    <w:p>
      <w:pPr>
        <w:spacing w:after="120" w:line="288" w:lineRule="auto"/>
      </w:pPr>
      <w:r>
        <w:rPr>
          <w:rFonts w:ascii="Arial" w:hAnsi="Arial"/>
          <w:b/>
          <w:i w:val="0"/>
          <w:sz w:val="21"/>
        </w:rPr>
        <w:t>Dependencies:</w:t>
      </w:r>
      <w:r>
        <w:rPr>
          <w:rFonts w:ascii="Arial" w:hAnsi="Arial"/>
          <w:b w:val="0"/>
          <w:i w:val="0"/>
          <w:sz w:val="21"/>
        </w:rPr>
        <w:t xml:space="preserve"> ADR-001 (Desktop-First); </w:t>
      </w:r>
      <w:r>
        <w:rPr>
          <w:rFonts w:ascii="Consolas" w:hAnsi="Consolas"/>
          <w:b w:val="0"/>
          <w:i w:val="0"/>
          <w:sz w:val="20"/>
        </w:rPr>
        <w:t>ARCHITECTURE.md</w:t>
      </w:r>
      <w:r>
        <w:rPr>
          <w:rFonts w:ascii="Arial" w:hAnsi="Arial"/>
          <w:b w:val="0"/>
          <w:i w:val="0"/>
          <w:sz w:val="21"/>
        </w:rPr>
        <w:t xml:space="preserve"> §2, §30; </w:t>
      </w:r>
      <w:r>
        <w:rPr>
          <w:rFonts w:ascii="Consolas" w:hAnsi="Consolas"/>
          <w:b w:val="0"/>
          <w:i w:val="0"/>
          <w:sz w:val="20"/>
        </w:rPr>
        <w:t>AGENTS.md</w:t>
      </w:r>
      <w:r>
        <w:rPr>
          <w:rFonts w:ascii="Arial" w:hAnsi="Arial"/>
          <w:b w:val="0"/>
          <w:i w:val="0"/>
          <w:sz w:val="21"/>
        </w:rPr>
        <w:t xml:space="preserve"> "Mobile/Backend Rule," "Desktop/Backend Rule"</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Neither the desktop nor mobile client independently computes a trade decision, submits a broker order, or stores authoritative trading state.</w:t>
      </w:r>
    </w:p>
    <w:p>
      <w:pPr>
        <w:pStyle w:val="ListBullet"/>
        <w:spacing w:after="60"/>
      </w:pPr>
      <w:r>
        <w:rPr>
          <w:rFonts w:ascii="Arial" w:hAnsi="Arial"/>
          <w:b w:val="0"/>
          <w:i w:val="0"/>
          <w:sz w:val="21"/>
        </w:rPr>
        <w:t>A client reads/displays backend-computed state; it does not duplicate the computation.</w:t>
      </w:r>
    </w:p>
    <w:p>
      <w:pPr>
        <w:pStyle w:val="ListBullet"/>
        <w:spacing w:after="60"/>
      </w:pPr>
      <w:r>
        <w:rPr>
          <w:rFonts w:ascii="Arial" w:hAnsi="Arial"/>
          <w:b w:val="0"/>
          <w:i w:val="0"/>
          <w:sz w:val="21"/>
        </w:rPr>
        <w:t>Desktop and mobile, where both exist, observe the same backend-authoritative Auto-Trader/account state.</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Offline/degraded client operation (DS-OPS-004) reads last-known cached backend state; it does not fall back to independently computed trading logic.</w:t>
      </w:r>
    </w:p>
    <w:p>
      <w:pPr>
        <w:spacing w:after="120" w:line="288" w:lineRule="auto"/>
      </w:pPr>
      <w:r>
        <w:rPr>
          <w:rFonts w:ascii="Arial" w:hAnsi="Arial"/>
          <w:b/>
          <w:i w:val="0"/>
          <w:sz w:val="21"/>
        </w:rPr>
        <w:t>Implementation Notes:</w:t>
      </w:r>
      <w:r>
        <w:rPr>
          <w:rFonts w:ascii="Arial" w:hAnsi="Arial"/>
          <w:b w:val="0"/>
          <w:i w:val="0"/>
          <w:sz w:val="21"/>
        </w:rPr>
        <w:t xml:space="preserve"> Exact API contract is a DS-006 concern.</w:t>
      </w:r>
    </w:p>
    <w:p>
      <w:pPr>
        <w:spacing w:after="120" w:line="288" w:lineRule="auto"/>
      </w:pPr>
      <w:r>
        <w:rPr>
          <w:rFonts w:ascii="Arial" w:hAnsi="Arial"/>
          <w:b/>
          <w:i w:val="0"/>
          <w:sz w:val="21"/>
        </w:rPr>
        <w:t>Testing:</w:t>
      </w:r>
      <w:r>
        <w:rPr>
          <w:rFonts w:ascii="Arial" w:hAnsi="Arial"/>
          <w:b w:val="0"/>
          <w:i w:val="0"/>
          <w:sz w:val="21"/>
        </w:rPr>
        <w:t xml:space="preserve"> Architectural boundary test (static analysis / code-ownership check) confirming no trading-logic module exists under a client application directory.</w:t>
      </w:r>
    </w:p>
    <w:p>
      <w:pPr>
        <w:pStyle w:val="Heading2"/>
        <w:spacing w:before="360" w:after="160"/>
        <w:pBdr>
          <w:bottom w:val="single" w:sz="8" w:space="4" w:color="C8A45D"/>
        </w:pBdr>
      </w:pPr>
      <w:r>
        <w:rPr>
          <w:rFonts w:ascii="Arial" w:hAnsi="Arial"/>
          <w:b w:val="0"/>
          <w:i w:val="0"/>
          <w:color w:val="17181C"/>
          <w:sz w:val="34"/>
        </w:rPr>
        <w:t>DS-ARC-002 — Desktop Client</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Formalize the Phase 1 desktop shell as the primary current product surface, per ADR-001.</w:t>
      </w:r>
    </w:p>
    <w:p>
      <w:pPr>
        <w:spacing w:after="120" w:line="288" w:lineRule="auto"/>
      </w:pPr>
      <w:r>
        <w:rPr>
          <w:rFonts w:ascii="Arial" w:hAnsi="Arial"/>
          <w:b/>
          <w:i w:val="0"/>
          <w:sz w:val="21"/>
        </w:rPr>
        <w:t>Description:</w:t>
      </w:r>
      <w:r>
        <w:rPr>
          <w:rFonts w:ascii="Arial" w:hAnsi="Arial"/>
          <w:b w:val="0"/>
          <w:i w:val="0"/>
          <w:sz w:val="21"/>
        </w:rPr>
        <w:t xml:space="preserve"> DarkSage shall provide a desktop client (location: </w:t>
      </w:r>
      <w:r>
        <w:rPr>
          <w:rFonts w:ascii="Consolas" w:hAnsi="Consolas"/>
          <w:b w:val="0"/>
          <w:i w:val="0"/>
          <w:sz w:val="20"/>
        </w:rPr>
        <w:t>apps/desktop/</w:t>
      </w:r>
      <w:r>
        <w:rPr>
          <w:rFonts w:ascii="Arial" w:hAnsi="Arial"/>
          <w:b w:val="0"/>
          <w:i w:val="0"/>
          <w:sz w:val="21"/>
        </w:rPr>
        <w:t>) built on Electron, React, and TypeScript, serving as a client of the backend API, covering at minimum the Phase 1 scope: navigation, dashboard, scanner page, signal list, and signal detail.</w:t>
      </w:r>
    </w:p>
    <w:p>
      <w:pPr>
        <w:spacing w:after="120" w:line="288" w:lineRule="auto"/>
      </w:pPr>
      <w:r>
        <w:rPr>
          <w:rFonts w:ascii="Arial" w:hAnsi="Arial"/>
          <w:b/>
          <w:i w:val="0"/>
          <w:sz w:val="21"/>
        </w:rPr>
        <w:t>Dependencies:</w:t>
      </w:r>
      <w:r>
        <w:rPr>
          <w:rFonts w:ascii="Arial" w:hAnsi="Arial"/>
          <w:b w:val="0"/>
          <w:i w:val="0"/>
          <w:sz w:val="21"/>
        </w:rPr>
        <w:t xml:space="preserve"> ADR-001; </w:t>
      </w:r>
      <w:r>
        <w:rPr>
          <w:rFonts w:ascii="Consolas" w:hAnsi="Consolas"/>
          <w:b w:val="0"/>
          <w:i w:val="0"/>
          <w:sz w:val="20"/>
        </w:rPr>
        <w:t>ARCHITECTURE.md</w:t>
      </w:r>
      <w:r>
        <w:rPr>
          <w:rFonts w:ascii="Arial" w:hAnsi="Arial"/>
          <w:b w:val="0"/>
          <w:i w:val="0"/>
          <w:sz w:val="21"/>
        </w:rPr>
        <w:t xml:space="preserve"> §3, §31; </w:t>
      </w:r>
      <w:r>
        <w:rPr>
          <w:rFonts w:ascii="Consolas" w:hAnsi="Consolas"/>
          <w:b w:val="0"/>
          <w:i w:val="0"/>
          <w:sz w:val="20"/>
        </w:rPr>
        <w:t>ROADMAP.md</w:t>
      </w:r>
      <w:r>
        <w:rPr>
          <w:rFonts w:ascii="Arial" w:hAnsi="Arial"/>
          <w:b w:val="0"/>
          <w:i w:val="0"/>
          <w:sz w:val="21"/>
        </w:rPr>
        <w:t xml:space="preserve"> Phase 1; DS-WKS-001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The desktop client does not directly submit broker orders (DS-ARC-001).</w:t>
      </w:r>
    </w:p>
    <w:p>
      <w:pPr>
        <w:pStyle w:val="ListBullet"/>
        <w:spacing w:after="60"/>
      </w:pPr>
      <w:r>
        <w:rPr>
          <w:rFonts w:ascii="Arial" w:hAnsi="Arial"/>
          <w:b w:val="0"/>
          <w:i w:val="0"/>
          <w:sz w:val="21"/>
        </w:rPr>
        <w:t>Phase 1 desktop surfaces (navigation, dashboard, scanner page, signal list/detail) are present and functional against the backend API.</w:t>
      </w:r>
    </w:p>
    <w:p>
      <w:pPr>
        <w:spacing w:after="120" w:line="288" w:lineRule="auto"/>
      </w:pPr>
      <w:r>
        <w:rPr>
          <w:rFonts w:ascii="Arial" w:hAnsi="Arial"/>
          <w:b/>
          <w:i w:val="0"/>
          <w:sz w:val="21"/>
        </w:rPr>
        <w:t>Edge Cases:</w:t>
      </w:r>
      <w:r>
        <w:rPr>
          <w:rFonts w:ascii="Arial" w:hAnsi="Arial"/>
          <w:b w:val="0"/>
          <w:i w:val="0"/>
          <w:sz w:val="21"/>
        </w:rPr>
        <w:t xml:space="preserve"> None beyond DS-ARC-001's general client boundary.</w:t>
      </w:r>
    </w:p>
    <w:p>
      <w:pPr>
        <w:spacing w:after="120" w:line="288" w:lineRule="auto"/>
      </w:pPr>
      <w:r>
        <w:rPr>
          <w:rFonts w:ascii="Arial" w:hAnsi="Arial"/>
          <w:b/>
          <w:i w:val="0"/>
          <w:sz w:val="21"/>
        </w:rPr>
        <w:t>Implementation Notes:</w:t>
      </w:r>
      <w:r>
        <w:rPr>
          <w:rFonts w:ascii="Arial" w:hAnsi="Arial"/>
          <w:b w:val="0"/>
          <w:i w:val="0"/>
          <w:sz w:val="21"/>
        </w:rPr>
        <w:t xml:space="preserve"> Full desktop responsibility list (Strategy Lab, Backtesting UI, Portfolio UI, Auto-Trader controls, Settings, Logs, Research tools, Sage AI interface) is </w:t>
      </w:r>
      <w:r>
        <w:rPr>
          <w:rFonts w:ascii="Consolas" w:hAnsi="Consolas"/>
          <w:b w:val="0"/>
          <w:i w:val="0"/>
          <w:sz w:val="20"/>
        </w:rPr>
        <w:t>ARCHITECTURE.md</w:t>
      </w:r>
      <w:r>
        <w:rPr>
          <w:rFonts w:ascii="Arial" w:hAnsi="Arial"/>
          <w:b w:val="0"/>
          <w:i w:val="0"/>
          <w:sz w:val="21"/>
        </w:rPr>
        <w:t xml:space="preserve"> §3's authoritative reference; later phases add these surfaces incrementally as their backing features are built.</w:t>
      </w:r>
    </w:p>
    <w:p>
      <w:pPr>
        <w:spacing w:after="120" w:line="288" w:lineRule="auto"/>
      </w:pPr>
      <w:r>
        <w:rPr>
          <w:rFonts w:ascii="Arial" w:hAnsi="Arial"/>
          <w:b/>
          <w:i w:val="0"/>
          <w:sz w:val="21"/>
        </w:rPr>
        <w:t>Testing:</w:t>
      </w:r>
      <w:r>
        <w:rPr>
          <w:rFonts w:ascii="Arial" w:hAnsi="Arial"/>
          <w:b w:val="0"/>
          <w:i w:val="0"/>
          <w:sz w:val="21"/>
        </w:rPr>
        <w:t xml:space="preserve"> Desktop-launch smoke test (ROADMAP.md Phase 1 exit criterion: "Desktop app launches").</w:t>
      </w:r>
    </w:p>
    <w:p>
      <w:pPr>
        <w:pStyle w:val="Heading2"/>
        <w:spacing w:before="360" w:after="160"/>
        <w:pBdr>
          <w:bottom w:val="single" w:sz="8" w:space="4" w:color="C8A45D"/>
        </w:pBdr>
      </w:pPr>
      <w:r>
        <w:rPr>
          <w:rFonts w:ascii="Arial" w:hAnsi="Arial"/>
          <w:b w:val="0"/>
          <w:i w:val="0"/>
          <w:color w:val="17181C"/>
          <w:sz w:val="34"/>
        </w:rPr>
        <w:t>DS-ARC-003 — Mobile Client</w:t>
      </w:r>
    </w:p>
    <w:p>
      <w:pPr>
        <w:spacing w:after="120" w:line="288" w:lineRule="auto"/>
      </w:pPr>
      <w:r>
        <w:rPr>
          <w:rFonts w:ascii="Arial" w:hAnsi="Arial"/>
          <w:b/>
          <w:i w:val="0"/>
          <w:sz w:val="21"/>
        </w:rPr>
        <w:t>Priority:</w:t>
      </w:r>
      <w:r>
        <w:rPr>
          <w:rFonts w:ascii="Arial" w:hAnsi="Arial"/>
          <w:b w:val="0"/>
          <w:i w:val="0"/>
          <w:sz w:val="21"/>
        </w:rPr>
        <w:t xml:space="preserve"> Medium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Record the mobile client as approved future direction (Phase 9) without committing it to current scope.</w:t>
      </w:r>
    </w:p>
    <w:p>
      <w:pPr>
        <w:spacing w:after="120" w:line="288" w:lineRule="auto"/>
      </w:pPr>
      <w:r>
        <w:rPr>
          <w:rFonts w:ascii="Arial" w:hAnsi="Arial"/>
          <w:b/>
          <w:i w:val="0"/>
          <w:sz w:val="21"/>
        </w:rPr>
        <w:t>Description:</w:t>
      </w:r>
      <w:r>
        <w:rPr>
          <w:rFonts w:ascii="Arial" w:hAnsi="Arial"/>
          <w:b w:val="0"/>
          <w:i w:val="0"/>
          <w:sz w:val="21"/>
        </w:rPr>
        <w:t xml:space="preserve"> DarkSage should provide a mobile client (location: </w:t>
      </w:r>
      <w:r>
        <w:rPr>
          <w:rFonts w:ascii="Consolas" w:hAnsi="Consolas"/>
          <w:b w:val="0"/>
          <w:i w:val="0"/>
          <w:sz w:val="20"/>
        </w:rPr>
        <w:t>apps/mobile/</w:t>
      </w:r>
      <w:r>
        <w:rPr>
          <w:rFonts w:ascii="Arial" w:hAnsi="Arial"/>
          <w:b w:val="0"/>
          <w:i w:val="0"/>
          <w:sz w:val="21"/>
        </w:rPr>
        <w:t xml:space="preserve">, React Native, iPhone-first) as a client of the same backend API, per </w:t>
      </w:r>
      <w:r>
        <w:rPr>
          <w:rFonts w:ascii="Consolas" w:hAnsi="Consolas"/>
          <w:b w:val="0"/>
          <w:i w:val="0"/>
          <w:sz w:val="20"/>
        </w:rPr>
        <w:t>ROADMAP.md</w:t>
      </w:r>
      <w:r>
        <w:rPr>
          <w:rFonts w:ascii="Arial" w:hAnsi="Arial"/>
          <w:b w:val="0"/>
          <w:i w:val="0"/>
          <w:sz w:val="21"/>
        </w:rPr>
        <w:t xml:space="preserve"> Phase 9, without running the full scanner, backtester, or execution engine locally.</w:t>
      </w:r>
    </w:p>
    <w:p>
      <w:pPr>
        <w:spacing w:after="120" w:line="288" w:lineRule="auto"/>
      </w:pPr>
      <w:r>
        <w:rPr>
          <w:rFonts w:ascii="Arial" w:hAnsi="Arial"/>
          <w:b/>
          <w:i w:val="0"/>
          <w:sz w:val="21"/>
        </w:rPr>
        <w:t>Dependencies:</w:t>
      </w:r>
      <w:r>
        <w:rPr>
          <w:rFonts w:ascii="Arial" w:hAnsi="Arial"/>
          <w:b w:val="0"/>
          <w:i w:val="0"/>
          <w:sz w:val="21"/>
        </w:rPr>
        <w:t xml:space="preserve"> ADR-001 (desktop-first does not prohibit future companion clients); </w:t>
      </w:r>
      <w:r>
        <w:rPr>
          <w:rFonts w:ascii="Consolas" w:hAnsi="Consolas"/>
          <w:b w:val="0"/>
          <w:i w:val="0"/>
          <w:sz w:val="20"/>
        </w:rPr>
        <w:t>ARCHITECTURE.md</w:t>
      </w:r>
      <w:r>
        <w:rPr>
          <w:rFonts w:ascii="Arial" w:hAnsi="Arial"/>
          <w:b w:val="0"/>
          <w:i w:val="0"/>
          <w:sz w:val="21"/>
        </w:rPr>
        <w:t xml:space="preserve"> §4, §29; </w:t>
      </w:r>
      <w:r>
        <w:rPr>
          <w:rFonts w:ascii="Consolas" w:hAnsi="Consolas"/>
          <w:b w:val="0"/>
          <w:i w:val="0"/>
          <w:sz w:val="20"/>
        </w:rPr>
        <w:t>ROADMAP.md</w:t>
      </w:r>
      <w:r>
        <w:rPr>
          <w:rFonts w:ascii="Arial" w:hAnsi="Arial"/>
          <w:b w:val="0"/>
          <w:i w:val="0"/>
          <w:sz w:val="21"/>
        </w:rPr>
        <w:t xml:space="preserve"> Phase 9; DS-MOB-001/002 (DS-002)</w:t>
      </w:r>
    </w:p>
    <w:p>
      <w:pPr>
        <w:spacing w:after="120" w:line="288" w:lineRule="auto"/>
      </w:pPr>
      <w:r>
        <w:rPr>
          <w:rFonts w:ascii="Arial" w:hAnsi="Arial"/>
          <w:b/>
          <w:i w:val="0"/>
          <w:sz w:val="21"/>
        </w:rPr>
        <w:t>Acceptance Criteria (fixed now in the DS-004-A03 repair, per already-approved `ARCHITECTURE.md`/`AGENTS.md` boundaries — implementation timing remains Phase 9):</w:t>
      </w:r>
    </w:p>
    <w:p>
      <w:pPr>
        <w:pStyle w:val="ListBullet"/>
        <w:spacing w:after="60"/>
      </w:pPr>
      <w:r>
        <w:rPr>
          <w:rFonts w:ascii="Arial" w:hAnsi="Arial"/>
          <w:b w:val="0"/>
          <w:i w:val="0"/>
          <w:sz w:val="21"/>
        </w:rPr>
        <w:t>The mobile client, whenever built, contains no local implementation of the scanner, backtester, or execution engine — it calls the backend API for these, per DS-ARC-001.</w:t>
      </w:r>
    </w:p>
    <w:p>
      <w:pPr>
        <w:pStyle w:val="ListBullet"/>
        <w:spacing w:after="60"/>
      </w:pPr>
      <w:r>
        <w:rPr>
          <w:rFonts w:ascii="Arial" w:hAnsi="Arial"/>
          <w:b w:val="0"/>
          <w:i w:val="0"/>
          <w:sz w:val="21"/>
        </w:rPr>
        <w:t>The mobile client does not store authoritative trading/Auto-Trader state locally; it displays backend-authoritative state and can trigger backend state changes (e.g., stop Auto-Trader), never compute or hold the canonical state itself.</w:t>
      </w:r>
    </w:p>
    <w:p>
      <w:pPr>
        <w:pStyle w:val="ListBullet"/>
        <w:spacing w:after="60"/>
      </w:pPr>
      <w:r>
        <w:rPr>
          <w:rFonts w:ascii="Arial" w:hAnsi="Arial"/>
          <w:b w:val="0"/>
          <w:i w:val="0"/>
          <w:sz w:val="21"/>
        </w:rPr>
        <w:t>Mobile and desktop, observing the same backend, show identical Auto-Trader/account state at the same point in time.</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Mobile offline/disconnected shows a last-known cached read-only snapshot, clearly marked as such, rather than a stale value indistinguishable from current (DS-PRD-008 analog).</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§4/§29 already specify responsibilities (dashboard, signals, portfolio monitoring, charts, watchlists, notifications, Sage interaction, Auto-Trader status, emergency stop, trade approvals) and the constraint that mobile must not independently run the Auto-Trader or store authoritative state (</w:t>
      </w:r>
      <w:r>
        <w:rPr>
          <w:rFonts w:ascii="Consolas" w:hAnsi="Consolas"/>
          <w:b w:val="0"/>
          <w:i w:val="0"/>
          <w:sz w:val="20"/>
        </w:rPr>
        <w:t>AGENTS.md</w:t>
      </w:r>
      <w:r>
        <w:rPr>
          <w:rFonts w:ascii="Arial" w:hAnsi="Arial"/>
          <w:b w:val="0"/>
          <w:i w:val="0"/>
          <w:sz w:val="21"/>
        </w:rPr>
        <w:t xml:space="preserve"> "Mobile/Backend Rule"). Full implementation is Phase 9; the boundary above is testable in design/code-review terms even before Phase 9 begins.</w:t>
      </w:r>
    </w:p>
    <w:p>
      <w:pPr>
        <w:spacing w:after="120" w:line="288" w:lineRule="auto"/>
      </w:pPr>
      <w:r>
        <w:rPr>
          <w:rFonts w:ascii="Arial" w:hAnsi="Arial"/>
          <w:b/>
          <w:i w:val="0"/>
          <w:sz w:val="21"/>
        </w:rPr>
        <w:t>Testing:</w:t>
      </w:r>
      <w:r>
        <w:rPr>
          <w:rFonts w:ascii="Arial" w:hAnsi="Arial"/>
          <w:b w:val="0"/>
          <w:i w:val="0"/>
          <w:sz w:val="21"/>
        </w:rPr>
        <w:t xml:space="preserve"> Architectural boundary test (static analysis) once mobile code exists, confirming no trading-logic module under </w:t>
      </w:r>
      <w:r>
        <w:rPr>
          <w:rFonts w:ascii="Consolas" w:hAnsi="Consolas"/>
          <w:b w:val="0"/>
          <w:i w:val="0"/>
          <w:sz w:val="20"/>
        </w:rPr>
        <w:t>apps/mobile/</w:t>
      </w:r>
      <w:r>
        <w:rPr>
          <w:rFonts w:ascii="Arial" w:hAnsi="Arial"/>
          <w:b w:val="0"/>
          <w:i w:val="0"/>
          <w:sz w:val="21"/>
        </w:rPr>
        <w:t>; cross-client state-consistency test (Phase 9).</w:t>
      </w:r>
    </w:p>
    <w:p>
      <w:pPr>
        <w:pStyle w:val="Heading1"/>
        <w:spacing w:before="480" w:after="240"/>
        <w:pBdr>
          <w:bottom w:val="single" w:sz="16" w:space="4" w:color="C8A45D"/>
        </w:pBdr>
      </w:pPr>
      <w:r>
        <w:rPr>
          <w:rFonts w:ascii="Arial" w:hAnsi="Arial"/>
          <w:b w:val="0"/>
          <w:i w:val="0"/>
          <w:color w:val="0B0B0D"/>
          <w:sz w:val="44"/>
        </w:rPr>
        <w:t>6. Backend Services</w:t>
      </w:r>
    </w:p>
    <w:p>
      <w:pPr>
        <w:pStyle w:val="Heading2"/>
        <w:spacing w:before="360" w:after="160"/>
        <w:pBdr>
          <w:bottom w:val="single" w:sz="8" w:space="4" w:color="C8A45D"/>
        </w:pBdr>
      </w:pPr>
      <w:r>
        <w:rPr>
          <w:rFonts w:ascii="Arial" w:hAnsi="Arial"/>
          <w:b w:val="0"/>
          <w:i w:val="0"/>
          <w:color w:val="17181C"/>
          <w:sz w:val="34"/>
        </w:rPr>
        <w:t>DS-ARC-004 — Backend Service Architecture</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Establish the backend as a modular, Python/FastAPI service that both current and future clients depend on identically.</w:t>
      </w:r>
    </w:p>
    <w:p>
      <w:pPr>
        <w:spacing w:after="120" w:line="288" w:lineRule="auto"/>
      </w:pPr>
      <w:r>
        <w:rPr>
          <w:rFonts w:ascii="Arial" w:hAnsi="Arial"/>
          <w:b/>
          <w:i w:val="0"/>
          <w:sz w:val="21"/>
        </w:rPr>
        <w:t>Description:</w:t>
      </w:r>
      <w:r>
        <w:rPr>
          <w:rFonts w:ascii="Arial" w:hAnsi="Arial"/>
          <w:b w:val="0"/>
          <w:i w:val="0"/>
          <w:sz w:val="21"/>
        </w:rPr>
        <w:t xml:space="preserve"> DarkSage shall implement backend services (location: </w:t>
      </w:r>
      <w:r>
        <w:rPr>
          <w:rFonts w:ascii="Consolas" w:hAnsi="Consolas"/>
          <w:b w:val="0"/>
          <w:i w:val="0"/>
          <w:sz w:val="20"/>
        </w:rPr>
        <w:t>backend/</w:t>
      </w:r>
      <w:r>
        <w:rPr>
          <w:rFonts w:ascii="Arial" w:hAnsi="Arial"/>
          <w:b w:val="0"/>
          <w:i w:val="0"/>
          <w:sz w:val="21"/>
        </w:rPr>
        <w:t xml:space="preserve">) using Python and FastAPI. </w:t>
      </w:r>
      <w:r>
        <w:rPr>
          <w:rFonts w:ascii="Consolas" w:hAnsi="Consolas"/>
          <w:b w:val="0"/>
          <w:i w:val="0"/>
          <w:sz w:val="20"/>
        </w:rPr>
        <w:t>ARCHITECTURE.md</w:t>
      </w:r>
      <w:r>
        <w:rPr>
          <w:rFonts w:ascii="Arial" w:hAnsi="Arial"/>
          <w:b w:val="0"/>
          <w:i w:val="0"/>
          <w:sz w:val="21"/>
        </w:rPr>
        <w:t xml:space="preserve"> §5 defines the complete module tree (</w:t>
      </w:r>
      <w:r>
        <w:rPr>
          <w:rFonts w:ascii="Consolas" w:hAnsi="Consolas"/>
          <w:b w:val="0"/>
          <w:i w:val="0"/>
          <w:sz w:val="20"/>
        </w:rPr>
        <w:t>api/</w:t>
      </w:r>
      <w:r>
        <w:rPr>
          <w:rFonts w:ascii="Arial" w:hAnsi="Arial"/>
          <w:b w:val="0"/>
          <w:i w:val="0"/>
          <w:sz w:val="21"/>
        </w:rPr>
        <w:t xml:space="preserve">, </w:t>
      </w:r>
      <w:r>
        <w:rPr>
          <w:rFonts w:ascii="Consolas" w:hAnsi="Consolas"/>
          <w:b w:val="0"/>
          <w:i w:val="0"/>
          <w:sz w:val="20"/>
        </w:rPr>
        <w:t>models/</w:t>
      </w:r>
      <w:r>
        <w:rPr>
          <w:rFonts w:ascii="Arial" w:hAnsi="Arial"/>
          <w:b w:val="0"/>
          <w:i w:val="0"/>
          <w:sz w:val="21"/>
        </w:rPr>
        <w:t xml:space="preserve">, </w:t>
      </w:r>
      <w:r>
        <w:rPr>
          <w:rFonts w:ascii="Consolas" w:hAnsi="Consolas"/>
          <w:b w:val="0"/>
          <w:i w:val="0"/>
          <w:sz w:val="20"/>
        </w:rPr>
        <w:t>market_data/</w:t>
      </w:r>
      <w:r>
        <w:rPr>
          <w:rFonts w:ascii="Arial" w:hAnsi="Arial"/>
          <w:b w:val="0"/>
          <w:i w:val="0"/>
          <w:sz w:val="21"/>
        </w:rPr>
        <w:t xml:space="preserve">, </w:t>
      </w:r>
      <w:r>
        <w:rPr>
          <w:rFonts w:ascii="Consolas" w:hAnsi="Consolas"/>
          <w:b w:val="0"/>
          <w:i w:val="0"/>
          <w:sz w:val="20"/>
        </w:rPr>
        <w:t>scanner/</w:t>
      </w:r>
      <w:r>
        <w:rPr>
          <w:rFonts w:ascii="Arial" w:hAnsi="Arial"/>
          <w:b w:val="0"/>
          <w:i w:val="0"/>
          <w:sz w:val="21"/>
        </w:rPr>
        <w:t xml:space="preserve">, </w:t>
      </w:r>
      <w:r>
        <w:rPr>
          <w:rFonts w:ascii="Consolas" w:hAnsi="Consolas"/>
          <w:b w:val="0"/>
          <w:i w:val="0"/>
          <w:sz w:val="20"/>
        </w:rPr>
        <w:t>indicators/</w:t>
      </w:r>
      <w:r>
        <w:rPr>
          <w:rFonts w:ascii="Arial" w:hAnsi="Arial"/>
          <w:b w:val="0"/>
          <w:i w:val="0"/>
          <w:sz w:val="21"/>
        </w:rPr>
        <w:t xml:space="preserve">, </w:t>
      </w:r>
      <w:r>
        <w:rPr>
          <w:rFonts w:ascii="Consolas" w:hAnsi="Consolas"/>
          <w:b w:val="0"/>
          <w:i w:val="0"/>
          <w:sz w:val="20"/>
        </w:rPr>
        <w:t>patterns/</w:t>
      </w:r>
      <w:r>
        <w:rPr>
          <w:rFonts w:ascii="Arial" w:hAnsi="Arial"/>
          <w:b w:val="0"/>
          <w:i w:val="0"/>
          <w:sz w:val="21"/>
        </w:rPr>
        <w:t xml:space="preserve">, </w:t>
      </w:r>
      <w:r>
        <w:rPr>
          <w:rFonts w:ascii="Consolas" w:hAnsi="Consolas"/>
          <w:b w:val="0"/>
          <w:i w:val="0"/>
          <w:sz w:val="20"/>
        </w:rPr>
        <w:t>strategies/</w:t>
      </w:r>
      <w:r>
        <w:rPr>
          <w:rFonts w:ascii="Arial" w:hAnsi="Arial"/>
          <w:b w:val="0"/>
          <w:i w:val="0"/>
          <w:sz w:val="21"/>
        </w:rPr>
        <w:t xml:space="preserve">, </w:t>
      </w:r>
      <w:r>
        <w:rPr>
          <w:rFonts w:ascii="Consolas" w:hAnsi="Consolas"/>
          <w:b w:val="0"/>
          <w:i w:val="0"/>
          <w:sz w:val="20"/>
        </w:rPr>
        <w:t>backtesting/</w:t>
      </w:r>
      <w:r>
        <w:rPr>
          <w:rFonts w:ascii="Arial" w:hAnsi="Arial"/>
          <w:b w:val="0"/>
          <w:i w:val="0"/>
          <w:sz w:val="21"/>
        </w:rPr>
        <w:t xml:space="preserve">, </w:t>
      </w:r>
      <w:r>
        <w:rPr>
          <w:rFonts w:ascii="Consolas" w:hAnsi="Consolas"/>
          <w:b w:val="0"/>
          <w:i w:val="0"/>
          <w:sz w:val="20"/>
        </w:rPr>
        <w:t>portfolio/</w:t>
      </w:r>
      <w:r>
        <w:rPr>
          <w:rFonts w:ascii="Arial" w:hAnsi="Arial"/>
          <w:b w:val="0"/>
          <w:i w:val="0"/>
          <w:sz w:val="21"/>
        </w:rPr>
        <w:t xml:space="preserve">, </w:t>
      </w:r>
      <w:r>
        <w:rPr>
          <w:rFonts w:ascii="Consolas" w:hAnsi="Consolas"/>
          <w:b w:val="0"/>
          <w:i w:val="0"/>
          <w:sz w:val="20"/>
        </w:rPr>
        <w:t>risk/</w:t>
      </w:r>
      <w:r>
        <w:rPr>
          <w:rFonts w:ascii="Arial" w:hAnsi="Arial"/>
          <w:b w:val="0"/>
          <w:i w:val="0"/>
          <w:sz w:val="21"/>
        </w:rPr>
        <w:t xml:space="preserve">, </w:t>
      </w:r>
      <w:r>
        <w:rPr>
          <w:rFonts w:ascii="Consolas" w:hAnsi="Consolas"/>
          <w:b w:val="0"/>
          <w:i w:val="0"/>
          <w:sz w:val="20"/>
        </w:rPr>
        <w:t>permissions/</w:t>
      </w:r>
      <w:r>
        <w:rPr>
          <w:rFonts w:ascii="Arial" w:hAnsi="Arial"/>
          <w:b w:val="0"/>
          <w:i w:val="0"/>
          <w:sz w:val="21"/>
        </w:rPr>
        <w:t xml:space="preserve">, </w:t>
      </w:r>
      <w:r>
        <w:rPr>
          <w:rFonts w:ascii="Consolas" w:hAnsi="Consolas"/>
          <w:b w:val="0"/>
          <w:i w:val="0"/>
          <w:sz w:val="20"/>
        </w:rPr>
        <w:t>execution/</w:t>
      </w:r>
      <w:r>
        <w:rPr>
          <w:rFonts w:ascii="Arial" w:hAnsi="Arial"/>
          <w:b w:val="0"/>
          <w:i w:val="0"/>
          <w:sz w:val="21"/>
        </w:rPr>
        <w:t xml:space="preserve">, </w:t>
      </w:r>
      <w:r>
        <w:rPr>
          <w:rFonts w:ascii="Consolas" w:hAnsi="Consolas"/>
          <w:b w:val="0"/>
          <w:i w:val="0"/>
          <w:sz w:val="20"/>
        </w:rPr>
        <w:t>monitoring/</w:t>
      </w:r>
      <w:r>
        <w:rPr>
          <w:rFonts w:ascii="Arial" w:hAnsi="Arial"/>
          <w:b w:val="0"/>
          <w:i w:val="0"/>
          <w:sz w:val="21"/>
        </w:rPr>
        <w:t xml:space="preserve">, </w:t>
      </w:r>
      <w:r>
        <w:rPr>
          <w:rFonts w:ascii="Consolas" w:hAnsi="Consolas"/>
          <w:b w:val="0"/>
          <w:i w:val="0"/>
          <w:sz w:val="20"/>
        </w:rPr>
        <w:t>notifications/</w:t>
      </w:r>
      <w:r>
        <w:rPr>
          <w:rFonts w:ascii="Arial" w:hAnsi="Arial"/>
          <w:b w:val="0"/>
          <w:i w:val="0"/>
          <w:sz w:val="21"/>
        </w:rPr>
        <w:t xml:space="preserve">, </w:t>
      </w:r>
      <w:r>
        <w:rPr>
          <w:rFonts w:ascii="Consolas" w:hAnsi="Consolas"/>
          <w:b w:val="0"/>
          <w:i w:val="0"/>
          <w:sz w:val="20"/>
        </w:rPr>
        <w:t>database/</w:t>
      </w:r>
      <w:r>
        <w:rPr>
          <w:rFonts w:ascii="Arial" w:hAnsi="Arial"/>
          <w:b w:val="0"/>
          <w:i w:val="0"/>
          <w:sz w:val="21"/>
        </w:rPr>
        <w:t xml:space="preserve">, </w:t>
      </w:r>
      <w:r>
        <w:rPr>
          <w:rFonts w:ascii="Consolas" w:hAnsi="Consolas"/>
          <w:b w:val="0"/>
          <w:i w:val="0"/>
          <w:sz w:val="20"/>
        </w:rPr>
        <w:t>audit/</w:t>
      </w:r>
      <w:r>
        <w:rPr>
          <w:rFonts w:ascii="Arial" w:hAnsi="Arial"/>
          <w:b w:val="0"/>
          <w:i w:val="0"/>
          <w:sz w:val="21"/>
        </w:rPr>
        <w:t xml:space="preserve">, </w:t>
      </w:r>
      <w:r>
        <w:rPr>
          <w:rFonts w:ascii="Consolas" w:hAnsi="Consolas"/>
          <w:b w:val="0"/>
          <w:i w:val="0"/>
          <w:sz w:val="20"/>
        </w:rPr>
        <w:t>security/</w:t>
      </w:r>
      <w:r>
        <w:rPr>
          <w:rFonts w:ascii="Arial" w:hAnsi="Arial"/>
          <w:b w:val="0"/>
          <w:i w:val="0"/>
          <w:sz w:val="21"/>
        </w:rPr>
        <w:t xml:space="preserve">, </w:t>
      </w:r>
      <w:r>
        <w:rPr>
          <w:rFonts w:ascii="Consolas" w:hAnsi="Consolas"/>
          <w:b w:val="0"/>
          <w:i w:val="0"/>
          <w:sz w:val="20"/>
        </w:rPr>
        <w:t>backend/app/knowledge/</w:t>
      </w:r>
      <w:r>
        <w:rPr>
          <w:rFonts w:ascii="Arial" w:hAnsi="Arial"/>
          <w:b w:val="0"/>
          <w:i w:val="0"/>
          <w:sz w:val="21"/>
        </w:rPr>
        <w:t>) as the target end-state; this requirement's Committed/MVP scope covers only the Phase-1 subset below. Later modules may exist as reserved/stub directories but are not required to be functionally complete until their own phase.</w:t>
      </w:r>
    </w:p>
    <w:p>
      <w:pPr>
        <w:spacing w:after="120" w:line="288" w:lineRule="auto"/>
      </w:pPr>
      <w:r>
        <w:rPr>
          <w:rFonts w:ascii="Arial" w:hAnsi="Arial"/>
          <w:b/>
          <w:i w:val="0"/>
          <w:sz w:val="21"/>
        </w:rPr>
        <w:t>Governing Source (narrowed in the DS-004-A01 repair):</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1 backend list.</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§5; </w:t>
      </w:r>
      <w:r>
        <w:rPr>
          <w:rFonts w:ascii="Consolas" w:hAnsi="Consolas"/>
          <w:b w:val="0"/>
          <w:i w:val="0"/>
          <w:sz w:val="20"/>
        </w:rPr>
        <w:t>ROADMAP.md</w:t>
      </w:r>
      <w:r>
        <w:rPr>
          <w:rFonts w:ascii="Arial" w:hAnsi="Arial"/>
          <w:b w:val="0"/>
          <w:i w:val="0"/>
          <w:sz w:val="21"/>
        </w:rPr>
        <w:t xml:space="preserve"> Phase 1; DS-ARC-001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FastAPI application skeleton exists and starts locally (Phase 1 exit criterion).</w:t>
      </w:r>
    </w:p>
    <w:p>
      <w:pPr>
        <w:pStyle w:val="ListBullet"/>
        <w:spacing w:after="60"/>
      </w:pPr>
      <w:r>
        <w:rPr>
          <w:rFonts w:ascii="Arial" w:hAnsi="Arial"/>
          <w:b w:val="0"/>
          <w:i w:val="0"/>
          <w:sz w:val="21"/>
        </w:rPr>
        <w:t xml:space="preserve">The Phase-1 module subset — </w:t>
      </w:r>
      <w:r>
        <w:rPr>
          <w:rFonts w:ascii="Consolas" w:hAnsi="Consolas"/>
          <w:b w:val="0"/>
          <w:i w:val="0"/>
          <w:sz w:val="20"/>
        </w:rPr>
        <w:t>api/</w:t>
      </w:r>
      <w:r>
        <w:rPr>
          <w:rFonts w:ascii="Arial" w:hAnsi="Arial"/>
          <w:b w:val="0"/>
          <w:i w:val="0"/>
          <w:sz w:val="21"/>
        </w:rPr>
        <w:t xml:space="preserve">, </w:t>
      </w:r>
      <w:r>
        <w:rPr>
          <w:rFonts w:ascii="Consolas" w:hAnsi="Consolas"/>
          <w:b w:val="0"/>
          <w:i w:val="0"/>
          <w:sz w:val="20"/>
        </w:rPr>
        <w:t>models/</w:t>
      </w:r>
      <w:r>
        <w:rPr>
          <w:rFonts w:ascii="Arial" w:hAnsi="Arial"/>
          <w:b w:val="0"/>
          <w:i w:val="0"/>
          <w:sz w:val="21"/>
        </w:rPr>
        <w:t xml:space="preserve">, </w:t>
      </w:r>
      <w:r>
        <w:rPr>
          <w:rFonts w:ascii="Consolas" w:hAnsi="Consolas"/>
          <w:b w:val="0"/>
          <w:i w:val="0"/>
          <w:sz w:val="20"/>
        </w:rPr>
        <w:t>market_data/</w:t>
      </w:r>
      <w:r>
        <w:rPr>
          <w:rFonts w:ascii="Arial" w:hAnsi="Arial"/>
          <w:b w:val="0"/>
          <w:i w:val="0"/>
          <w:sz w:val="21"/>
        </w:rPr>
        <w:t xml:space="preserve">, </w:t>
      </w:r>
      <w:r>
        <w:rPr>
          <w:rFonts w:ascii="Consolas" w:hAnsi="Consolas"/>
          <w:b w:val="0"/>
          <w:i w:val="0"/>
          <w:sz w:val="20"/>
        </w:rPr>
        <w:t>scanner/</w:t>
      </w:r>
      <w:r>
        <w:rPr>
          <w:rFonts w:ascii="Arial" w:hAnsi="Arial"/>
          <w:b w:val="0"/>
          <w:i w:val="0"/>
          <w:sz w:val="21"/>
        </w:rPr>
        <w:t xml:space="preserve">, </w:t>
      </w:r>
      <w:r>
        <w:rPr>
          <w:rFonts w:ascii="Consolas" w:hAnsi="Consolas"/>
          <w:b w:val="0"/>
          <w:i w:val="0"/>
          <w:sz w:val="20"/>
        </w:rPr>
        <w:t>indicators/</w:t>
      </w:r>
      <w:r>
        <w:rPr>
          <w:rFonts w:ascii="Arial" w:hAnsi="Arial"/>
          <w:b w:val="0"/>
          <w:i w:val="0"/>
          <w:sz w:val="21"/>
        </w:rPr>
        <w:t xml:space="preserve">, </w:t>
      </w:r>
      <w:r>
        <w:rPr>
          <w:rFonts w:ascii="Consolas" w:hAnsi="Consolas"/>
          <w:b w:val="0"/>
          <w:i w:val="0"/>
          <w:sz w:val="20"/>
        </w:rPr>
        <w:t>database/</w:t>
      </w:r>
      <w:r>
        <w:rPr>
          <w:rFonts w:ascii="Arial" w:hAnsi="Arial"/>
          <w:b w:val="0"/>
          <w:i w:val="0"/>
          <w:sz w:val="21"/>
        </w:rPr>
        <w:t xml:space="preserve">, and </w:t>
      </w:r>
      <w:r>
        <w:rPr>
          <w:rFonts w:ascii="Consolas" w:hAnsi="Consolas"/>
          <w:b w:val="0"/>
          <w:i w:val="0"/>
          <w:sz w:val="20"/>
        </w:rPr>
        <w:t>risk/</w:t>
      </w:r>
      <w:r>
        <w:rPr>
          <w:rFonts w:ascii="Arial" w:hAnsi="Arial"/>
          <w:b w:val="0"/>
          <w:i w:val="0"/>
          <w:sz w:val="21"/>
        </w:rPr>
        <w:t xml:space="preserve"> at foundation level only (deterministic calculations per DS-RSK-002, not yet wired into an execution pipeline) — is fully implemented and matches </w:t>
      </w:r>
      <w:r>
        <w:rPr>
          <w:rFonts w:ascii="Consolas" w:hAnsi="Consolas"/>
          <w:b w:val="0"/>
          <w:i w:val="0"/>
          <w:sz w:val="20"/>
        </w:rPr>
        <w:t>ARCHITECTURE.md</w:t>
      </w:r>
      <w:r>
        <w:rPr>
          <w:rFonts w:ascii="Arial" w:hAnsi="Arial"/>
          <w:b w:val="0"/>
          <w:i w:val="0"/>
          <w:sz w:val="21"/>
        </w:rPr>
        <w:t xml:space="preserve"> §5's definition for those modules; no duplicate implementation of the same trading logic across modules (</w:t>
      </w:r>
      <w:r>
        <w:rPr>
          <w:rFonts w:ascii="Consolas" w:hAnsi="Consolas"/>
          <w:b w:val="0"/>
          <w:i w:val="0"/>
          <w:sz w:val="20"/>
        </w:rPr>
        <w:t>AGENTS.md</w:t>
      </w:r>
      <w:r>
        <w:rPr>
          <w:rFonts w:ascii="Arial" w:hAnsi="Arial"/>
          <w:b w:val="0"/>
          <w:i w:val="0"/>
          <w:sz w:val="21"/>
        </w:rPr>
        <w:t xml:space="preserve"> "No Duplicate Business Logic").</w:t>
      </w:r>
    </w:p>
    <w:p>
      <w:pPr>
        <w:pStyle w:val="ListBullet"/>
        <w:spacing w:after="60"/>
      </w:pPr>
      <w:r>
        <w:rPr>
          <w:rFonts w:ascii="Arial" w:hAnsi="Arial"/>
          <w:b w:val="0"/>
          <w:i w:val="0"/>
          <w:sz w:val="21"/>
        </w:rPr>
        <w:t>Modules outside the Phase-1 subset (</w:t>
      </w:r>
      <w:r>
        <w:rPr>
          <w:rFonts w:ascii="Consolas" w:hAnsi="Consolas"/>
          <w:b w:val="0"/>
          <w:i w:val="0"/>
          <w:sz w:val="20"/>
        </w:rPr>
        <w:t>patterns/</w:t>
      </w:r>
      <w:r>
        <w:rPr>
          <w:rFonts w:ascii="Arial" w:hAnsi="Arial"/>
          <w:b w:val="0"/>
          <w:i w:val="0"/>
          <w:sz w:val="21"/>
        </w:rPr>
        <w:t xml:space="preserve">, </w:t>
      </w:r>
      <w:r>
        <w:rPr>
          <w:rFonts w:ascii="Consolas" w:hAnsi="Consolas"/>
          <w:b w:val="0"/>
          <w:i w:val="0"/>
          <w:sz w:val="20"/>
        </w:rPr>
        <w:t>strategies/</w:t>
      </w:r>
      <w:r>
        <w:rPr>
          <w:rFonts w:ascii="Arial" w:hAnsi="Arial"/>
          <w:b w:val="0"/>
          <w:i w:val="0"/>
          <w:sz w:val="21"/>
        </w:rPr>
        <w:t xml:space="preserve">, </w:t>
      </w:r>
      <w:r>
        <w:rPr>
          <w:rFonts w:ascii="Consolas" w:hAnsi="Consolas"/>
          <w:b w:val="0"/>
          <w:i w:val="0"/>
          <w:sz w:val="20"/>
        </w:rPr>
        <w:t>backtesting/</w:t>
      </w:r>
      <w:r>
        <w:rPr>
          <w:rFonts w:ascii="Arial" w:hAnsi="Arial"/>
          <w:b w:val="0"/>
          <w:i w:val="0"/>
          <w:sz w:val="21"/>
        </w:rPr>
        <w:t xml:space="preserve">, </w:t>
      </w:r>
      <w:r>
        <w:rPr>
          <w:rFonts w:ascii="Consolas" w:hAnsi="Consolas"/>
          <w:b w:val="0"/>
          <w:i w:val="0"/>
          <w:sz w:val="20"/>
        </w:rPr>
        <w:t>portfolio/</w:t>
      </w:r>
      <w:r>
        <w:rPr>
          <w:rFonts w:ascii="Arial" w:hAnsi="Arial"/>
          <w:b w:val="0"/>
          <w:i w:val="0"/>
          <w:sz w:val="21"/>
        </w:rPr>
        <w:t xml:space="preserve">, </w:t>
      </w:r>
      <w:r>
        <w:rPr>
          <w:rFonts w:ascii="Consolas" w:hAnsi="Consolas"/>
          <w:b w:val="0"/>
          <w:i w:val="0"/>
          <w:sz w:val="20"/>
        </w:rPr>
        <w:t>permissions/</w:t>
      </w:r>
      <w:r>
        <w:rPr>
          <w:rFonts w:ascii="Arial" w:hAnsi="Arial"/>
          <w:b w:val="0"/>
          <w:i w:val="0"/>
          <w:sz w:val="21"/>
        </w:rPr>
        <w:t xml:space="preserve">, </w:t>
      </w:r>
      <w:r>
        <w:rPr>
          <w:rFonts w:ascii="Consolas" w:hAnsi="Consolas"/>
          <w:b w:val="0"/>
          <w:i w:val="0"/>
          <w:sz w:val="20"/>
        </w:rPr>
        <w:t>execution/</w:t>
      </w:r>
      <w:r>
        <w:rPr>
          <w:rFonts w:ascii="Arial" w:hAnsi="Arial"/>
          <w:b w:val="0"/>
          <w:i w:val="0"/>
          <w:sz w:val="21"/>
        </w:rPr>
        <w:t xml:space="preserve">, </w:t>
      </w:r>
      <w:r>
        <w:rPr>
          <w:rFonts w:ascii="Consolas" w:hAnsi="Consolas"/>
          <w:b w:val="0"/>
          <w:i w:val="0"/>
          <w:sz w:val="20"/>
        </w:rPr>
        <w:t>monitoring/</w:t>
      </w:r>
      <w:r>
        <w:rPr>
          <w:rFonts w:ascii="Arial" w:hAnsi="Arial"/>
          <w:b w:val="0"/>
          <w:i w:val="0"/>
          <w:sz w:val="21"/>
        </w:rPr>
        <w:t xml:space="preserve">, </w:t>
      </w:r>
      <w:r>
        <w:rPr>
          <w:rFonts w:ascii="Consolas" w:hAnsi="Consolas"/>
          <w:b w:val="0"/>
          <w:i w:val="0"/>
          <w:sz w:val="20"/>
        </w:rPr>
        <w:t>notifications/</w:t>
      </w:r>
      <w:r>
        <w:rPr>
          <w:rFonts w:ascii="Arial" w:hAnsi="Arial"/>
          <w:b w:val="0"/>
          <w:i w:val="0"/>
          <w:sz w:val="21"/>
        </w:rPr>
        <w:t xml:space="preserve">, </w:t>
      </w:r>
      <w:r>
        <w:rPr>
          <w:rFonts w:ascii="Consolas" w:hAnsi="Consolas"/>
          <w:b w:val="0"/>
          <w:i w:val="0"/>
          <w:sz w:val="20"/>
        </w:rPr>
        <w:t>audit/</w:t>
      </w:r>
      <w:r>
        <w:rPr>
          <w:rFonts w:ascii="Arial" w:hAnsi="Arial"/>
          <w:b w:val="0"/>
          <w:i w:val="0"/>
          <w:sz w:val="21"/>
        </w:rPr>
        <w:t xml:space="preserve">, </w:t>
      </w:r>
      <w:r>
        <w:rPr>
          <w:rFonts w:ascii="Consolas" w:hAnsi="Consolas"/>
          <w:b w:val="0"/>
          <w:i w:val="0"/>
          <w:sz w:val="20"/>
        </w:rPr>
        <w:t>security/</w:t>
      </w:r>
      <w:r>
        <w:rPr>
          <w:rFonts w:ascii="Arial" w:hAnsi="Arial"/>
          <w:b w:val="0"/>
          <w:i w:val="0"/>
          <w:sz w:val="21"/>
        </w:rPr>
        <w:t xml:space="preserve"> beyond credential handling, </w:t>
      </w:r>
      <w:r>
        <w:rPr>
          <w:rFonts w:ascii="Consolas" w:hAnsi="Consolas"/>
          <w:b w:val="0"/>
          <w:i w:val="0"/>
          <w:sz w:val="20"/>
        </w:rPr>
        <w:t>backend/app/knowledge/</w:t>
      </w:r>
      <w:r>
        <w:rPr>
          <w:rFonts w:ascii="Arial" w:hAnsi="Arial"/>
          <w:b w:val="0"/>
          <w:i w:val="0"/>
          <w:sz w:val="21"/>
        </w:rPr>
        <w:t xml:space="preserve">) are not required to be functionally complete for this requirement to be satisfied; their completion is governed by their own phase-appropriate requirement (e.g., DS-ARC-010 for </w:t>
      </w:r>
      <w:r>
        <w:rPr>
          <w:rFonts w:ascii="Consolas" w:hAnsi="Consolas"/>
          <w:b w:val="0"/>
          <w:i w:val="0"/>
          <w:sz w:val="20"/>
        </w:rPr>
        <w:t>backtesting/</w:t>
      </w:r>
      <w:r>
        <w:rPr>
          <w:rFonts w:ascii="Arial" w:hAnsi="Arial"/>
          <w:b w:val="0"/>
          <w:i w:val="0"/>
          <w:sz w:val="21"/>
        </w:rPr>
        <w:t xml:space="preserve">, DS-ARC-012 for full </w:t>
      </w:r>
      <w:r>
        <w:rPr>
          <w:rFonts w:ascii="Consolas" w:hAnsi="Consolas"/>
          <w:b w:val="0"/>
          <w:i w:val="0"/>
          <w:sz w:val="20"/>
        </w:rPr>
        <w:t>risk/</w:t>
      </w:r>
      <w:r>
        <w:rPr>
          <w:rFonts w:ascii="Arial" w:hAnsi="Arial"/>
          <w:b w:val="0"/>
          <w:i w:val="0"/>
          <w:sz w:val="21"/>
        </w:rPr>
        <w:t>+</w:t>
      </w:r>
      <w:r>
        <w:rPr>
          <w:rFonts w:ascii="Consolas" w:hAnsi="Consolas"/>
          <w:b w:val="0"/>
          <w:i w:val="0"/>
          <w:sz w:val="20"/>
        </w:rPr>
        <w:t>permissions/</w:t>
      </w:r>
      <w:r>
        <w:rPr>
          <w:rFonts w:ascii="Arial" w:hAnsi="Arial"/>
          <w:b w:val="0"/>
          <w:i w:val="0"/>
          <w:sz w:val="21"/>
        </w:rPr>
        <w:t xml:space="preserve"> pipeline integration).</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 xml:space="preserve">A module requiring functionality from another (e.g., </w:t>
      </w:r>
      <w:r>
        <w:rPr>
          <w:rFonts w:ascii="Consolas" w:hAnsi="Consolas"/>
          <w:b w:val="0"/>
          <w:i w:val="0"/>
          <w:sz w:val="20"/>
        </w:rPr>
        <w:t>scanner/</w:t>
      </w:r>
      <w:r>
        <w:rPr>
          <w:rFonts w:ascii="Arial" w:hAnsi="Arial"/>
          <w:b w:val="0"/>
          <w:i w:val="0"/>
          <w:sz w:val="21"/>
        </w:rPr>
        <w:t xml:space="preserve"> using </w:t>
      </w:r>
      <w:r>
        <w:rPr>
          <w:rFonts w:ascii="Consolas" w:hAnsi="Consolas"/>
          <w:b w:val="0"/>
          <w:i w:val="0"/>
          <w:sz w:val="20"/>
        </w:rPr>
        <w:t>indicators/</w:t>
      </w:r>
      <w:r>
        <w:rPr>
          <w:rFonts w:ascii="Arial" w:hAnsi="Arial"/>
          <w:b w:val="0"/>
          <w:i w:val="0"/>
          <w:sz w:val="21"/>
        </w:rPr>
        <w:t>) does so via the module's public interface, not by reimplementing the calculation.</w:t>
      </w:r>
    </w:p>
    <w:p>
      <w:pPr>
        <w:spacing w:after="120" w:line="288" w:lineRule="auto"/>
      </w:pPr>
      <w:r>
        <w:rPr>
          <w:rFonts w:ascii="Arial" w:hAnsi="Arial"/>
          <w:b/>
          <w:i w:val="0"/>
          <w:sz w:val="21"/>
        </w:rPr>
        <w:t>Implementation Notes:</w:t>
      </w:r>
      <w:r>
        <w:rPr>
          <w:rFonts w:ascii="Arial" w:hAnsi="Arial"/>
          <w:b w:val="0"/>
          <w:i w:val="0"/>
          <w:sz w:val="21"/>
        </w:rPr>
        <w:t xml:space="preserve"> Full module responsibilities are </w:t>
      </w:r>
      <w:r>
        <w:rPr>
          <w:rFonts w:ascii="Consolas" w:hAnsi="Consolas"/>
          <w:b w:val="0"/>
          <w:i w:val="0"/>
          <w:sz w:val="20"/>
        </w:rPr>
        <w:t>ARCHITECTURE.md</w:t>
      </w:r>
      <w:r>
        <w:rPr>
          <w:rFonts w:ascii="Arial" w:hAnsi="Arial"/>
          <w:b w:val="0"/>
          <w:i w:val="0"/>
          <w:sz w:val="21"/>
        </w:rPr>
        <w:t xml:space="preserve"> §5's authoritative reference.</w:t>
      </w:r>
    </w:p>
    <w:p>
      <w:pPr>
        <w:spacing w:after="120" w:line="288" w:lineRule="auto"/>
      </w:pPr>
      <w:r>
        <w:rPr>
          <w:rFonts w:ascii="Arial" w:hAnsi="Arial"/>
          <w:b/>
          <w:i w:val="0"/>
          <w:sz w:val="21"/>
        </w:rPr>
        <w:t>Testing:</w:t>
      </w:r>
      <w:r>
        <w:rPr>
          <w:rFonts w:ascii="Arial" w:hAnsi="Arial"/>
          <w:b w:val="0"/>
          <w:i w:val="0"/>
          <w:sz w:val="21"/>
        </w:rPr>
        <w:t xml:space="preserve"> Backend-startup smoke test (ROADMAP.md Phase 1 exit criterion: "Backend starts locally").</w:t>
      </w:r>
    </w:p>
    <w:p>
      <w:pPr>
        <w:pStyle w:val="Heading2"/>
        <w:spacing w:before="360" w:after="160"/>
        <w:pBdr>
          <w:bottom w:val="single" w:sz="8" w:space="4" w:color="C8A45D"/>
        </w:pBdr>
      </w:pPr>
      <w:r>
        <w:rPr>
          <w:rFonts w:ascii="Arial" w:hAnsi="Arial"/>
          <w:b w:val="0"/>
          <w:i w:val="0"/>
          <w:color w:val="17181C"/>
          <w:sz w:val="34"/>
        </w:rPr>
        <w:t>DS-ARC-005 — Shared Models</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Ensure every client and backend module operates on the same data shapes, preventing drift between desktop, mobile, and backend representations.</w:t>
      </w:r>
    </w:p>
    <w:p>
      <w:pPr>
        <w:spacing w:after="120" w:line="288" w:lineRule="auto"/>
      </w:pPr>
      <w:r>
        <w:rPr>
          <w:rFonts w:ascii="Arial" w:hAnsi="Arial"/>
          <w:b/>
          <w:i w:val="0"/>
          <w:sz w:val="21"/>
        </w:rPr>
        <w:t>Description:</w:t>
      </w:r>
      <w:r>
        <w:rPr>
          <w:rFonts w:ascii="Arial" w:hAnsi="Arial"/>
          <w:b w:val="0"/>
          <w:i w:val="0"/>
          <w:sz w:val="21"/>
        </w:rPr>
        <w:t xml:space="preserve"> DarkSage shall define shared data models (location: </w:t>
      </w:r>
      <w:r>
        <w:rPr>
          <w:rFonts w:ascii="Consolas" w:hAnsi="Consolas"/>
          <w:b w:val="0"/>
          <w:i w:val="0"/>
          <w:sz w:val="20"/>
        </w:rPr>
        <w:t>shared/</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§6 lists the complete target set (Candle, Quote, Signal, StrategyProfile, TradeDecision, Position, Portfolio, MarketRegime, RiskState, Order, BrokerState, ChartAnnotation, BacktestResult); this requirement's Committed/MVP scope covers only the five models </w:t>
      </w:r>
      <w:r>
        <w:rPr>
          <w:rFonts w:ascii="Consolas" w:hAnsi="Consolas"/>
          <w:b w:val="0"/>
          <w:i w:val="0"/>
          <w:sz w:val="20"/>
        </w:rPr>
        <w:t>ROADMAP.md</w:t>
      </w:r>
      <w:r>
        <w:rPr>
          <w:rFonts w:ascii="Arial" w:hAnsi="Arial"/>
          <w:b w:val="0"/>
          <w:i w:val="0"/>
          <w:sz w:val="21"/>
        </w:rPr>
        <w:t xml:space="preserve"> Phase 1 explicitly names: Candle, Quote, Signal, StrategyProfile, TradeDecision. The remaining eight models (Position, Portfolio, MarketRegime, RiskState, Order, BrokerState, ChartAnnotation, BacktestResult) are Planned, matching their own DS-005 entity classifications (DS-DB-003, 006, 008–013).</w:t>
      </w:r>
    </w:p>
    <w:p>
      <w:pPr>
        <w:spacing w:after="120" w:line="288" w:lineRule="auto"/>
      </w:pPr>
      <w:r>
        <w:rPr>
          <w:rFonts w:ascii="Arial" w:hAnsi="Arial"/>
          <w:b/>
          <w:i w:val="0"/>
          <w:sz w:val="21"/>
        </w:rPr>
        <w:t>Governing Source (narrowed in the DS-004-A01 repair):</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1 ("Core models," "Candle model," "Quote model," "Signal model," "StrategyProfile model," "TradeDecision model").</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§6; </w:t>
      </w:r>
      <w:r>
        <w:rPr>
          <w:rFonts w:ascii="Consolas" w:hAnsi="Consolas"/>
          <w:b w:val="0"/>
          <w:i w:val="0"/>
          <w:sz w:val="20"/>
        </w:rPr>
        <w:t>ROADMAP.md</w:t>
      </w:r>
      <w:r>
        <w:rPr>
          <w:rFonts w:ascii="Arial" w:hAnsi="Arial"/>
          <w:b w:val="0"/>
          <w:i w:val="0"/>
          <w:sz w:val="21"/>
        </w:rPr>
        <w:t xml:space="preserve"> Phase 1; DS-DAT-003</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Client and backend code reference the shared model definitions rather than independently redefining the same shape, for at minimum the five Phase-1 models.</w:t>
      </w:r>
    </w:p>
    <w:p>
      <w:pPr>
        <w:pStyle w:val="ListBullet"/>
        <w:spacing w:after="60"/>
      </w:pPr>
      <w:r>
        <w:rPr>
          <w:rFonts w:ascii="Arial" w:hAnsi="Arial"/>
          <w:b w:val="0"/>
          <w:i w:val="0"/>
          <w:sz w:val="21"/>
        </w:rPr>
        <w:t>A shared-model change updates all affected clients/services/tests in the same change (</w:t>
      </w:r>
      <w:r>
        <w:rPr>
          <w:rFonts w:ascii="Consolas" w:hAnsi="Consolas"/>
          <w:b w:val="0"/>
          <w:i w:val="0"/>
          <w:sz w:val="20"/>
        </w:rPr>
        <w:t>AGENTS.md</w:t>
      </w:r>
      <w:r>
        <w:rPr>
          <w:rFonts w:ascii="Arial" w:hAnsi="Arial"/>
          <w:b w:val="0"/>
          <w:i w:val="0"/>
          <w:sz w:val="21"/>
        </w:rPr>
        <w:t xml:space="preserve"> "Shared Contracts").</w:t>
      </w:r>
    </w:p>
    <w:p>
      <w:pPr>
        <w:pStyle w:val="ListBullet"/>
        <w:spacing w:after="60"/>
      </w:pPr>
      <w:r>
        <w:rPr>
          <w:rFonts w:ascii="Arial" w:hAnsi="Arial"/>
          <w:b w:val="0"/>
          <w:i w:val="0"/>
          <w:sz w:val="21"/>
        </w:rPr>
        <w:t>The eight Planned models are not required to exist for this requirement to be satisfied.</w:t>
      </w:r>
    </w:p>
    <w:p>
      <w:pPr>
        <w:spacing w:after="120" w:line="288" w:lineRule="auto"/>
      </w:pPr>
      <w:r>
        <w:rPr>
          <w:rFonts w:ascii="Arial" w:hAnsi="Arial"/>
          <w:b/>
          <w:i w:val="0"/>
          <w:sz w:val="21"/>
        </w:rPr>
        <w:t>Edge Cases:</w:t>
      </w:r>
      <w:r>
        <w:rPr>
          <w:rFonts w:ascii="Arial" w:hAnsi="Arial"/>
          <w:b w:val="0"/>
          <w:i w:val="0"/>
          <w:sz w:val="21"/>
        </w:rPr>
        <w:t xml:space="preserve"> None beyond general schema-consistency concerns, delegated to DS-005.</w:t>
      </w:r>
    </w:p>
    <w:p>
      <w:pPr>
        <w:spacing w:after="120" w:line="288" w:lineRule="auto"/>
      </w:pPr>
      <w:r>
        <w:rPr>
          <w:rFonts w:ascii="Arial" w:hAnsi="Arial"/>
          <w:b/>
          <w:i w:val="0"/>
          <w:sz w:val="21"/>
        </w:rPr>
        <w:t>Implementation Notes:</w:t>
      </w:r>
      <w:r>
        <w:rPr>
          <w:rFonts w:ascii="Arial" w:hAnsi="Arial"/>
          <w:b w:val="0"/>
          <w:i w:val="0"/>
          <w:sz w:val="21"/>
        </w:rPr>
        <w:t xml:space="preserve"> DS-005 concern for the full schema/serialization detail.</w:t>
      </w:r>
    </w:p>
    <w:p>
      <w:pPr>
        <w:spacing w:after="120" w:line="288" w:lineRule="auto"/>
      </w:pPr>
      <w:r>
        <w:rPr>
          <w:rFonts w:ascii="Arial" w:hAnsi="Arial"/>
          <w:b/>
          <w:i w:val="0"/>
          <w:sz w:val="21"/>
        </w:rPr>
        <w:t>Testing:</w:t>
      </w:r>
      <w:r>
        <w:rPr>
          <w:rFonts w:ascii="Arial" w:hAnsi="Arial"/>
          <w:b w:val="0"/>
          <w:i w:val="0"/>
          <w:sz w:val="21"/>
        </w:rPr>
        <w:t xml:space="preserve"> Cross-client/backend schema-consistency test.</w:t>
      </w:r>
    </w:p>
    <w:p>
      <w:pPr>
        <w:pStyle w:val="Heading1"/>
        <w:spacing w:before="480" w:after="240"/>
        <w:pBdr>
          <w:bottom w:val="single" w:sz="16" w:space="4" w:color="C8A45D"/>
        </w:pBdr>
      </w:pPr>
      <w:r>
        <w:rPr>
          <w:rFonts w:ascii="Arial" w:hAnsi="Arial"/>
          <w:b w:val="0"/>
          <w:i w:val="0"/>
          <w:color w:val="0B0B0D"/>
          <w:sz w:val="44"/>
        </w:rPr>
        <w:t>7. Market Data Architecture</w:t>
      </w:r>
    </w:p>
    <w:p>
      <w:pPr>
        <w:pStyle w:val="Heading2"/>
        <w:spacing w:before="360" w:after="160"/>
        <w:pBdr>
          <w:bottom w:val="single" w:sz="8" w:space="4" w:color="C8A45D"/>
        </w:pBdr>
      </w:pPr>
      <w:r>
        <w:rPr>
          <w:rFonts w:ascii="Arial" w:hAnsi="Arial"/>
          <w:b w:val="0"/>
          <w:i w:val="0"/>
          <w:color w:val="17181C"/>
          <w:sz w:val="34"/>
        </w:rPr>
        <w:t>DS-ARC-006 — Market Data Provider Abstraction</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Prevent vendor lock-in for market data, operationalizing DS-INT-001's provider-boundary principle.</w:t>
      </w:r>
    </w:p>
    <w:p>
      <w:pPr>
        <w:spacing w:after="120" w:line="288" w:lineRule="auto"/>
      </w:pPr>
      <w:r>
        <w:rPr>
          <w:rFonts w:ascii="Arial" w:hAnsi="Arial"/>
          <w:b/>
          <w:i w:val="0"/>
          <w:sz w:val="21"/>
        </w:rPr>
        <w:t>Description:</w:t>
      </w:r>
      <w:r>
        <w:rPr>
          <w:rFonts w:ascii="Arial" w:hAnsi="Arial"/>
          <w:b w:val="0"/>
          <w:i w:val="0"/>
          <w:sz w:val="21"/>
        </w:rPr>
        <w:t xml:space="preserve"> DarkSage shall access market data exclusively through provider adapters implementing a common interface (e.g., </w:t>
      </w:r>
      <w:r>
        <w:rPr>
          <w:rFonts w:ascii="Consolas" w:hAnsi="Consolas"/>
          <w:b w:val="0"/>
          <w:i w:val="0"/>
          <w:sz w:val="20"/>
        </w:rPr>
        <w:t>get_quote()</w:t>
      </w:r>
      <w:r>
        <w:rPr>
          <w:rFonts w:ascii="Arial" w:hAnsi="Arial"/>
          <w:b w:val="0"/>
          <w:i w:val="0"/>
          <w:sz w:val="21"/>
        </w:rPr>
        <w:t xml:space="preserve">, </w:t>
      </w:r>
      <w:r>
        <w:rPr>
          <w:rFonts w:ascii="Consolas" w:hAnsi="Consolas"/>
          <w:b w:val="0"/>
          <w:i w:val="0"/>
          <w:sz w:val="20"/>
        </w:rPr>
        <w:t>get_candles()</w:t>
      </w:r>
      <w:r>
        <w:rPr>
          <w:rFonts w:ascii="Arial" w:hAnsi="Arial"/>
          <w:b w:val="0"/>
          <w:i w:val="0"/>
          <w:sz w:val="21"/>
        </w:rPr>
        <w:t xml:space="preserve">, </w:t>
      </w:r>
      <w:r>
        <w:rPr>
          <w:rFonts w:ascii="Consolas" w:hAnsi="Consolas"/>
          <w:b w:val="0"/>
          <w:i w:val="0"/>
          <w:sz w:val="20"/>
        </w:rPr>
        <w:t>get_historical_candles()</w:t>
      </w:r>
      <w:r>
        <w:rPr>
          <w:rFonts w:ascii="Arial" w:hAnsi="Arial"/>
          <w:b w:val="0"/>
          <w:i w:val="0"/>
          <w:sz w:val="21"/>
        </w:rPr>
        <w:t xml:space="preserve">, </w:t>
      </w:r>
      <w:r>
        <w:rPr>
          <w:rFonts w:ascii="Consolas" w:hAnsi="Consolas"/>
          <w:b w:val="0"/>
          <w:i w:val="0"/>
          <w:sz w:val="20"/>
        </w:rPr>
        <w:t>get_company_info()</w:t>
      </w:r>
      <w:r>
        <w:rPr>
          <w:rFonts w:ascii="Arial" w:hAnsi="Arial"/>
          <w:b w:val="0"/>
          <w:i w:val="0"/>
          <w:sz w:val="21"/>
        </w:rPr>
        <w:t xml:space="preserve">, </w:t>
      </w:r>
      <w:r>
        <w:rPr>
          <w:rFonts w:ascii="Consolas" w:hAnsi="Consolas"/>
          <w:b w:val="0"/>
          <w:i w:val="0"/>
          <w:sz w:val="20"/>
        </w:rPr>
        <w:t>get_fundamentals()</w:t>
      </w:r>
      <w:r>
        <w:rPr>
          <w:rFonts w:ascii="Arial" w:hAnsi="Arial"/>
          <w:b w:val="0"/>
          <w:i w:val="0"/>
          <w:sz w:val="21"/>
        </w:rPr>
        <w:t xml:space="preserve">, </w:t>
      </w:r>
      <w:r>
        <w:rPr>
          <w:rFonts w:ascii="Consolas" w:hAnsi="Consolas"/>
          <w:b w:val="0"/>
          <w:i w:val="0"/>
          <w:sz w:val="20"/>
        </w:rPr>
        <w:t>get_news()</w:t>
      </w:r>
      <w:r>
        <w:rPr>
          <w:rFonts w:ascii="Arial" w:hAnsi="Arial"/>
          <w:b w:val="0"/>
          <w:i w:val="0"/>
          <w:sz w:val="21"/>
        </w:rPr>
        <w:t xml:space="preserve">, </w:t>
      </w:r>
      <w:r>
        <w:rPr>
          <w:rFonts w:ascii="Consolas" w:hAnsi="Consolas"/>
          <w:b w:val="0"/>
          <w:i w:val="0"/>
          <w:sz w:val="20"/>
        </w:rPr>
        <w:t>get_market_status()</w:t>
      </w:r>
      <w:r>
        <w:rPr>
          <w:rFonts w:ascii="Arial" w:hAnsi="Arial"/>
          <w:b w:val="0"/>
          <w:i w:val="0"/>
          <w:sz w:val="21"/>
        </w:rPr>
        <w:t>), flowing Provider → Adapter → Normalizer → Cache/Database → consuming feature (Scanner/Charts/Backtester/Strategies).</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§7; DS-MKT-001; DS-INT-001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consuming feature module calls a vendor-specific API directly; all access is through the adapter interface.</w:t>
      </w:r>
    </w:p>
    <w:p>
      <w:pPr>
        <w:pStyle w:val="ListBullet"/>
        <w:spacing w:after="60"/>
      </w:pPr>
      <w:r>
        <w:rPr>
          <w:rFonts w:ascii="Arial" w:hAnsi="Arial"/>
          <w:b w:val="0"/>
          <w:i w:val="0"/>
          <w:sz w:val="21"/>
        </w:rPr>
        <w:t>A second provider adapter can be added without changing consuming-feature code.</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field available from one provider but not another is surfaced as optional/extension data in the normalized model, not a required field (consistent with DS-MKT-001's edge-case handling).</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§7 is the authoritative interface reference.</w:t>
      </w:r>
    </w:p>
    <w:p>
      <w:pPr>
        <w:spacing w:after="120" w:line="288" w:lineRule="auto"/>
      </w:pPr>
      <w:r>
        <w:rPr>
          <w:rFonts w:ascii="Arial" w:hAnsi="Arial"/>
          <w:b/>
          <w:i w:val="0"/>
          <w:sz w:val="21"/>
        </w:rPr>
        <w:t>Testing:</w:t>
      </w:r>
      <w:r>
        <w:rPr>
          <w:rFonts w:ascii="Arial" w:hAnsi="Arial"/>
          <w:b w:val="0"/>
          <w:i w:val="0"/>
          <w:sz w:val="21"/>
        </w:rPr>
        <w:t xml:space="preserve"> Provider-substitution test (fixture provider swap; confirm consuming features unaffected).</w:t>
      </w:r>
    </w:p>
    <w:p>
      <w:pPr>
        <w:pStyle w:val="Heading1"/>
        <w:spacing w:before="480" w:after="240"/>
        <w:pBdr>
          <w:bottom w:val="single" w:sz="16" w:space="4" w:color="C8A45D"/>
        </w:pBdr>
      </w:pPr>
      <w:r>
        <w:rPr>
          <w:rFonts w:ascii="Arial" w:hAnsi="Arial"/>
          <w:b w:val="0"/>
          <w:i w:val="0"/>
          <w:color w:val="0B0B0D"/>
          <w:sz w:val="44"/>
        </w:rPr>
        <w:t>8. Indicator Engine</w:t>
      </w:r>
    </w:p>
    <w:p>
      <w:pPr>
        <w:pStyle w:val="Heading2"/>
        <w:spacing w:before="360" w:after="160"/>
        <w:pBdr>
          <w:bottom w:val="single" w:sz="8" w:space="4" w:color="C8A45D"/>
        </w:pBdr>
      </w:pPr>
      <w:r>
        <w:rPr>
          <w:rFonts w:ascii="Arial" w:hAnsi="Arial"/>
          <w:b w:val="0"/>
          <w:i w:val="0"/>
          <w:color w:val="17181C"/>
          <w:sz w:val="34"/>
        </w:rPr>
        <w:t>DS-ARC-007 — Single Shared Indicator Engine</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Guarantee that a chart, a scanner result, a backtest, and a strategy all agree on what an indicator's value is — a single-source-of-truth requirement, not a feature choice.</w:t>
      </w:r>
    </w:p>
    <w:p>
      <w:pPr>
        <w:spacing w:after="120" w:line="288" w:lineRule="auto"/>
      </w:pPr>
      <w:r>
        <w:rPr>
          <w:rFonts w:ascii="Arial" w:hAnsi="Arial"/>
          <w:b/>
          <w:i w:val="0"/>
          <w:sz w:val="21"/>
        </w:rPr>
        <w:t>Description:</w:t>
      </w:r>
      <w:r>
        <w:rPr>
          <w:rFonts w:ascii="Arial" w:hAnsi="Arial"/>
          <w:b w:val="0"/>
          <w:i w:val="0"/>
          <w:sz w:val="21"/>
        </w:rPr>
        <w:t xml:space="preserve"> DarkSage shall implement each technical indicator exactly once, in a shared indicator engine used identically by Charts, Scanner, Backtesting, Strategies, and (in later phases) the Paper and Live Auto-Trader. No feature may reimplement indicator math independently.</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§8; </w:t>
      </w:r>
      <w:r>
        <w:rPr>
          <w:rFonts w:ascii="Consolas" w:hAnsi="Consolas"/>
          <w:b w:val="0"/>
          <w:i w:val="0"/>
          <w:sz w:val="20"/>
        </w:rPr>
        <w:t>ROADMAP.md</w:t>
      </w:r>
      <w:r>
        <w:rPr>
          <w:rFonts w:ascii="Arial" w:hAnsi="Arial"/>
          <w:b w:val="0"/>
          <w:i w:val="0"/>
          <w:sz w:val="21"/>
        </w:rPr>
        <w:t xml:space="preserve"> Phase 1 (SMA, EMA, RSI, MACD, ATR, Bollinger Bands, VWAP, ADX, OBV, Relative Volume, Relative Strength); DS-CHT-002; DS-PRD-004</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Given identical input data, an indicator produces identical output whether invoked from the chart, scanner, or backtester.</w:t>
      </w:r>
    </w:p>
    <w:p>
      <w:pPr>
        <w:pStyle w:val="ListBullet"/>
        <w:spacing w:after="60"/>
      </w:pPr>
      <w:r>
        <w:rPr>
          <w:rFonts w:ascii="Arial" w:hAnsi="Arial"/>
          <w:b w:val="0"/>
          <w:i w:val="0"/>
          <w:sz w:val="21"/>
        </w:rPr>
        <w:t>Each Phase 1 indicator has unit tests against known reference data (ROADMAP.md Phase 1 exit criterion: "Indicators match reference tests").</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Insufficient historical data for an indicator's lookback period is disclosed as such (consistent with DS-CHT-002's edge case), not silently computed as a misleading partial value.</w:t>
      </w:r>
    </w:p>
    <w:p>
      <w:pPr>
        <w:spacing w:after="120" w:line="288" w:lineRule="auto"/>
      </w:pPr>
      <w:r>
        <w:rPr>
          <w:rFonts w:ascii="Arial" w:hAnsi="Arial"/>
          <w:b/>
          <w:i w:val="0"/>
          <w:sz w:val="21"/>
        </w:rPr>
        <w:t>Implementation Notes:</w:t>
      </w:r>
      <w:r>
        <w:rPr>
          <w:rFonts w:ascii="Arial" w:hAnsi="Arial"/>
          <w:b w:val="0"/>
          <w:i w:val="0"/>
          <w:sz w:val="21"/>
        </w:rPr>
        <w:t xml:space="preserve"> Full indicator catalog (current and future) is </w:t>
      </w:r>
      <w:r>
        <w:rPr>
          <w:rFonts w:ascii="Consolas" w:hAnsi="Consolas"/>
          <w:b w:val="0"/>
          <w:i w:val="0"/>
          <w:sz w:val="20"/>
        </w:rPr>
        <w:t>ARCHITECTURE.md</w:t>
      </w:r>
      <w:r>
        <w:rPr>
          <w:rFonts w:ascii="Arial" w:hAnsi="Arial"/>
          <w:b w:val="0"/>
          <w:i w:val="0"/>
          <w:sz w:val="21"/>
        </w:rPr>
        <w:t xml:space="preserve"> §8's authoritative reference.</w:t>
      </w:r>
    </w:p>
    <w:p>
      <w:pPr>
        <w:spacing w:after="120" w:line="288" w:lineRule="auto"/>
      </w:pPr>
      <w:r>
        <w:rPr>
          <w:rFonts w:ascii="Arial" w:hAnsi="Arial"/>
          <w:b/>
          <w:i w:val="0"/>
          <w:sz w:val="21"/>
        </w:rPr>
        <w:t>Testing:</w:t>
      </w:r>
      <w:r>
        <w:rPr>
          <w:rFonts w:ascii="Arial" w:hAnsi="Arial"/>
          <w:b w:val="0"/>
          <w:i w:val="0"/>
          <w:sz w:val="21"/>
        </w:rPr>
        <w:t xml:space="preserve"> Cross-consumer determinism regression test (chart vs. scanner vs. backtest, same input, same output); reference-data unit test suite.</w:t>
      </w:r>
    </w:p>
    <w:p>
      <w:pPr>
        <w:pStyle w:val="Heading1"/>
        <w:spacing w:before="480" w:after="240"/>
        <w:pBdr>
          <w:bottom w:val="single" w:sz="16" w:space="4" w:color="C8A45D"/>
        </w:pBdr>
      </w:pPr>
      <w:r>
        <w:rPr>
          <w:rFonts w:ascii="Arial" w:hAnsi="Arial"/>
          <w:b w:val="0"/>
          <w:i w:val="0"/>
          <w:color w:val="0B0B0D"/>
          <w:sz w:val="44"/>
        </w:rPr>
        <w:t>9. Chart Architecture</w:t>
      </w:r>
    </w:p>
    <w:p>
      <w:pPr>
        <w:pStyle w:val="Heading2"/>
        <w:spacing w:before="360" w:after="160"/>
        <w:pBdr>
          <w:bottom w:val="single" w:sz="8" w:space="4" w:color="C8A45D"/>
        </w:pBdr>
      </w:pPr>
      <w:r>
        <w:rPr>
          <w:rFonts w:ascii="Arial" w:hAnsi="Arial"/>
          <w:b w:val="0"/>
          <w:i w:val="0"/>
          <w:color w:val="17181C"/>
          <w:sz w:val="34"/>
        </w:rPr>
        <w:t>DS-ARC-008 — Chart Adapter Abstraction</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Let users choose a chart renderer without the choice affecting analytical correctness — chart engines render, they do not calculate.</w:t>
      </w:r>
    </w:p>
    <w:p>
      <w:pPr>
        <w:spacing w:after="120" w:line="288" w:lineRule="auto"/>
      </w:pPr>
      <w:r>
        <w:rPr>
          <w:rFonts w:ascii="Arial" w:hAnsi="Arial"/>
          <w:b/>
          <w:i w:val="0"/>
          <w:sz w:val="21"/>
        </w:rPr>
        <w:t>Description:</w:t>
      </w:r>
      <w:r>
        <w:rPr>
          <w:rFonts w:ascii="Arial" w:hAnsi="Arial"/>
          <w:b w:val="0"/>
          <w:i w:val="0"/>
          <w:sz w:val="21"/>
        </w:rPr>
        <w:t xml:space="preserve"> DarkSage shall support Apache ECharts and TradingView Lightweight Charts behind a common chart-adapter abstraction; chart engines shall render data only and shall not independently calculate indicators, patterns, or strategy logic — DarkSage owns all chart data and calculations.</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§9; </w:t>
      </w:r>
      <w:r>
        <w:rPr>
          <w:rFonts w:ascii="Consolas" w:hAnsi="Consolas"/>
          <w:b w:val="0"/>
          <w:i w:val="0"/>
          <w:sz w:val="20"/>
        </w:rPr>
        <w:t>ROADMAP.md</w:t>
      </w:r>
      <w:r>
        <w:rPr>
          <w:rFonts w:ascii="Arial" w:hAnsi="Arial"/>
          <w:b w:val="0"/>
          <w:i w:val="0"/>
          <w:sz w:val="21"/>
        </w:rPr>
        <w:t xml:space="preserve"> Phase 1; DS-CHT-001; DS-ARC-007</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Both chart engines render identical market data, indicator values, and trade markers for the same input (ROADMAP.md Phase 1 exit criterion: "Both chart engines render the same data").</w:t>
      </w:r>
    </w:p>
    <w:p>
      <w:pPr>
        <w:pStyle w:val="ListBullet"/>
        <w:spacing w:after="60"/>
      </w:pPr>
      <w:r>
        <w:rPr>
          <w:rFonts w:ascii="Arial" w:hAnsi="Arial"/>
          <w:b w:val="0"/>
          <w:i w:val="0"/>
          <w:sz w:val="21"/>
        </w:rPr>
        <w:t>Users can select the active chart engine; switching engines does not change any computed value shown.</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visual feature supported by one renderer but not the other is disclosed as an engine-specific limitation, not silently omitted without indication.</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§9/§14 (PROJECT_SPEC) is the authoritative reference for supported overlays.</w:t>
      </w:r>
    </w:p>
    <w:p>
      <w:pPr>
        <w:spacing w:after="120" w:line="288" w:lineRule="auto"/>
      </w:pPr>
      <w:r>
        <w:rPr>
          <w:rFonts w:ascii="Arial" w:hAnsi="Arial"/>
          <w:b/>
          <w:i w:val="0"/>
          <w:sz w:val="21"/>
        </w:rPr>
        <w:t>Testing:</w:t>
      </w:r>
      <w:r>
        <w:rPr>
          <w:rFonts w:ascii="Arial" w:hAnsi="Arial"/>
          <w:b w:val="0"/>
          <w:i w:val="0"/>
          <w:sz w:val="21"/>
        </w:rPr>
        <w:t xml:space="preserve"> Cross-renderer data-parity regression test.</w:t>
      </w:r>
    </w:p>
    <w:p>
      <w:pPr>
        <w:pStyle w:val="Heading1"/>
        <w:spacing w:before="480" w:after="240"/>
        <w:pBdr>
          <w:bottom w:val="single" w:sz="16" w:space="4" w:color="C8A45D"/>
        </w:pBdr>
      </w:pPr>
      <w:r>
        <w:rPr>
          <w:rFonts w:ascii="Arial" w:hAnsi="Arial"/>
          <w:b w:val="0"/>
          <w:i w:val="0"/>
          <w:color w:val="0B0B0D"/>
          <w:sz w:val="44"/>
        </w:rPr>
        <w:t>10. Strategy and Backtesting Architecture</w:t>
      </w:r>
    </w:p>
    <w:p>
      <w:pPr>
        <w:pStyle w:val="Heading2"/>
        <w:spacing w:before="360" w:after="160"/>
        <w:pBdr>
          <w:bottom w:val="single" w:sz="8" w:space="4" w:color="C8A45D"/>
        </w:pBdr>
      </w:pPr>
      <w:r>
        <w:rPr>
          <w:rFonts w:ascii="Arial" w:hAnsi="Arial"/>
          <w:b w:val="0"/>
          <w:i w:val="0"/>
          <w:color w:val="17181C"/>
          <w:sz w:val="34"/>
        </w:rPr>
        <w:t>DS-ARC-009 — Strategy Interface and Versioning</w:t>
      </w:r>
    </w:p>
    <w:p>
      <w:pPr>
        <w:spacing w:after="120" w:line="288" w:lineRule="auto"/>
      </w:pPr>
      <w:r>
        <w:rPr>
          <w:rFonts w:ascii="Arial" w:hAnsi="Arial"/>
          <w:b/>
          <w:i w:val="0"/>
          <w:sz w:val="21"/>
        </w:rPr>
        <w:t>Priority:</w:t>
      </w:r>
      <w:r>
        <w:rPr>
          <w:rFonts w:ascii="Arial" w:hAnsi="Arial"/>
          <w:b w:val="0"/>
          <w:i w:val="0"/>
          <w:sz w:val="21"/>
        </w:rPr>
        <w:t xml:space="preserve"> Medium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Give every strategy, regardless of family, a common, versioned, auditable shape — matching DS-STR's product-level requirements with the Phase 2 architectural contract.</w:t>
      </w:r>
    </w:p>
    <w:p>
      <w:pPr>
        <w:spacing w:after="120" w:line="288" w:lineRule="auto"/>
      </w:pPr>
      <w:r>
        <w:rPr>
          <w:rFonts w:ascii="Arial" w:hAnsi="Arial"/>
          <w:b/>
          <w:i w:val="0"/>
          <w:sz w:val="21"/>
        </w:rPr>
        <w:t>Description:</w:t>
      </w:r>
      <w:r>
        <w:rPr>
          <w:rFonts w:ascii="Arial" w:hAnsi="Arial"/>
          <w:b w:val="0"/>
          <w:i w:val="0"/>
          <w:sz w:val="21"/>
        </w:rPr>
        <w:t xml:space="preserve"> DarkSage should implement strategies against a common interface, each </w:t>
      </w:r>
      <w:r>
        <w:rPr>
          <w:rFonts w:ascii="Consolas" w:hAnsi="Consolas"/>
          <w:b w:val="0"/>
          <w:i w:val="0"/>
          <w:sz w:val="20"/>
        </w:rPr>
        <w:t>StrategyProfile</w:t>
      </w:r>
      <w:r>
        <w:rPr>
          <w:rFonts w:ascii="Arial" w:hAnsi="Arial"/>
          <w:b w:val="0"/>
          <w:i w:val="0"/>
          <w:sz w:val="21"/>
        </w:rPr>
        <w:t xml:space="preserve"> carrying unique ID, name, version, status, supported timeframes/instruments, configuration, risk assumptions, and historical statistics, with defined statuses (Experimental, Watch, Active, Reduced, Suspended).</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§10; </w:t>
      </w:r>
      <w:r>
        <w:rPr>
          <w:rFonts w:ascii="Consolas" w:hAnsi="Consolas"/>
          <w:b w:val="0"/>
          <w:i w:val="0"/>
          <w:sz w:val="20"/>
        </w:rPr>
        <w:t>ROADMAP.md</w:t>
      </w:r>
      <w:r>
        <w:rPr>
          <w:rFonts w:ascii="Arial" w:hAnsi="Arial"/>
          <w:b w:val="0"/>
          <w:i w:val="0"/>
          <w:sz w:val="21"/>
        </w:rPr>
        <w:t xml:space="preserve"> Phase 2; DS-STR-001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strategy logic change increments its version and preserves prior results (</w:t>
      </w:r>
      <w:r>
        <w:rPr>
          <w:rFonts w:ascii="Consolas" w:hAnsi="Consolas"/>
          <w:b w:val="0"/>
          <w:i w:val="0"/>
          <w:sz w:val="20"/>
        </w:rPr>
        <w:t>AGENTS.md</w:t>
      </w:r>
      <w:r>
        <w:rPr>
          <w:rFonts w:ascii="Arial" w:hAnsi="Arial"/>
          <w:b w:val="0"/>
          <w:i w:val="0"/>
          <w:sz w:val="21"/>
        </w:rPr>
        <w:t xml:space="preserve"> "No Silent Strategy Changes").</w:t>
      </w:r>
    </w:p>
    <w:p>
      <w:pPr>
        <w:pStyle w:val="ListBullet"/>
        <w:spacing w:after="60"/>
      </w:pPr>
      <w:r>
        <w:rPr>
          <w:rFonts w:ascii="Arial" w:hAnsi="Arial"/>
          <w:b w:val="0"/>
          <w:i w:val="0"/>
          <w:sz w:val="21"/>
        </w:rPr>
        <w:t>Strategy status transitions are recorded, not silently applied.</w:t>
      </w:r>
    </w:p>
    <w:p>
      <w:pPr>
        <w:spacing w:after="120" w:line="288" w:lineRule="auto"/>
      </w:pPr>
      <w:r>
        <w:rPr>
          <w:rFonts w:ascii="Arial" w:hAnsi="Arial"/>
          <w:b/>
          <w:i w:val="0"/>
          <w:sz w:val="21"/>
        </w:rPr>
        <w:t>Edge Cases:</w:t>
      </w:r>
      <w:r>
        <w:rPr>
          <w:rFonts w:ascii="Arial" w:hAnsi="Arial"/>
          <w:b w:val="0"/>
          <w:i w:val="0"/>
          <w:sz w:val="21"/>
        </w:rPr>
        <w:t xml:space="preserve"> None beyond DS-STR-001's existing edge cases.</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§10/§11 is the authoritative reference for the full performance-tracking dimension list.</w:t>
      </w:r>
    </w:p>
    <w:p>
      <w:pPr>
        <w:spacing w:after="120" w:line="288" w:lineRule="auto"/>
      </w:pPr>
      <w:r>
        <w:rPr>
          <w:rFonts w:ascii="Arial" w:hAnsi="Arial"/>
          <w:b/>
          <w:i w:val="0"/>
          <w:sz w:val="21"/>
        </w:rPr>
        <w:t>Testing:</w:t>
      </w:r>
      <w:r>
        <w:rPr>
          <w:rFonts w:ascii="Arial" w:hAnsi="Arial"/>
          <w:b w:val="0"/>
          <w:i w:val="0"/>
          <w:sz w:val="21"/>
        </w:rPr>
        <w:t xml:space="preserve"> Version-increment/result-preservation regression test.</w:t>
      </w:r>
    </w:p>
    <w:p>
      <w:pPr>
        <w:pStyle w:val="Heading2"/>
        <w:spacing w:before="360" w:after="160"/>
        <w:pBdr>
          <w:bottom w:val="single" w:sz="8" w:space="4" w:color="C8A45D"/>
        </w:pBdr>
      </w:pPr>
      <w:r>
        <w:rPr>
          <w:rFonts w:ascii="Arial" w:hAnsi="Arial"/>
          <w:b w:val="0"/>
          <w:i w:val="0"/>
          <w:color w:val="17181C"/>
          <w:sz w:val="34"/>
        </w:rPr>
        <w:t>DS-ARC-010 — Backtest Engine Architecture</w:t>
      </w:r>
    </w:p>
    <w:p>
      <w:pPr>
        <w:spacing w:after="120" w:line="288" w:lineRule="auto"/>
      </w:pPr>
      <w:r>
        <w:rPr>
          <w:rFonts w:ascii="Arial" w:hAnsi="Arial"/>
          <w:b/>
          <w:i w:val="0"/>
          <w:sz w:val="21"/>
        </w:rPr>
        <w:t>Priority:</w:t>
      </w:r>
      <w:r>
        <w:rPr>
          <w:rFonts w:ascii="Arial" w:hAnsi="Arial"/>
          <w:b w:val="0"/>
          <w:i w:val="0"/>
          <w:sz w:val="21"/>
        </w:rPr>
        <w:t xml:space="preserve"> Medium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Ground DS-BKT's product-level backtesting requirements in a concrete, reusable engine architecture.</w:t>
      </w:r>
    </w:p>
    <w:p>
      <w:pPr>
        <w:spacing w:after="120" w:line="288" w:lineRule="auto"/>
      </w:pPr>
      <w:r>
        <w:rPr>
          <w:rFonts w:ascii="Arial" w:hAnsi="Arial"/>
          <w:b/>
          <w:i w:val="0"/>
          <w:sz w:val="21"/>
        </w:rPr>
        <w:t>Description:</w:t>
      </w:r>
      <w:r>
        <w:rPr>
          <w:rFonts w:ascii="Arial" w:hAnsi="Arial"/>
          <w:b w:val="0"/>
          <w:i w:val="0"/>
          <w:sz w:val="21"/>
        </w:rPr>
        <w:t xml:space="preserve"> DarkSage should implement backtesting via a historical data loader, event engine, simulated broker, fill/spread/slippage/fee models, portfolio accounting, the shared Risk Engine, and performance analytics — reusing production strategy logic (DS-ARC-009, DS-ARC-007) rather than a parallel implementation, and protecting against look-ahead bias, survivorship bias, future-known fundamentals, invalid fills, unrealistic liquidity assumptions, and data leakage.</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§13; </w:t>
      </w:r>
      <w:r>
        <w:rPr>
          <w:rFonts w:ascii="Consolas" w:hAnsi="Consolas"/>
          <w:b w:val="0"/>
          <w:i w:val="0"/>
          <w:sz w:val="20"/>
        </w:rPr>
        <w:t>ROADMAP.md</w:t>
      </w:r>
      <w:r>
        <w:rPr>
          <w:rFonts w:ascii="Arial" w:hAnsi="Arial"/>
          <w:b w:val="0"/>
          <w:i w:val="0"/>
          <w:sz w:val="21"/>
        </w:rPr>
        <w:t xml:space="preserve"> Phase 2; DS-BKT-001, DS-BKT-002, DS-BKT-003</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Backtests reuse the same strategy/indicator code paths as live analysis (DS-ARC-007, DS-ARC-009), not a duplicate implementation.</w:t>
      </w:r>
    </w:p>
    <w:p>
      <w:pPr>
        <w:pStyle w:val="ListBullet"/>
        <w:spacing w:after="60"/>
      </w:pPr>
      <w:r>
        <w:rPr>
          <w:rFonts w:ascii="Arial" w:hAnsi="Arial"/>
          <w:b w:val="0"/>
          <w:i w:val="0"/>
          <w:sz w:val="21"/>
        </w:rPr>
        <w:t>Backtest results include realistic costs by default (ROADMAP.md Phase 2 exit criterion), consistent with DS-BKT-002.</w:t>
      </w:r>
    </w:p>
    <w:p>
      <w:pPr>
        <w:pStyle w:val="ListBullet"/>
        <w:spacing w:after="60"/>
      </w:pPr>
      <w:r>
        <w:rPr>
          <w:rFonts w:ascii="Arial" w:hAnsi="Arial"/>
          <w:b w:val="0"/>
          <w:i w:val="0"/>
          <w:sz w:val="21"/>
        </w:rPr>
        <w:t>No look-ahead leakage is detectable in validation tests (ROADMAP.md Phase 2 exit criterion), consistent with DS-BKT-003.</w:t>
      </w:r>
    </w:p>
    <w:p>
      <w:pPr>
        <w:spacing w:after="120" w:line="288" w:lineRule="auto"/>
      </w:pPr>
      <w:r>
        <w:rPr>
          <w:rFonts w:ascii="Arial" w:hAnsi="Arial"/>
          <w:b/>
          <w:i w:val="0"/>
          <w:sz w:val="21"/>
        </w:rPr>
        <w:t>Edge Cases:</w:t>
      </w:r>
      <w:r>
        <w:rPr>
          <w:rFonts w:ascii="Arial" w:hAnsi="Arial"/>
          <w:b w:val="0"/>
          <w:i w:val="0"/>
          <w:sz w:val="21"/>
        </w:rPr>
        <w:t xml:space="preserve"> See DS-BKT-001/002/003's existing edge cases; this requirement adds no new ones at the architecture level.</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§13 is the authoritative component list.</w:t>
      </w:r>
    </w:p>
    <w:p>
      <w:pPr>
        <w:spacing w:after="120" w:line="288" w:lineRule="auto"/>
      </w:pPr>
      <w:r>
        <w:rPr>
          <w:rFonts w:ascii="Arial" w:hAnsi="Arial"/>
          <w:b/>
          <w:i w:val="0"/>
          <w:sz w:val="21"/>
        </w:rPr>
        <w:t>Testing:</w:t>
      </w:r>
      <w:r>
        <w:rPr>
          <w:rFonts w:ascii="Arial" w:hAnsi="Arial"/>
          <w:b w:val="0"/>
          <w:i w:val="0"/>
          <w:sz w:val="21"/>
        </w:rPr>
        <w:t xml:space="preserve"> Shared-logic reuse audit (backtest vs. live code path); look-ahead-bias regression fixture.</w:t>
      </w:r>
    </w:p>
    <w:p>
      <w:pPr>
        <w:pStyle w:val="Heading1"/>
        <w:spacing w:before="480" w:after="240"/>
        <w:pBdr>
          <w:bottom w:val="single" w:sz="16" w:space="4" w:color="C8A45D"/>
        </w:pBdr>
      </w:pPr>
      <w:r>
        <w:rPr>
          <w:rFonts w:ascii="Arial" w:hAnsi="Arial"/>
          <w:b w:val="0"/>
          <w:i w:val="0"/>
          <w:color w:val="0B0B0D"/>
          <w:sz w:val="44"/>
        </w:rPr>
        <w:t>11. Canonical Trade Validation Pipeline</w:t>
      </w:r>
    </w:p>
    <w:p>
      <w:pPr>
        <w:pStyle w:val="Heading2"/>
        <w:spacing w:before="360" w:after="160"/>
        <w:pBdr>
          <w:bottom w:val="single" w:sz="8" w:space="4" w:color="C8A45D"/>
        </w:pBdr>
      </w:pPr>
      <w:r>
        <w:rPr>
          <w:rFonts w:ascii="Arial" w:hAnsi="Arial"/>
          <w:b w:val="0"/>
          <w:i w:val="0"/>
          <w:color w:val="17181C"/>
          <w:sz w:val="34"/>
        </w:rPr>
        <w:t>DS-ARC-011 — TradeValidationPipeline Enforcement</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7,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Formalize the repository's single most safety-critical architectural contract as a Codex requirement: the concrete mechanism through which ADR-002, DS-PRD-006, and DS-PRD-007 are actually enforced for any future executable trade proposal. Classified Planned in the DS-004-A01 repair because the full pipeline </w:t>
      </w:r>
      <w:r>
        <w:rPr>
          <w:rFonts w:ascii="Arial" w:hAnsi="Arial"/>
          <w:b w:val="0"/>
          <w:i/>
          <w:sz w:val="21"/>
        </w:rPr>
        <w:t>implementation</w:t>
      </w:r>
      <w:r>
        <w:rPr>
          <w:rFonts w:ascii="Arial" w:hAnsi="Arial"/>
          <w:b w:val="0"/>
          <w:i w:val="0"/>
          <w:sz w:val="21"/>
        </w:rPr>
        <w:t xml:space="preserve"> is Phase 7 work; the unconditional governance boundary itself (no execution path may ever bypass it) is separately fixed as Committed in DS-EXE-001 (DS-002) so it cannot be silently weakened before Phase 7 arrives.</w:t>
      </w:r>
    </w:p>
    <w:p>
      <w:pPr>
        <w:spacing w:after="120" w:line="288" w:lineRule="auto"/>
      </w:pPr>
      <w:r>
        <w:rPr>
          <w:rFonts w:ascii="Arial" w:hAnsi="Arial"/>
          <w:b/>
          <w:i w:val="0"/>
          <w:sz w:val="21"/>
        </w:rPr>
        <w:t>Description:</w:t>
      </w:r>
      <w:r>
        <w:rPr>
          <w:rFonts w:ascii="Arial" w:hAnsi="Arial"/>
          <w:b w:val="0"/>
          <w:i w:val="0"/>
          <w:sz w:val="21"/>
        </w:rPr>
        <w:t xml:space="preserve"> Any executable trade proposal shall pass through the canonical </w:t>
      </w:r>
      <w:r>
        <w:rPr>
          <w:rFonts w:ascii="Consolas" w:hAnsi="Consolas"/>
          <w:b w:val="0"/>
          <w:i w:val="0"/>
          <w:sz w:val="20"/>
        </w:rPr>
        <w:t>TradeValidationPipeline</w:t>
      </w:r>
      <w:r>
        <w:rPr>
          <w:rFonts w:ascii="Arial" w:hAnsi="Arial"/>
          <w:b w:val="0"/>
          <w:i w:val="0"/>
          <w:sz w:val="21"/>
        </w:rPr>
        <w:t xml:space="preserve"> in full — AI/Strategy Engine → Trade Proposal → Signal Validator → Strategy Validation → Risk Engine → Permissions Engine → Portfolio/Exposure Checks → Buying Power Checks → Market Condition Checks → Order Validation → Execution Engine → Broker Adapter — defined once in </w:t>
      </w:r>
      <w:r>
        <w:rPr>
          <w:rFonts w:ascii="Consolas" w:hAnsi="Consolas"/>
          <w:b w:val="0"/>
          <w:i w:val="0"/>
          <w:sz w:val="20"/>
        </w:rPr>
        <w:t>ARCHITECTURE.md</w:t>
      </w:r>
      <w:r>
        <w:rPr>
          <w:rFonts w:ascii="Arial" w:hAnsi="Arial"/>
          <w:b w:val="0"/>
          <w:i w:val="0"/>
          <w:sz w:val="21"/>
        </w:rPr>
        <w:t xml:space="preserve"> §14 and mirrored exactly in </w:t>
      </w:r>
      <w:r>
        <w:rPr>
          <w:rFonts w:ascii="Consolas" w:hAnsi="Consolas"/>
          <w:b w:val="0"/>
          <w:i w:val="0"/>
          <w:sz w:val="20"/>
        </w:rPr>
        <w:t>docs/pipeline-stages.txt</w:t>
      </w:r>
      <w:r>
        <w:rPr>
          <w:rFonts w:ascii="Arial" w:hAnsi="Arial"/>
          <w:b w:val="0"/>
          <w:i w:val="0"/>
          <w:sz w:val="21"/>
        </w:rPr>
        <w:t>. No stage may be skipped, reordered, renamed, or duplicated. The AI/Strategy Engine has no authority to directly access or call the Execution Engine or Broker Adapter under any circumstance, regardless of confidence, urgency, or which AI provider generated the proposal.</w:t>
      </w:r>
    </w:p>
    <w:p>
      <w:pPr>
        <w:spacing w:after="120" w:line="288" w:lineRule="auto"/>
      </w:pPr>
      <w:r>
        <w:rPr>
          <w:rFonts w:ascii="Arial" w:hAnsi="Arial"/>
          <w:b/>
          <w:i w:val="0"/>
          <w:sz w:val="21"/>
        </w:rPr>
        <w:t>Dependencies:</w:t>
      </w:r>
      <w:r>
        <w:rPr>
          <w:rFonts w:ascii="Arial" w:hAnsi="Arial"/>
          <w:b w:val="0"/>
          <w:i w:val="0"/>
          <w:sz w:val="21"/>
        </w:rPr>
        <w:t xml:space="preserve"> ADR-002; ADR-003; DS-PRD-006; DS-PRD-007; DS-SGE-005, DS-SGE-006; </w:t>
      </w:r>
      <w:r>
        <w:rPr>
          <w:rFonts w:ascii="Consolas" w:hAnsi="Consolas"/>
          <w:b w:val="0"/>
          <w:i w:val="0"/>
          <w:sz w:val="20"/>
        </w:rPr>
        <w:t>ARCHITECTURE.md</w:t>
      </w:r>
      <w:r>
        <w:rPr>
          <w:rFonts w:ascii="Arial" w:hAnsi="Arial"/>
          <w:b w:val="0"/>
          <w:i w:val="0"/>
          <w:sz w:val="21"/>
        </w:rPr>
        <w:t xml:space="preserve"> §14; </w:t>
      </w:r>
      <w:r>
        <w:rPr>
          <w:rFonts w:ascii="Consolas" w:hAnsi="Consolas"/>
          <w:b w:val="0"/>
          <w:i w:val="0"/>
          <w:sz w:val="20"/>
        </w:rPr>
        <w:t>TRADING_RULES.md</w:t>
      </w:r>
      <w:r>
        <w:rPr>
          <w:rFonts w:ascii="Arial" w:hAnsi="Arial"/>
          <w:b w:val="0"/>
          <w:i w:val="0"/>
          <w:sz w:val="21"/>
        </w:rPr>
        <w:t xml:space="preserve"> Core Rules #2–#3; </w:t>
      </w:r>
      <w:r>
        <w:rPr>
          <w:rFonts w:ascii="Consolas" w:hAnsi="Consolas"/>
          <w:b w:val="0"/>
          <w:i w:val="0"/>
          <w:sz w:val="20"/>
        </w:rPr>
        <w:t>PROJECT_SPEC.md</w:t>
      </w:r>
      <w:r>
        <w:rPr>
          <w:rFonts w:ascii="Arial" w:hAnsi="Arial"/>
          <w:b w:val="0"/>
          <w:i w:val="0"/>
          <w:sz w:val="21"/>
        </w:rPr>
        <w:t xml:space="preserve"> §2.3</w:t>
      </w:r>
    </w:p>
    <w:p>
      <w:pPr>
        <w:spacing w:after="120" w:line="288" w:lineRule="auto"/>
      </w:pPr>
      <w:r>
        <w:rPr>
          <w:rFonts w:ascii="Arial" w:hAnsi="Arial"/>
          <w:b/>
          <w:i w:val="0"/>
          <w:sz w:val="21"/>
        </w:rPr>
        <w:t>Acceptance Criteria:</w:t>
      </w:r>
    </w:p>
    <w:p>
      <w:pPr>
        <w:pStyle w:val="ListBullet"/>
        <w:spacing w:after="60"/>
      </w:pPr>
      <w:r>
        <w:rPr>
          <w:rFonts w:ascii="Consolas" w:hAnsi="Consolas"/>
          <w:b w:val="0"/>
          <w:i w:val="0"/>
          <w:sz w:val="20"/>
        </w:rPr>
        <w:t>scripts/verify-foundation.sh</w:t>
      </w:r>
      <w:r>
        <w:rPr>
          <w:rFonts w:ascii="Arial" w:hAnsi="Arial"/>
          <w:b w:val="0"/>
          <w:i w:val="0"/>
          <w:sz w:val="21"/>
        </w:rPr>
        <w:t>'s canonical-pipeline check continues to pass for every document that reproduces the pipeline (already enforced repository-wide; this requirement records the product/architecture obligation the script mechanically verifies).</w:t>
      </w:r>
    </w:p>
    <w:p>
      <w:pPr>
        <w:pStyle w:val="ListBullet"/>
        <w:spacing w:after="60"/>
      </w:pPr>
      <w:r>
        <w:rPr>
          <w:rFonts w:ascii="Arial" w:hAnsi="Arial"/>
          <w:b w:val="0"/>
          <w:i w:val="0"/>
          <w:sz w:val="21"/>
        </w:rPr>
        <w:t>No executable trade proposal is enabled until the full pipeline exists, is implemented, and is independently reviewed (</w:t>
      </w:r>
      <w:r>
        <w:rPr>
          <w:rFonts w:ascii="Consolas" w:hAnsi="Consolas"/>
          <w:b w:val="0"/>
          <w:i w:val="0"/>
          <w:sz w:val="20"/>
        </w:rPr>
        <w:t>ROADMAP.md</w:t>
      </w:r>
      <w:r>
        <w:rPr>
          <w:rFonts w:ascii="Arial" w:hAnsi="Arial"/>
          <w:b w:val="0"/>
          <w:i w:val="0"/>
          <w:sz w:val="21"/>
        </w:rPr>
        <w:t xml:space="preserve"> Phase 7 exit criterion).</w:t>
      </w:r>
    </w:p>
    <w:p>
      <w:pPr>
        <w:pStyle w:val="ListBullet"/>
        <w:spacing w:after="60"/>
      </w:pPr>
      <w:r>
        <w:rPr>
          <w:rFonts w:ascii="Arial" w:hAnsi="Arial"/>
          <w:b w:val="0"/>
          <w:i w:val="0"/>
          <w:sz w:val="21"/>
        </w:rPr>
        <w:t>Duplicate-order and idempotency tests pass before any executable proposal path is enabled.</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Prior to Phase 7 (no executable proposals yet), the AI/Strategy Engine may still produce and explain a Trade Proposal for research/display purposes; it remains advisory-only and does not reach Order Validation, Execution Engine, or Broker Adapter.</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§14's stage table is the single authoritative definition; this requirement exists to give it Codex traceability, not to redefine it. Changes to the pipeline stages must update </w:t>
      </w:r>
      <w:r>
        <w:rPr>
          <w:rFonts w:ascii="Consolas" w:hAnsi="Consolas"/>
          <w:b w:val="0"/>
          <w:i w:val="0"/>
          <w:sz w:val="20"/>
        </w:rPr>
        <w:t>ARCHITECTURE.md</w:t>
      </w:r>
      <w:r>
        <w:rPr>
          <w:rFonts w:ascii="Arial" w:hAnsi="Arial"/>
          <w:b w:val="0"/>
          <w:i w:val="0"/>
          <w:sz w:val="21"/>
        </w:rPr>
        <w:t xml:space="preserve"> §14, </w:t>
      </w:r>
      <w:r>
        <w:rPr>
          <w:rFonts w:ascii="Consolas" w:hAnsi="Consolas"/>
          <w:b w:val="0"/>
          <w:i w:val="0"/>
          <w:sz w:val="20"/>
        </w:rPr>
        <w:t>docs/pipeline-stages.txt</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and </w:t>
      </w:r>
      <w:r>
        <w:rPr>
          <w:rFonts w:ascii="Consolas" w:hAnsi="Consolas"/>
          <w:b w:val="0"/>
          <w:i w:val="0"/>
          <w:sz w:val="20"/>
        </w:rPr>
        <w:t>ROADMAP.md</w:t>
      </w:r>
      <w:r>
        <w:rPr>
          <w:rFonts w:ascii="Arial" w:hAnsi="Arial"/>
          <w:b w:val="0"/>
          <w:i w:val="0"/>
          <w:sz w:val="21"/>
        </w:rPr>
        <w:t xml:space="preserve"> together, consistent with the existing canonical-source convention.</w:t>
      </w:r>
    </w:p>
    <w:p>
      <w:pPr>
        <w:spacing w:after="120" w:line="288" w:lineRule="auto"/>
      </w:pPr>
      <w:r>
        <w:rPr>
          <w:rFonts w:ascii="Arial" w:hAnsi="Arial"/>
          <w:b/>
          <w:i w:val="0"/>
          <w:sz w:val="21"/>
        </w:rPr>
        <w:t>Testing:</w:t>
      </w:r>
      <w:r>
        <w:rPr>
          <w:rFonts w:ascii="Arial" w:hAnsi="Arial"/>
          <w:b w:val="0"/>
          <w:i w:val="0"/>
          <w:sz w:val="21"/>
        </w:rPr>
        <w:t xml:space="preserve"> </w:t>
      </w:r>
      <w:r>
        <w:rPr>
          <w:rFonts w:ascii="Consolas" w:hAnsi="Consolas"/>
          <w:b w:val="0"/>
          <w:i w:val="0"/>
          <w:sz w:val="20"/>
        </w:rPr>
        <w:t>scripts/verify-foundation.sh</w:t>
      </w:r>
      <w:r>
        <w:rPr>
          <w:rFonts w:ascii="Arial" w:hAnsi="Arial"/>
          <w:b w:val="0"/>
          <w:i w:val="0"/>
          <w:sz w:val="21"/>
        </w:rPr>
        <w:t xml:space="preserve"> (existing, automated); adversarial bypass-attempt test (see DS-PRD-006); duplicate-order idempotency test (Phase 7).</w:t>
      </w:r>
    </w:p>
    <w:p>
      <w:pPr>
        <w:pStyle w:val="Heading1"/>
        <w:spacing w:before="480" w:after="240"/>
        <w:pBdr>
          <w:bottom w:val="single" w:sz="16" w:space="4" w:color="C8A45D"/>
        </w:pBdr>
      </w:pPr>
      <w:r>
        <w:rPr>
          <w:rFonts w:ascii="Arial" w:hAnsi="Arial"/>
          <w:b w:val="0"/>
          <w:i w:val="0"/>
          <w:color w:val="0B0B0D"/>
          <w:sz w:val="44"/>
        </w:rPr>
        <w:t>12. Risk and Permissions Architecture</w:t>
      </w:r>
    </w:p>
    <w:p>
      <w:pPr>
        <w:pStyle w:val="Heading2"/>
        <w:spacing w:before="360" w:after="160"/>
        <w:pBdr>
          <w:bottom w:val="single" w:sz="8" w:space="4" w:color="C8A45D"/>
        </w:pBdr>
      </w:pPr>
      <w:r>
        <w:rPr>
          <w:rFonts w:ascii="Arial" w:hAnsi="Arial"/>
          <w:b w:val="0"/>
          <w:i w:val="0"/>
          <w:color w:val="17181C"/>
          <w:sz w:val="34"/>
        </w:rPr>
        <w:t>DS-ARC-012 — Risk Engine and Permissions Engine as Distinct Pipeline Stages</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7,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Ground DS-RSK-001's product-level Risk Engine authority requirement in the concrete pipeline position </w:t>
      </w:r>
      <w:r>
        <w:rPr>
          <w:rFonts w:ascii="Consolas" w:hAnsi="Consolas"/>
          <w:b w:val="0"/>
          <w:i w:val="0"/>
          <w:sz w:val="20"/>
        </w:rPr>
        <w:t>ARCHITECTURE.md</w:t>
      </w:r>
      <w:r>
        <w:rPr>
          <w:rFonts w:ascii="Arial" w:hAnsi="Arial"/>
          <w:b w:val="0"/>
          <w:i w:val="0"/>
          <w:sz w:val="21"/>
        </w:rPr>
        <w:t xml:space="preserve"> establishes.</w:t>
      </w:r>
    </w:p>
    <w:p>
      <w:pPr>
        <w:spacing w:after="120" w:line="288" w:lineRule="auto"/>
      </w:pPr>
      <w:r>
        <w:rPr>
          <w:rFonts w:ascii="Arial" w:hAnsi="Arial"/>
          <w:b/>
          <w:i w:val="0"/>
          <w:sz w:val="21"/>
        </w:rPr>
        <w:t>Description:</w:t>
      </w:r>
      <w:r>
        <w:rPr>
          <w:rFonts w:ascii="Arial" w:hAnsi="Arial"/>
          <w:b w:val="0"/>
          <w:i w:val="0"/>
          <w:sz w:val="21"/>
        </w:rPr>
        <w:t xml:space="preserve"> The Risk Engine and Permissions Engine shall exist as distinct stages of the </w:t>
      </w:r>
      <w:r>
        <w:rPr>
          <w:rFonts w:ascii="Consolas" w:hAnsi="Consolas"/>
          <w:b w:val="0"/>
          <w:i w:val="0"/>
          <w:sz w:val="20"/>
        </w:rPr>
        <w:t>TradeValidationPipeline</w:t>
      </w:r>
      <w:r>
        <w:rPr>
          <w:rFonts w:ascii="Arial" w:hAnsi="Arial"/>
          <w:b w:val="0"/>
          <w:i w:val="0"/>
          <w:sz w:val="21"/>
        </w:rPr>
        <w:t xml:space="preserve"> (DS-ARC-011): the Risk Engine evaluates trade- and account-level risk limits (max risk per trade, daily/weekly loss limits, strategy drawdown, volatility/liquidity/spread checks); the Permissions Engine evaluates instrument- and account-level permissions (allowed instrument category, signal-grade restrictions, account trading permissions). Neither may be bypassed, merged, or reordered relative to the pipeline.</w:t>
      </w:r>
    </w:p>
    <w:p>
      <w:pPr>
        <w:spacing w:after="120" w:line="288" w:lineRule="auto"/>
      </w:pPr>
      <w:r>
        <w:rPr>
          <w:rFonts w:ascii="Arial" w:hAnsi="Arial"/>
          <w:b/>
          <w:i w:val="0"/>
          <w:sz w:val="21"/>
        </w:rPr>
        <w:t>Dependencies:</w:t>
      </w:r>
      <w:r>
        <w:rPr>
          <w:rFonts w:ascii="Arial" w:hAnsi="Arial"/>
          <w:b w:val="0"/>
          <w:i w:val="0"/>
          <w:sz w:val="21"/>
        </w:rPr>
        <w:t xml:space="preserve"> DS-ARC-011; DS-RSK-001; DS-RSK-002; </w:t>
      </w:r>
      <w:r>
        <w:rPr>
          <w:rFonts w:ascii="Consolas" w:hAnsi="Consolas"/>
          <w:b w:val="0"/>
          <w:i w:val="0"/>
          <w:sz w:val="20"/>
        </w:rPr>
        <w:t>ARCHITECTURE.md</w:t>
      </w:r>
      <w:r>
        <w:rPr>
          <w:rFonts w:ascii="Arial" w:hAnsi="Arial"/>
          <w:b w:val="0"/>
          <w:i w:val="0"/>
          <w:sz w:val="21"/>
        </w:rPr>
        <w:t xml:space="preserve"> §17, §18; </w:t>
      </w:r>
      <w:r>
        <w:rPr>
          <w:rFonts w:ascii="Consolas" w:hAnsi="Consolas"/>
          <w:b w:val="0"/>
          <w:i w:val="0"/>
          <w:sz w:val="20"/>
        </w:rPr>
        <w:t>TRADING_RULES.md</w:t>
      </w:r>
      <w:r>
        <w:rPr>
          <w:rFonts w:ascii="Arial" w:hAnsi="Arial"/>
          <w:b w:val="0"/>
          <w:i w:val="0"/>
          <w:sz w:val="21"/>
        </w:rPr>
        <w:t xml:space="preserve"> Risk Rules</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Risk and Permissions checks execute as separate, independently testable pipeline stages.</w:t>
      </w:r>
    </w:p>
    <w:p>
      <w:pPr>
        <w:pStyle w:val="ListBullet"/>
        <w:spacing w:after="60"/>
      </w:pPr>
      <w:r>
        <w:rPr>
          <w:rFonts w:ascii="Arial" w:hAnsi="Arial"/>
          <w:b w:val="0"/>
          <w:i w:val="0"/>
          <w:sz w:val="21"/>
        </w:rPr>
        <w:t>A permissions failure (e.g., disallowed instrument category) is distinguishable in logs/audit trail from a risk failure (e.g., exceeded daily loss limit).</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Initial instrument-category scope is Stocks and ETFs where supported (</w:t>
      </w:r>
      <w:r>
        <w:rPr>
          <w:rFonts w:ascii="Consolas" w:hAnsi="Consolas"/>
          <w:b w:val="0"/>
          <w:i w:val="0"/>
          <w:sz w:val="20"/>
        </w:rPr>
        <w:t>ARCHITECTURE.md</w:t>
      </w:r>
      <w:r>
        <w:rPr>
          <w:rFonts w:ascii="Arial" w:hAnsi="Arial"/>
          <w:b w:val="0"/>
          <w:i w:val="0"/>
          <w:sz w:val="21"/>
        </w:rPr>
        <w:t xml:space="preserve"> §18); Options, Crypto, and Futures are later-phase categories requiring their own Permissions Engine configuration before being allowed.</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§17/§18 and </w:t>
      </w:r>
      <w:r>
        <w:rPr>
          <w:rFonts w:ascii="Consolas" w:hAnsi="Consolas"/>
          <w:b w:val="0"/>
          <w:i w:val="0"/>
          <w:sz w:val="20"/>
        </w:rPr>
        <w:t>TRADING_RULES.md</w:t>
      </w:r>
      <w:r>
        <w:rPr>
          <w:rFonts w:ascii="Arial" w:hAnsi="Arial"/>
          <w:b w:val="0"/>
          <w:i w:val="0"/>
          <w:sz w:val="21"/>
        </w:rPr>
        <w:t xml:space="preserve"> are the authoritative rule-content references.</w:t>
      </w:r>
    </w:p>
    <w:p>
      <w:pPr>
        <w:spacing w:after="120" w:line="288" w:lineRule="auto"/>
      </w:pPr>
      <w:r>
        <w:rPr>
          <w:rFonts w:ascii="Arial" w:hAnsi="Arial"/>
          <w:b/>
          <w:i w:val="0"/>
          <w:sz w:val="21"/>
        </w:rPr>
        <w:t>Testing:</w:t>
      </w:r>
      <w:r>
        <w:rPr>
          <w:rFonts w:ascii="Arial" w:hAnsi="Arial"/>
          <w:b w:val="0"/>
          <w:i w:val="0"/>
          <w:sz w:val="21"/>
        </w:rPr>
        <w:t xml:space="preserve"> Stage-isolation test confirming Risk and Permissions failures are independently attributable.</w:t>
      </w:r>
    </w:p>
    <w:p>
      <w:pPr>
        <w:pStyle w:val="Heading1"/>
        <w:spacing w:before="480" w:after="240"/>
        <w:pBdr>
          <w:bottom w:val="single" w:sz="16" w:space="4" w:color="C8A45D"/>
        </w:pBdr>
      </w:pPr>
      <w:r>
        <w:rPr>
          <w:rFonts w:ascii="Arial" w:hAnsi="Arial"/>
          <w:b w:val="0"/>
          <w:i w:val="0"/>
          <w:color w:val="0B0B0D"/>
          <w:sz w:val="44"/>
        </w:rPr>
        <w:t>13. AI Architecture</w:t>
      </w:r>
    </w:p>
    <w:p>
      <w:pPr>
        <w:pStyle w:val="Heading2"/>
        <w:spacing w:before="360" w:after="160"/>
        <w:pBdr>
          <w:bottom w:val="single" w:sz="8" w:space="4" w:color="C8A45D"/>
        </w:pBdr>
      </w:pPr>
      <w:r>
        <w:rPr>
          <w:rFonts w:ascii="Arial" w:hAnsi="Arial"/>
          <w:b w:val="0"/>
          <w:i w:val="0"/>
          <w:color w:val="17181C"/>
          <w:sz w:val="34"/>
        </w:rPr>
        <w:t>DS-ARC-013 — AI Provider Interface</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Give DS-PRD-001/DS-AI-005/DS-SGE-018's model-independence mandate a concrete implementation contract.</w:t>
      </w:r>
    </w:p>
    <w:p>
      <w:pPr>
        <w:spacing w:after="120" w:line="288" w:lineRule="auto"/>
      </w:pPr>
      <w:r>
        <w:rPr>
          <w:rFonts w:ascii="Arial" w:hAnsi="Arial"/>
          <w:b/>
          <w:i w:val="0"/>
          <w:sz w:val="21"/>
        </w:rPr>
        <w:t>Description:</w:t>
      </w:r>
      <w:r>
        <w:rPr>
          <w:rFonts w:ascii="Arial" w:hAnsi="Arial"/>
          <w:b w:val="0"/>
          <w:i w:val="0"/>
          <w:sz w:val="21"/>
        </w:rPr>
        <w:t xml:space="preserve"> All AI providers, local and cloud, shall implement a common interface (e.g., </w:t>
      </w:r>
      <w:r>
        <w:rPr>
          <w:rFonts w:ascii="Consolas" w:hAnsi="Consolas"/>
          <w:b w:val="0"/>
          <w:i w:val="0"/>
          <w:sz w:val="20"/>
        </w:rPr>
        <w:t>complete()</w:t>
      </w:r>
      <w:r>
        <w:rPr>
          <w:rFonts w:ascii="Arial" w:hAnsi="Arial"/>
          <w:b w:val="0"/>
          <w:i w:val="0"/>
          <w:sz w:val="21"/>
        </w:rPr>
        <w:t xml:space="preserve">, </w:t>
      </w:r>
      <w:r>
        <w:rPr>
          <w:rFonts w:ascii="Consolas" w:hAnsi="Consolas"/>
          <w:b w:val="0"/>
          <w:i w:val="0"/>
          <w:sz w:val="20"/>
        </w:rPr>
        <w:t>chat()</w:t>
      </w:r>
      <w:r>
        <w:rPr>
          <w:rFonts w:ascii="Arial" w:hAnsi="Arial"/>
          <w:b w:val="0"/>
          <w:i w:val="0"/>
          <w:sz w:val="21"/>
        </w:rPr>
        <w:t xml:space="preserve">, </w:t>
      </w:r>
      <w:r>
        <w:rPr>
          <w:rFonts w:ascii="Consolas" w:hAnsi="Consolas"/>
          <w:b w:val="0"/>
          <w:i w:val="0"/>
          <w:sz w:val="20"/>
        </w:rPr>
        <w:t>stream()</w:t>
      </w:r>
      <w:r>
        <w:rPr>
          <w:rFonts w:ascii="Arial" w:hAnsi="Arial"/>
          <w:b w:val="0"/>
          <w:i w:val="0"/>
          <w:sz w:val="21"/>
        </w:rPr>
        <w:t>) so that feature code (Sage, signal analysis, research summaries, strategy explanation) and the AI orchestrator never depend on a vendor-specific SDK directly. Adding, removing, or replacing a provider shall require only a new adapter implementing the existing interface, not changes to feature code.</w:t>
      </w:r>
    </w:p>
    <w:p>
      <w:pPr>
        <w:spacing w:after="120" w:line="288" w:lineRule="auto"/>
      </w:pPr>
      <w:r>
        <w:rPr>
          <w:rFonts w:ascii="Arial" w:hAnsi="Arial"/>
          <w:b/>
          <w:i w:val="0"/>
          <w:sz w:val="21"/>
        </w:rPr>
        <w:t>Dependencies:</w:t>
      </w:r>
      <w:r>
        <w:rPr>
          <w:rFonts w:ascii="Arial" w:hAnsi="Arial"/>
          <w:b w:val="0"/>
          <w:i w:val="0"/>
          <w:sz w:val="21"/>
        </w:rPr>
        <w:t xml:space="preserve"> DS-PRD-001; DS-AI-005; DS-SGE-018; </w:t>
      </w:r>
      <w:r>
        <w:rPr>
          <w:rFonts w:ascii="Consolas" w:hAnsi="Consolas"/>
          <w:b w:val="0"/>
          <w:i w:val="0"/>
          <w:sz w:val="20"/>
        </w:rPr>
        <w:t>ARCHITECTURE.md</w:t>
      </w:r>
      <w:r>
        <w:rPr>
          <w:rFonts w:ascii="Arial" w:hAnsi="Arial"/>
          <w:b w:val="0"/>
          <w:i w:val="0"/>
          <w:sz w:val="21"/>
        </w:rPr>
        <w:t xml:space="preserve"> §22; </w:t>
      </w:r>
      <w:r>
        <w:rPr>
          <w:rFonts w:ascii="Consolas" w:hAnsi="Consolas"/>
          <w:b w:val="0"/>
          <w:i w:val="0"/>
          <w:sz w:val="20"/>
        </w:rPr>
        <w:t>ROADMAP.md</w:t>
      </w:r>
      <w:r>
        <w:rPr>
          <w:rFonts w:ascii="Arial" w:hAnsi="Arial"/>
          <w:b w:val="0"/>
          <w:i w:val="0"/>
          <w:sz w:val="21"/>
        </w:rPr>
        <w:t xml:space="preserve"> Phase 6</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Feature code contains no vendor-specific (e.g., OpenAI-SDK-specific) types or calls; all AI interaction routes through the common interface.</w:t>
      </w:r>
    </w:p>
    <w:p>
      <w:pPr>
        <w:pStyle w:val="ListBullet"/>
        <w:spacing w:after="60"/>
      </w:pPr>
      <w:r>
        <w:rPr>
          <w:rFonts w:ascii="Arial" w:hAnsi="Arial"/>
          <w:b w:val="0"/>
          <w:i w:val="0"/>
          <w:sz w:val="21"/>
        </w:rPr>
        <w:t>Per-feature provider/model selection (Sage chat, deep signal analysis, research/news summaries, strategy explanations) is configured in the backend, not the client, consistent with DS-ARC-001.</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provider lacking a capability the interface exposes (e.g., no streaming) degrades per DS-AI-006/DS-SGE-019, not a silent capability change.</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§22/§24 is the authoritative reference for initial adapters (local/llama.cpp-compatible, OpenAI, Anthropic, Google Gemini, custom OpenAI-compatible).</w:t>
      </w:r>
    </w:p>
    <w:p>
      <w:pPr>
        <w:spacing w:after="120" w:line="288" w:lineRule="auto"/>
      </w:pPr>
      <w:r>
        <w:rPr>
          <w:rFonts w:ascii="Arial" w:hAnsi="Arial"/>
          <w:b/>
          <w:i w:val="0"/>
          <w:sz w:val="21"/>
        </w:rPr>
        <w:t>Testing:</w:t>
      </w:r>
      <w:r>
        <w:rPr>
          <w:rFonts w:ascii="Arial" w:hAnsi="Arial"/>
          <w:b w:val="0"/>
          <w:i w:val="0"/>
          <w:sz w:val="21"/>
        </w:rPr>
        <w:t xml:space="preserve"> Cross-provider parity regression suite (DS-SGE-018).</w:t>
      </w:r>
    </w:p>
    <w:p>
      <w:pPr>
        <w:pStyle w:val="Heading2"/>
        <w:spacing w:before="360" w:after="160"/>
        <w:pBdr>
          <w:bottom w:val="single" w:sz="8" w:space="4" w:color="C8A45D"/>
        </w:pBdr>
      </w:pPr>
      <w:r>
        <w:rPr>
          <w:rFonts w:ascii="Arial" w:hAnsi="Arial"/>
          <w:b w:val="0"/>
          <w:i w:val="0"/>
          <w:color w:val="17181C"/>
          <w:sz w:val="34"/>
        </w:rPr>
        <w:t>DS-ARC-014 — Local-First AI</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Formalize local AI as the default per </w:t>
      </w:r>
      <w:r>
        <w:rPr>
          <w:rFonts w:ascii="Consolas" w:hAnsi="Consolas"/>
          <w:b w:val="0"/>
          <w:i w:val="0"/>
          <w:sz w:val="20"/>
        </w:rPr>
        <w:t>PROJECT_SPEC.md</w:t>
      </w:r>
      <w:r>
        <w:rPr>
          <w:rFonts w:ascii="Arial" w:hAnsi="Arial"/>
          <w:b w:val="0"/>
          <w:i w:val="0"/>
          <w:sz w:val="21"/>
        </w:rPr>
        <w:t xml:space="preserve"> §2.1's Cheap-First principle, without committing the full Phase 6 feature set to current scope.</w:t>
      </w:r>
    </w:p>
    <w:p>
      <w:pPr>
        <w:spacing w:after="120" w:line="288" w:lineRule="auto"/>
      </w:pPr>
      <w:r>
        <w:rPr>
          <w:rFonts w:ascii="Arial" w:hAnsi="Arial"/>
          <w:b/>
          <w:i w:val="0"/>
          <w:sz w:val="21"/>
        </w:rPr>
        <w:t>Description:</w:t>
      </w:r>
      <w:r>
        <w:rPr>
          <w:rFonts w:ascii="Arial" w:hAnsi="Arial"/>
          <w:b w:val="0"/>
          <w:i w:val="0"/>
          <w:sz w:val="21"/>
        </w:rPr>
        <w:t xml:space="preserve"> DarkSage should default to local AI models for routine advisory tasks; cloud AI shall remain optional, user-configured with the user's own API key, and shall never be required for basic application operation or for any deterministic calculation (scanning, indicators, risk, backtesting, portfolio math, trade validation).</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§2.1, §23; </w:t>
      </w:r>
      <w:r>
        <w:rPr>
          <w:rFonts w:ascii="Consolas" w:hAnsi="Consolas"/>
          <w:b w:val="0"/>
          <w:i w:val="0"/>
          <w:sz w:val="20"/>
        </w:rPr>
        <w:t>ARCHITECTURE.md</w:t>
      </w:r>
      <w:r>
        <w:rPr>
          <w:rFonts w:ascii="Arial" w:hAnsi="Arial"/>
          <w:b w:val="0"/>
          <w:i w:val="0"/>
          <w:sz w:val="21"/>
        </w:rPr>
        <w:t xml:space="preserve"> §23, §24; DS-PRD-004; </w:t>
      </w:r>
      <w:r>
        <w:rPr>
          <w:rFonts w:ascii="Consolas" w:hAnsi="Consolas"/>
          <w:b w:val="0"/>
          <w:i w:val="0"/>
          <w:sz w:val="20"/>
        </w:rPr>
        <w:t>ROADMAP.md</w:t>
      </w:r>
      <w:r>
        <w:rPr>
          <w:rFonts w:ascii="Arial" w:hAnsi="Arial"/>
          <w:b w:val="0"/>
          <w:i w:val="0"/>
          <w:sz w:val="21"/>
        </w:rPr>
        <w:t xml:space="preserve"> Phase 6</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The application functions fully with zero cloud AI providers configured (</w:t>
      </w:r>
      <w:r>
        <w:rPr>
          <w:rFonts w:ascii="Consolas" w:hAnsi="Consolas"/>
          <w:b w:val="0"/>
          <w:i w:val="0"/>
          <w:sz w:val="20"/>
        </w:rPr>
        <w:t>ROADMAP.md</w:t>
      </w:r>
      <w:r>
        <w:rPr>
          <w:rFonts w:ascii="Arial" w:hAnsi="Arial"/>
          <w:b w:val="0"/>
          <w:i w:val="0"/>
          <w:sz w:val="21"/>
        </w:rPr>
        <w:t xml:space="preserve"> Phase 6 exit criterion).</w:t>
      </w:r>
    </w:p>
    <w:p>
      <w:pPr>
        <w:pStyle w:val="ListBullet"/>
        <w:spacing w:after="60"/>
      </w:pPr>
      <w:r>
        <w:rPr>
          <w:rFonts w:ascii="Arial" w:hAnsi="Arial"/>
          <w:b w:val="0"/>
          <w:i w:val="0"/>
          <w:sz w:val="21"/>
        </w:rPr>
        <w:t>No deterministic feature's correctness depends on any AI provider being configured or available.</w:t>
      </w:r>
    </w:p>
    <w:p>
      <w:pPr>
        <w:spacing w:after="120" w:line="288" w:lineRule="auto"/>
      </w:pPr>
      <w:r>
        <w:rPr>
          <w:rFonts w:ascii="Arial" w:hAnsi="Arial"/>
          <w:b/>
          <w:i w:val="0"/>
          <w:sz w:val="21"/>
        </w:rPr>
        <w:t>Edge Cases:</w:t>
      </w:r>
      <w:r>
        <w:rPr>
          <w:rFonts w:ascii="Arial" w:hAnsi="Arial"/>
          <w:b w:val="0"/>
          <w:i w:val="0"/>
          <w:sz w:val="21"/>
        </w:rPr>
        <w:t xml:space="preserve"> See DS-AI-006/DS-SGE-019 for degradation behavior when local AI itself is unavailable.</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§23 is the authoritative runtime reference (llama.cpp-compatible/ONNX/other efficient local runtime).</w:t>
      </w:r>
    </w:p>
    <w:p>
      <w:pPr>
        <w:spacing w:after="120" w:line="288" w:lineRule="auto"/>
      </w:pPr>
      <w:r>
        <w:rPr>
          <w:rFonts w:ascii="Arial" w:hAnsi="Arial"/>
          <w:b/>
          <w:i w:val="0"/>
          <w:sz w:val="21"/>
        </w:rPr>
        <w:t>Testing:</w:t>
      </w:r>
      <w:r>
        <w:rPr>
          <w:rFonts w:ascii="Arial" w:hAnsi="Arial"/>
          <w:b w:val="0"/>
          <w:i w:val="0"/>
          <w:sz w:val="21"/>
        </w:rPr>
        <w:t xml:space="preserve"> Zero-cloud-provider functional test.</w:t>
      </w:r>
    </w:p>
    <w:p>
      <w:pPr>
        <w:pStyle w:val="Heading2"/>
        <w:spacing w:before="360" w:after="160"/>
        <w:pBdr>
          <w:bottom w:val="single" w:sz="8" w:space="4" w:color="C8A45D"/>
        </w:pBdr>
      </w:pPr>
      <w:r>
        <w:rPr>
          <w:rFonts w:ascii="Arial" w:hAnsi="Arial"/>
          <w:b w:val="0"/>
          <w:i w:val="0"/>
          <w:color w:val="17181C"/>
          <w:sz w:val="34"/>
        </w:rPr>
        <w:t>DS-ARC-015 — AI Provider Credential Handling</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Apply DS-SEC-001's credential-handling mandate to the specific, named case of AI provider API keys, per </w:t>
      </w:r>
      <w:r>
        <w:rPr>
          <w:rFonts w:ascii="Consolas" w:hAnsi="Consolas"/>
          <w:b w:val="0"/>
          <w:i w:val="0"/>
          <w:sz w:val="20"/>
        </w:rPr>
        <w:t>SECURITY_RULES.md</w:t>
      </w:r>
      <w:r>
        <w:rPr>
          <w:rFonts w:ascii="Arial" w:hAnsi="Arial"/>
          <w:b w:val="0"/>
          <w:i w:val="0"/>
          <w:sz w:val="21"/>
        </w:rPr>
        <w:t>.</w:t>
      </w:r>
    </w:p>
    <w:p>
      <w:pPr>
        <w:spacing w:after="120" w:line="288" w:lineRule="auto"/>
      </w:pPr>
      <w:r>
        <w:rPr>
          <w:rFonts w:ascii="Arial" w:hAnsi="Arial"/>
          <w:b/>
          <w:i w:val="0"/>
          <w:sz w:val="21"/>
        </w:rPr>
        <w:t>Description:</w:t>
      </w:r>
      <w:r>
        <w:rPr>
          <w:rFonts w:ascii="Arial" w:hAnsi="Arial"/>
          <w:b w:val="0"/>
          <w:i w:val="0"/>
          <w:sz w:val="21"/>
        </w:rPr>
        <w:t xml:space="preserve"> AI provider API keys shall never be committed to source control, logged (including debug/verbose logs), or exposed in frontend/client source or bundled JavaScript; production credentials shall use OS credential storage or an encrypted secrets vault; development may use </w:t>
      </w:r>
      <w:r>
        <w:rPr>
          <w:rFonts w:ascii="Consolas" w:hAnsi="Consolas"/>
          <w:b w:val="0"/>
          <w:i w:val="0"/>
          <w:sz w:val="20"/>
        </w:rPr>
        <w:t>.env</w:t>
      </w:r>
      <w:r>
        <w:rPr>
          <w:rFonts w:ascii="Arial" w:hAnsi="Arial"/>
          <w:b w:val="0"/>
          <w:i w:val="0"/>
          <w:sz w:val="21"/>
        </w:rPr>
        <w:t xml:space="preserve"> files excluded by </w:t>
      </w:r>
      <w:r>
        <w:rPr>
          <w:rFonts w:ascii="Consolas" w:hAnsi="Consolas"/>
          <w:b w:val="0"/>
          <w:i w:val="0"/>
          <w:sz w:val="20"/>
        </w:rPr>
        <w:t>.gitignore</w:t>
      </w:r>
      <w:r>
        <w:rPr>
          <w:rFonts w:ascii="Arial" w:hAnsi="Arial"/>
          <w:b w:val="0"/>
          <w:i w:val="0"/>
          <w:sz w:val="21"/>
        </w:rPr>
        <w:t>; no key shall ever be sent to a provider other than the one the user configured it for.</w:t>
      </w:r>
    </w:p>
    <w:p>
      <w:pPr>
        <w:spacing w:after="120" w:line="288" w:lineRule="auto"/>
      </w:pPr>
      <w:r>
        <w:rPr>
          <w:rFonts w:ascii="Arial" w:hAnsi="Arial"/>
          <w:b/>
          <w:i w:val="0"/>
          <w:sz w:val="21"/>
        </w:rPr>
        <w:t>Dependencies:</w:t>
      </w:r>
      <w:r>
        <w:rPr>
          <w:rFonts w:ascii="Arial" w:hAnsi="Arial"/>
          <w:b w:val="0"/>
          <w:i w:val="0"/>
          <w:sz w:val="21"/>
        </w:rPr>
        <w:t xml:space="preserve"> DS-SEC-001; </w:t>
      </w:r>
      <w:r>
        <w:rPr>
          <w:rFonts w:ascii="Consolas" w:hAnsi="Consolas"/>
          <w:b w:val="0"/>
          <w:i w:val="0"/>
          <w:sz w:val="20"/>
        </w:rPr>
        <w:t>SECURITY_RULES.md</w:t>
      </w:r>
      <w:r>
        <w:rPr>
          <w:rFonts w:ascii="Arial" w:hAnsi="Arial"/>
          <w:b w:val="0"/>
          <w:i w:val="0"/>
          <w:sz w:val="21"/>
        </w:rPr>
        <w:t xml:space="preserve"> "AI Privacy and Provider Credentials"; </w:t>
      </w:r>
      <w:r>
        <w:rPr>
          <w:rFonts w:ascii="Consolas" w:hAnsi="Consolas"/>
          <w:b w:val="0"/>
          <w:i w:val="0"/>
          <w:sz w:val="20"/>
        </w:rPr>
        <w:t>ARCHITECTURE.md</w:t>
      </w:r>
      <w:r>
        <w:rPr>
          <w:rFonts w:ascii="Arial" w:hAnsi="Arial"/>
          <w:b w:val="0"/>
          <w:i w:val="0"/>
          <w:sz w:val="21"/>
        </w:rPr>
        <w:t xml:space="preserve"> §24</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provider API key appears in commits, logs, or frontend/client source (</w:t>
      </w:r>
      <w:r>
        <w:rPr>
          <w:rFonts w:ascii="Consolas" w:hAnsi="Consolas"/>
          <w:b w:val="0"/>
          <w:i w:val="0"/>
          <w:sz w:val="20"/>
        </w:rPr>
        <w:t>ROADMAP.md</w:t>
      </w:r>
      <w:r>
        <w:rPr>
          <w:rFonts w:ascii="Arial" w:hAnsi="Arial"/>
          <w:b w:val="0"/>
          <w:i w:val="0"/>
          <w:sz w:val="21"/>
        </w:rPr>
        <w:t xml:space="preserve"> Phase 6 exit criterion).</w:t>
      </w:r>
    </w:p>
    <w:p>
      <w:pPr>
        <w:pStyle w:val="ListBullet"/>
        <w:spacing w:after="60"/>
      </w:pPr>
      <w:r>
        <w:rPr>
          <w:rFonts w:ascii="Arial" w:hAnsi="Arial"/>
          <w:b w:val="0"/>
          <w:i w:val="0"/>
          <w:sz w:val="21"/>
        </w:rPr>
        <w:t>A stored key is never redisplayed in full once saved, in any future Settings &gt; AI Providers UI.</w:t>
      </w:r>
    </w:p>
    <w:p>
      <w:pPr>
        <w:spacing w:after="120" w:line="288" w:lineRule="auto"/>
      </w:pPr>
      <w:r>
        <w:rPr>
          <w:rFonts w:ascii="Arial" w:hAnsi="Arial"/>
          <w:b/>
          <w:i w:val="0"/>
          <w:sz w:val="21"/>
        </w:rPr>
        <w:t>Edge Cases:</w:t>
      </w:r>
      <w:r>
        <w:rPr>
          <w:rFonts w:ascii="Arial" w:hAnsi="Arial"/>
          <w:b w:val="0"/>
          <w:i w:val="0"/>
          <w:sz w:val="21"/>
        </w:rPr>
        <w:t xml:space="preserve"> None beyond DS-SEC-001's existing edge cases.</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is the authoritative security-control reference; </w:t>
      </w:r>
      <w:r>
        <w:rPr>
          <w:rFonts w:ascii="Consolas" w:hAnsi="Consolas"/>
          <w:b w:val="0"/>
          <w:i w:val="0"/>
          <w:sz w:val="20"/>
        </w:rPr>
        <w:t>docs/secret-scanning.md</w:t>
      </w:r>
      <w:r>
        <w:rPr>
          <w:rFonts w:ascii="Arial" w:hAnsi="Arial"/>
          <w:b w:val="0"/>
          <w:i w:val="0"/>
          <w:sz w:val="21"/>
        </w:rPr>
        <w:t xml:space="preserve"> documents the repository's automated scanning.</w:t>
      </w:r>
    </w:p>
    <w:p>
      <w:pPr>
        <w:spacing w:after="120" w:line="288" w:lineRule="auto"/>
      </w:pPr>
      <w:r>
        <w:rPr>
          <w:rFonts w:ascii="Arial" w:hAnsi="Arial"/>
          <w:b/>
          <w:i w:val="0"/>
          <w:sz w:val="21"/>
        </w:rPr>
        <w:t>Testing:</w:t>
      </w:r>
      <w:r>
        <w:rPr>
          <w:rFonts w:ascii="Arial" w:hAnsi="Arial"/>
          <w:b w:val="0"/>
          <w:i w:val="0"/>
          <w:sz w:val="21"/>
        </w:rPr>
        <w:t xml:space="preserve"> Secret-scanning test (existing repository tooling); credential-exposure audit across frontend build output.</w:t>
      </w:r>
    </w:p>
    <w:p>
      <w:pPr>
        <w:pStyle w:val="Heading1"/>
        <w:spacing w:before="480" w:after="240"/>
        <w:pBdr>
          <w:bottom w:val="single" w:sz="16" w:space="4" w:color="C8A45D"/>
        </w:pBdr>
      </w:pPr>
      <w:r>
        <w:rPr>
          <w:rFonts w:ascii="Arial" w:hAnsi="Arial"/>
          <w:b w:val="0"/>
          <w:i w:val="0"/>
          <w:color w:val="0B0B0D"/>
          <w:sz w:val="44"/>
        </w:rPr>
        <w:t>14. Database and Caching</w:t>
      </w:r>
    </w:p>
    <w:p>
      <w:pPr>
        <w:pStyle w:val="Heading2"/>
        <w:spacing w:before="360" w:after="160"/>
        <w:pBdr>
          <w:bottom w:val="single" w:sz="8" w:space="4" w:color="C8A45D"/>
        </w:pBdr>
      </w:pPr>
      <w:r>
        <w:rPr>
          <w:rFonts w:ascii="Arial" w:hAnsi="Arial"/>
          <w:b w:val="0"/>
          <w:i w:val="0"/>
          <w:color w:val="17181C"/>
          <w:sz w:val="34"/>
        </w:rPr>
        <w:t>DS-ARC-016 — Database Strategy</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Avoid premature infrastructure complexity, per </w:t>
      </w:r>
      <w:r>
        <w:rPr>
          <w:rFonts w:ascii="Consolas" w:hAnsi="Consolas"/>
          <w:b w:val="0"/>
          <w:i w:val="0"/>
          <w:sz w:val="20"/>
        </w:rPr>
        <w:t>ARCHITECTURE.md</w:t>
      </w:r>
      <w:r>
        <w:rPr>
          <w:rFonts w:ascii="Arial" w:hAnsi="Arial"/>
          <w:b w:val="0"/>
          <w:i w:val="0"/>
          <w:sz w:val="21"/>
        </w:rPr>
        <w:t xml:space="preserve"> §20's explicit "do not introduce infrastructure complexity until needed" principle.</w:t>
      </w:r>
    </w:p>
    <w:p>
      <w:pPr>
        <w:spacing w:after="120" w:line="288" w:lineRule="auto"/>
      </w:pPr>
      <w:r>
        <w:rPr>
          <w:rFonts w:ascii="Arial" w:hAnsi="Arial"/>
          <w:b/>
          <w:i w:val="0"/>
          <w:sz w:val="21"/>
        </w:rPr>
        <w:t>Description:</w:t>
      </w:r>
      <w:r>
        <w:rPr>
          <w:rFonts w:ascii="Arial" w:hAnsi="Arial"/>
          <w:b w:val="0"/>
          <w:i w:val="0"/>
          <w:sz w:val="21"/>
        </w:rPr>
        <w:t xml:space="preserve"> DarkSage shall use SQLite as the initial database. Migration to PostgreSQL (and TimescaleDB, only if justified) is a later-phase decision (</w:t>
      </w:r>
      <w:r>
        <w:rPr>
          <w:rFonts w:ascii="Consolas" w:hAnsi="Consolas"/>
          <w:b w:val="0"/>
          <w:i w:val="0"/>
          <w:sz w:val="20"/>
        </w:rPr>
        <w:t>ROADMAP.md</w:t>
      </w:r>
      <w:r>
        <w:rPr>
          <w:rFonts w:ascii="Arial" w:hAnsi="Arial"/>
          <w:b w:val="0"/>
          <w:i w:val="0"/>
          <w:sz w:val="21"/>
        </w:rPr>
        <w:t xml:space="preserve"> Phase 12), not committed to current scope.</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§20; </w:t>
      </w:r>
      <w:r>
        <w:rPr>
          <w:rFonts w:ascii="Consolas" w:hAnsi="Consolas"/>
          <w:b w:val="0"/>
          <w:i w:val="0"/>
          <w:sz w:val="20"/>
        </w:rPr>
        <w:t>ROADMAP.md</w:t>
      </w:r>
      <w:r>
        <w:rPr>
          <w:rFonts w:ascii="Arial" w:hAnsi="Arial"/>
          <w:b w:val="0"/>
          <w:i w:val="0"/>
          <w:sz w:val="21"/>
        </w:rPr>
        <w:t xml:space="preserve"> Phase 1, Phase 12; DS-DAT-001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Phase 1 backend operates against SQLite without requiring an external database service.</w:t>
      </w:r>
    </w:p>
    <w:p>
      <w:pPr>
        <w:pStyle w:val="ListBullet"/>
        <w:spacing w:after="60"/>
      </w:pPr>
      <w:r>
        <w:rPr>
          <w:rFonts w:ascii="Arial" w:hAnsi="Arial"/>
          <w:b w:val="0"/>
          <w:i w:val="0"/>
          <w:sz w:val="21"/>
        </w:rPr>
        <w:t>No Committed/MVP requirement depends on PostgreSQL-specific or TimescaleDB-specific behavior.</w:t>
      </w:r>
    </w:p>
    <w:p>
      <w:pPr>
        <w:spacing w:after="120" w:line="288" w:lineRule="auto"/>
      </w:pPr>
      <w:r>
        <w:rPr>
          <w:rFonts w:ascii="Arial" w:hAnsi="Arial"/>
          <w:b/>
          <w:i w:val="0"/>
          <w:sz w:val="21"/>
        </w:rPr>
        <w:t>Edge Cases:</w:t>
      </w:r>
      <w:r>
        <w:rPr>
          <w:rFonts w:ascii="Arial" w:hAnsi="Arial"/>
          <w:b w:val="0"/>
          <w:i w:val="0"/>
          <w:sz w:val="21"/>
        </w:rPr>
        <w:t xml:space="preserve"> A future migration (Phase 12) requires a reviewed migration/backup path (</w:t>
      </w:r>
      <w:r>
        <w:rPr>
          <w:rFonts w:ascii="Consolas" w:hAnsi="Consolas"/>
          <w:b w:val="0"/>
          <w:i w:val="0"/>
          <w:sz w:val="20"/>
        </w:rPr>
        <w:t>AGENTS.md</w:t>
      </w:r>
      <w:r>
        <w:rPr>
          <w:rFonts w:ascii="Arial" w:hAnsi="Arial"/>
          <w:b w:val="0"/>
          <w:i w:val="0"/>
          <w:sz w:val="21"/>
        </w:rPr>
        <w:t xml:space="preserve"> "Database Changes"), not an in-place undocumented switch.</w:t>
      </w:r>
    </w:p>
    <w:p>
      <w:pPr>
        <w:spacing w:after="120" w:line="288" w:lineRule="auto"/>
      </w:pPr>
      <w:r>
        <w:rPr>
          <w:rFonts w:ascii="Arial" w:hAnsi="Arial"/>
          <w:b/>
          <w:i w:val="0"/>
          <w:sz w:val="21"/>
        </w:rPr>
        <w:t>Implementation Notes:</w:t>
      </w:r>
      <w:r>
        <w:rPr>
          <w:rFonts w:ascii="Arial" w:hAnsi="Arial"/>
          <w:b w:val="0"/>
          <w:i w:val="0"/>
          <w:sz w:val="21"/>
        </w:rPr>
        <w:t xml:space="preserve"> DS-005 concern for schema detail.</w:t>
      </w:r>
    </w:p>
    <w:p>
      <w:pPr>
        <w:spacing w:after="120" w:line="288" w:lineRule="auto"/>
      </w:pPr>
      <w:r>
        <w:rPr>
          <w:rFonts w:ascii="Arial" w:hAnsi="Arial"/>
          <w:b/>
          <w:i w:val="0"/>
          <w:sz w:val="21"/>
        </w:rPr>
        <w:t>Testing:</w:t>
      </w:r>
      <w:r>
        <w:rPr>
          <w:rFonts w:ascii="Arial" w:hAnsi="Arial"/>
          <w:b w:val="0"/>
          <w:i w:val="0"/>
          <w:sz w:val="21"/>
        </w:rPr>
        <w:t xml:space="preserve"> Local SQLite functional test (Phase 1).</w:t>
      </w:r>
    </w:p>
    <w:p>
      <w:pPr>
        <w:pStyle w:val="Heading2"/>
        <w:spacing w:before="360" w:after="160"/>
        <w:pBdr>
          <w:bottom w:val="single" w:sz="8" w:space="4" w:color="C8A45D"/>
        </w:pBdr>
      </w:pPr>
      <w:r>
        <w:rPr>
          <w:rFonts w:ascii="Arial" w:hAnsi="Arial"/>
          <w:b w:val="0"/>
          <w:i w:val="0"/>
          <w:color w:val="17181C"/>
          <w:sz w:val="34"/>
        </w:rPr>
        <w:t>DS-ARC-017 — Caching Strategy</w:t>
      </w:r>
    </w:p>
    <w:p>
      <w:pPr>
        <w:spacing w:after="120" w:line="288" w:lineRule="auto"/>
      </w:pPr>
      <w:r>
        <w:rPr>
          <w:rFonts w:ascii="Arial" w:hAnsi="Arial"/>
          <w:b/>
          <w:i w:val="0"/>
          <w:sz w:val="21"/>
        </w:rPr>
        <w:t>Priority:</w:t>
      </w:r>
      <w:r>
        <w:rPr>
          <w:rFonts w:ascii="Arial" w:hAnsi="Arial"/>
          <w:b w:val="0"/>
          <w:i w:val="0"/>
          <w:sz w:val="21"/>
        </w:rPr>
        <w:t xml:space="preserve"> Medium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Apply the same anti-premature-complexity principle to caching.</w:t>
      </w:r>
    </w:p>
    <w:p>
      <w:pPr>
        <w:spacing w:after="120" w:line="288" w:lineRule="auto"/>
      </w:pPr>
      <w:r>
        <w:rPr>
          <w:rFonts w:ascii="Arial" w:hAnsi="Arial"/>
          <w:b/>
          <w:i w:val="0"/>
          <w:sz w:val="21"/>
        </w:rPr>
        <w:t>Description:</w:t>
      </w:r>
      <w:r>
        <w:rPr>
          <w:rFonts w:ascii="Arial" w:hAnsi="Arial"/>
          <w:b w:val="0"/>
          <w:i w:val="0"/>
          <w:sz w:val="21"/>
        </w:rPr>
        <w:t xml:space="preserve"> DarkSage shall use in-memory caching and local persistence initially; a dedicated caching service (e.g., Redis) shall not be added until a demonstrated need exists.</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§21; </w:t>
      </w:r>
      <w:r>
        <w:rPr>
          <w:rFonts w:ascii="Consolas" w:hAnsi="Consolas"/>
          <w:b w:val="0"/>
          <w:i w:val="0"/>
          <w:sz w:val="20"/>
        </w:rPr>
        <w:t>AGENTS.md</w:t>
      </w:r>
      <w:r>
        <w:rPr>
          <w:rFonts w:ascii="Arial" w:hAnsi="Arial"/>
          <w:b w:val="0"/>
          <w:i w:val="0"/>
          <w:sz w:val="21"/>
        </w:rPr>
        <w:t xml:space="preserve"> "External Services"</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Committed/MVP requirement depends on a dedicated caching service being deployed.</w:t>
      </w:r>
    </w:p>
    <w:p>
      <w:pPr>
        <w:spacing w:after="120" w:line="288" w:lineRule="auto"/>
      </w:pPr>
      <w:r>
        <w:rPr>
          <w:rFonts w:ascii="Arial" w:hAnsi="Arial"/>
          <w:b/>
          <w:i w:val="0"/>
          <w:sz w:val="21"/>
        </w:rPr>
        <w:t>Edge Cases:</w:t>
      </w:r>
      <w:r>
        <w:rPr>
          <w:rFonts w:ascii="Arial" w:hAnsi="Arial"/>
          <w:b w:val="0"/>
          <w:i w:val="0"/>
          <w:sz w:val="21"/>
        </w:rPr>
        <w:t xml:space="preserve"> None recorded.</w:t>
      </w:r>
    </w:p>
    <w:p>
      <w:pPr>
        <w:spacing w:after="120" w:line="288" w:lineRule="auto"/>
      </w:pPr>
      <w:r>
        <w:rPr>
          <w:rFonts w:ascii="Arial" w:hAnsi="Arial"/>
          <w:b/>
          <w:i w:val="0"/>
          <w:sz w:val="21"/>
        </w:rPr>
        <w:t>Implementation Notes:</w:t>
      </w:r>
      <w:r>
        <w:rPr>
          <w:rFonts w:ascii="Arial" w:hAnsi="Arial"/>
          <w:b w:val="0"/>
          <w:i w:val="0"/>
          <w:sz w:val="21"/>
        </w:rPr>
        <w:t xml:space="preserve"> DS-005 concern for cache-key/invalidation detail if/when introduced.</w:t>
      </w:r>
    </w:p>
    <w:p>
      <w:pPr>
        <w:spacing w:after="120" w:line="288" w:lineRule="auto"/>
      </w:pPr>
      <w:r>
        <w:rPr>
          <w:rFonts w:ascii="Arial" w:hAnsi="Arial"/>
          <w:b/>
          <w:i w:val="0"/>
          <w:sz w:val="21"/>
        </w:rPr>
        <w:t>Testing:</w:t>
      </w:r>
      <w:r>
        <w:rPr>
          <w:rFonts w:ascii="Arial" w:hAnsi="Arial"/>
          <w:b w:val="0"/>
          <w:i w:val="0"/>
          <w:sz w:val="21"/>
        </w:rPr>
        <w:t xml:space="preserve"> Not separately tested beyond the features that rely on caching behavior.</w:t>
      </w:r>
    </w:p>
    <w:p>
      <w:pPr>
        <w:pStyle w:val="Heading1"/>
        <w:spacing w:before="480" w:after="240"/>
        <w:pBdr>
          <w:bottom w:val="single" w:sz="16" w:space="4" w:color="C8A45D"/>
        </w:pBdr>
      </w:pPr>
      <w:r>
        <w:rPr>
          <w:rFonts w:ascii="Arial" w:hAnsi="Arial"/>
          <w:b w:val="0"/>
          <w:i w:val="0"/>
          <w:color w:val="0B0B0D"/>
          <w:sz w:val="44"/>
        </w:rPr>
        <w:t>15. Deployment Stages</w:t>
      </w:r>
    </w:p>
    <w:p>
      <w:pPr>
        <w:pStyle w:val="Heading2"/>
        <w:spacing w:before="360" w:after="160"/>
        <w:pBdr>
          <w:bottom w:val="single" w:sz="8" w:space="4" w:color="C8A45D"/>
        </w:pBdr>
      </w:pPr>
      <w:r>
        <w:rPr>
          <w:rFonts w:ascii="Arial" w:hAnsi="Arial"/>
          <w:b w:val="0"/>
          <w:i w:val="0"/>
          <w:color w:val="17181C"/>
          <w:sz w:val="34"/>
        </w:rPr>
        <w:t>DS-ARC-018 — Staged Deployment Model</w:t>
      </w:r>
    </w:p>
    <w:p>
      <w:pPr>
        <w:spacing w:after="120" w:line="288" w:lineRule="auto"/>
      </w:pPr>
      <w:r>
        <w:rPr>
          <w:rFonts w:ascii="Arial" w:hAnsi="Arial"/>
          <w:b/>
          <w:i w:val="0"/>
          <w:sz w:val="21"/>
        </w:rPr>
        <w:t>Priority:</w:t>
      </w:r>
      <w:r>
        <w:rPr>
          <w:rFonts w:ascii="Arial" w:hAnsi="Arial"/>
          <w:b w:val="0"/>
          <w:i w:val="0"/>
          <w:sz w:val="21"/>
        </w:rPr>
        <w:t xml:space="preserve"> Medium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Keep recurring cost near zero during development, per </w:t>
      </w:r>
      <w:r>
        <w:rPr>
          <w:rFonts w:ascii="Consolas" w:hAnsi="Consolas"/>
          <w:b w:val="0"/>
          <w:i w:val="0"/>
          <w:sz w:val="20"/>
        </w:rPr>
        <w:t>PROJECT_SPEC.md</w:t>
      </w:r>
      <w:r>
        <w:rPr>
          <w:rFonts w:ascii="Arial" w:hAnsi="Arial"/>
          <w:b w:val="0"/>
          <w:i w:val="0"/>
          <w:sz w:val="21"/>
        </w:rPr>
        <w:t xml:space="preserve"> §2.1's Cheap-First Architecture principle.</w:t>
      </w:r>
    </w:p>
    <w:p>
      <w:pPr>
        <w:spacing w:after="120" w:line="288" w:lineRule="auto"/>
      </w:pPr>
      <w:r>
        <w:rPr>
          <w:rFonts w:ascii="Arial" w:hAnsi="Arial"/>
          <w:b/>
          <w:i w:val="0"/>
          <w:sz w:val="21"/>
        </w:rPr>
        <w:t>Description:</w:t>
      </w:r>
      <w:r>
        <w:rPr>
          <w:rFonts w:ascii="Arial" w:hAnsi="Arial"/>
          <w:b w:val="0"/>
          <w:i w:val="0"/>
          <w:sz w:val="21"/>
        </w:rPr>
        <w:t xml:space="preserve"> DarkSage shall follow a staged deployment model: Stage 1 (local development, target hosting cost $0/month) → Stage 2 (paper testing, backend may remain local) → Stage 3 (hosted backend for critical services) → Stage 4 (live trading, requiring hardened security, broker reconciliation, monitoring, fail-safe controls, kill switches, deployment review, and audit logging). Stage 4 is not committed to current scope.</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§27, §30; </w:t>
      </w:r>
      <w:r>
        <w:rPr>
          <w:rFonts w:ascii="Consolas" w:hAnsi="Consolas"/>
          <w:b w:val="0"/>
          <w:i w:val="0"/>
          <w:sz w:val="20"/>
        </w:rPr>
        <w:t>ROADMAP.md</w:t>
      </w:r>
      <w:r>
        <w:rPr>
          <w:rFonts w:ascii="Arial" w:hAnsi="Arial"/>
          <w:b w:val="0"/>
          <w:i w:val="0"/>
          <w:sz w:val="21"/>
        </w:rPr>
        <w:t xml:space="preserve"> Phase 1, Phase 12–13; </w:t>
      </w:r>
      <w:r>
        <w:rPr>
          <w:rFonts w:ascii="Consolas" w:hAnsi="Consolas"/>
          <w:b w:val="0"/>
          <w:i w:val="0"/>
          <w:sz w:val="20"/>
        </w:rPr>
        <w:t>PROJECT_SPEC.md</w:t>
      </w:r>
      <w:r>
        <w:rPr>
          <w:rFonts w:ascii="Arial" w:hAnsi="Arial"/>
          <w:b w:val="0"/>
          <w:i w:val="0"/>
          <w:sz w:val="21"/>
        </w:rPr>
        <w:t xml:space="preserve"> §2.1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Stage 1 development requires no paid hosting service.</w:t>
      </w:r>
    </w:p>
    <w:p>
      <w:pPr>
        <w:pStyle w:val="ListBullet"/>
        <w:spacing w:after="60"/>
      </w:pPr>
      <w:r>
        <w:rPr>
          <w:rFonts w:ascii="Arial" w:hAnsi="Arial"/>
          <w:b w:val="0"/>
          <w:i w:val="0"/>
          <w:sz w:val="21"/>
        </w:rPr>
        <w:t>Progression to a later stage requires its documented prerequisites (e.g., Stage 4's security/reconciliation/kill-switch review) to be satisfied first, not skipped for convenience.</w:t>
      </w:r>
    </w:p>
    <w:p>
      <w:pPr>
        <w:spacing w:after="120" w:line="288" w:lineRule="auto"/>
      </w:pPr>
      <w:r>
        <w:rPr>
          <w:rFonts w:ascii="Arial" w:hAnsi="Arial"/>
          <w:b/>
          <w:i w:val="0"/>
          <w:sz w:val="21"/>
        </w:rPr>
        <w:t>Edge Cases:</w:t>
      </w:r>
      <w:r>
        <w:rPr>
          <w:rFonts w:ascii="Arial" w:hAnsi="Arial"/>
          <w:b w:val="0"/>
          <w:i w:val="0"/>
          <w:sz w:val="21"/>
        </w:rPr>
        <w:t xml:space="preserve"> None beyond the staged prerequisites themselves.</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§27/§30 and </w:t>
      </w:r>
      <w:r>
        <w:rPr>
          <w:rFonts w:ascii="Consolas" w:hAnsi="Consolas"/>
          <w:b w:val="0"/>
          <w:i w:val="0"/>
          <w:sz w:val="20"/>
        </w:rPr>
        <w:t>ROADMAP.md</w:t>
      </w:r>
      <w:r>
        <w:rPr>
          <w:rFonts w:ascii="Arial" w:hAnsi="Arial"/>
          <w:b w:val="0"/>
          <w:i w:val="0"/>
          <w:sz w:val="21"/>
        </w:rPr>
        <w:t xml:space="preserve"> Phase 12–14 are the authoritative staging references.</w:t>
      </w:r>
    </w:p>
    <w:p>
      <w:pPr>
        <w:spacing w:after="120" w:line="288" w:lineRule="auto"/>
      </w:pPr>
      <w:r>
        <w:rPr>
          <w:rFonts w:ascii="Arial" w:hAnsi="Arial"/>
          <w:b/>
          <w:i w:val="0"/>
          <w:sz w:val="21"/>
        </w:rPr>
        <w:t>Testing:</w:t>
      </w:r>
      <w:r>
        <w:rPr>
          <w:rFonts w:ascii="Arial" w:hAnsi="Arial"/>
          <w:b w:val="0"/>
          <w:i w:val="0"/>
          <w:sz w:val="21"/>
        </w:rPr>
        <w:t xml:space="preserve"> Stage-1 zero-cost local-run verification.</w:t>
      </w:r>
    </w:p>
    <w:p>
      <w:pPr>
        <w:pStyle w:val="Heading1"/>
        <w:spacing w:before="480" w:after="240"/>
        <w:pBdr>
          <w:bottom w:val="single" w:sz="16" w:space="4" w:color="C8A45D"/>
        </w:pBdr>
      </w:pPr>
      <w:r>
        <w:rPr>
          <w:rFonts w:ascii="Arial" w:hAnsi="Arial"/>
          <w:b w:val="0"/>
          <w:i w:val="0"/>
          <w:color w:val="0B0B0D"/>
          <w:sz w:val="44"/>
        </w:rPr>
        <w:t>16. Core Architectural Rules</w:t>
      </w:r>
    </w:p>
    <w:p>
      <w:pPr>
        <w:pStyle w:val="Heading2"/>
        <w:spacing w:before="360" w:after="160"/>
        <w:pBdr>
          <w:bottom w:val="single" w:sz="8" w:space="4" w:color="C8A45D"/>
        </w:pBdr>
      </w:pPr>
      <w:r>
        <w:rPr>
          <w:rFonts w:ascii="Arial" w:hAnsi="Arial"/>
          <w:b w:val="0"/>
          <w:i w:val="0"/>
          <w:color w:val="17181C"/>
          <w:sz w:val="34"/>
        </w:rPr>
        <w:t>DS-ARC-019 — No Tight Coupling</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Formalize </w:t>
      </w:r>
      <w:r>
        <w:rPr>
          <w:rFonts w:ascii="Consolas" w:hAnsi="Consolas"/>
          <w:b w:val="0"/>
          <w:i w:val="0"/>
          <w:sz w:val="20"/>
        </w:rPr>
        <w:t>ARCHITECTURE.md</w:t>
      </w:r>
      <w:r>
        <w:rPr>
          <w:rFonts w:ascii="Arial" w:hAnsi="Arial"/>
          <w:b w:val="0"/>
          <w:i w:val="0"/>
          <w:sz w:val="21"/>
        </w:rPr>
        <w:t xml:space="preserve"> §30's explicit anti-coupling list as a testable architectural requirement, since it is the structural precondition for DS-ARC-006/007/008/013's abstraction boundaries actually holding.</w:t>
      </w:r>
    </w:p>
    <w:p>
      <w:pPr>
        <w:spacing w:after="120" w:line="288" w:lineRule="auto"/>
      </w:pPr>
      <w:r>
        <w:rPr>
          <w:rFonts w:ascii="Arial" w:hAnsi="Arial"/>
          <w:b/>
          <w:i w:val="0"/>
          <w:sz w:val="21"/>
        </w:rPr>
        <w:t>Description:</w:t>
      </w:r>
      <w:r>
        <w:rPr>
          <w:rFonts w:ascii="Arial" w:hAnsi="Arial"/>
          <w:b w:val="0"/>
          <w:i w:val="0"/>
          <w:sz w:val="21"/>
        </w:rPr>
        <w:t xml:space="preserve"> DarkSage shall not tightly couple: UI and trading logic; strategy logic and broker APIs; chart renderers and indicator calculations; market-data providers and core models; AI providers and deterministic systems; or desktop state and Auto-Trader state. Every major external dependency shall be replaceable through an interface or adapter.</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§30; DS-ARC-001, DS-ARC-006, DS-ARC-007, DS-ARC-008, DS-ARC-013</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Each listed coupling pair is verifiable as absent via module-dependency inspection (e.g., no direct import from a chart-rendering module into indicator-calculation code).</w:t>
      </w:r>
    </w:p>
    <w:p>
      <w:pPr>
        <w:spacing w:after="120" w:line="288" w:lineRule="auto"/>
      </w:pPr>
      <w:r>
        <w:rPr>
          <w:rFonts w:ascii="Arial" w:hAnsi="Arial"/>
          <w:b/>
          <w:i w:val="0"/>
          <w:sz w:val="21"/>
        </w:rPr>
        <w:t>Edge Cases:</w:t>
      </w:r>
      <w:r>
        <w:rPr>
          <w:rFonts w:ascii="Arial" w:hAnsi="Arial"/>
          <w:b w:val="0"/>
          <w:i w:val="0"/>
          <w:sz w:val="21"/>
        </w:rPr>
        <w:t xml:space="preserve"> None beyond the specific pairs listed.</w:t>
      </w:r>
    </w:p>
    <w:p>
      <w:pPr>
        <w:spacing w:after="120" w:line="288" w:lineRule="auto"/>
      </w:pPr>
      <w:r>
        <w:rPr>
          <w:rFonts w:ascii="Arial" w:hAnsi="Arial"/>
          <w:b/>
          <w:i w:val="0"/>
          <w:sz w:val="21"/>
        </w:rPr>
        <w:t>Implementation Notes:</w:t>
      </w:r>
      <w:r>
        <w:rPr>
          <w:rFonts w:ascii="Arial" w:hAnsi="Arial"/>
          <w:b w:val="0"/>
          <w:i w:val="0"/>
          <w:sz w:val="21"/>
        </w:rPr>
        <w:t xml:space="preserve"> This requirement is the structural precondition underlying several other DS-ARC requirements' testability; violations here would undermine DS-ARC-006/007/008/013 even if those pass their own individual tests.</w:t>
      </w:r>
    </w:p>
    <w:p>
      <w:pPr>
        <w:spacing w:after="120" w:line="288" w:lineRule="auto"/>
      </w:pPr>
      <w:r>
        <w:rPr>
          <w:rFonts w:ascii="Arial" w:hAnsi="Arial"/>
          <w:b/>
          <w:i w:val="0"/>
          <w:sz w:val="21"/>
        </w:rPr>
        <w:t>Testing:</w:t>
      </w:r>
      <w:r>
        <w:rPr>
          <w:rFonts w:ascii="Arial" w:hAnsi="Arial"/>
          <w:b w:val="0"/>
          <w:i w:val="0"/>
          <w:sz w:val="21"/>
        </w:rPr>
        <w:t xml:space="preserve"> Module-dependency/import-boundary static analysis.</w:t>
      </w:r>
    </w:p>
    <w:p>
      <w:pPr>
        <w:pStyle w:val="Heading1"/>
        <w:spacing w:before="480" w:after="240"/>
        <w:pBdr>
          <w:bottom w:val="single" w:sz="16" w:space="4" w:color="C8A45D"/>
        </w:pBdr>
      </w:pPr>
      <w:r>
        <w:rPr>
          <w:rFonts w:ascii="Arial" w:hAnsi="Arial"/>
          <w:b w:val="0"/>
          <w:i w:val="0"/>
          <w:color w:val="0B0B0D"/>
          <w:sz w:val="44"/>
        </w:rPr>
        <w:t>16a. Missing Architecture Contracts (added in the DS-004-A02 repair)</w:t>
      </w:r>
    </w:p>
    <w:p>
      <w:pPr>
        <w:spacing w:after="120" w:line="288" w:lineRule="auto"/>
      </w:pPr>
      <w:r>
        <w:rPr>
          <w:rFonts w:ascii="Arial" w:hAnsi="Arial"/>
          <w:b w:val="0"/>
          <w:i w:val="0"/>
          <w:sz w:val="21"/>
        </w:rPr>
        <w:t xml:space="preserve">The following close a completeness gap identified by independent audit: </w:t>
      </w:r>
      <w:r>
        <w:rPr>
          <w:rFonts w:ascii="Consolas" w:hAnsi="Consolas"/>
          <w:b w:val="0"/>
          <w:i w:val="0"/>
          <w:sz w:val="20"/>
        </w:rPr>
        <w:t>ARCHITECTURE.md</w:t>
      </w:r>
      <w:r>
        <w:rPr>
          <w:rFonts w:ascii="Arial" w:hAnsi="Arial"/>
          <w:b w:val="0"/>
          <w:i w:val="0"/>
          <w:sz w:val="21"/>
        </w:rPr>
        <w:t xml:space="preserve"> already specifies these contracts with no prior DS-004 coverage.</w:t>
      </w:r>
    </w:p>
    <w:p>
      <w:pPr>
        <w:pStyle w:val="Heading2"/>
        <w:spacing w:before="360" w:after="160"/>
        <w:pBdr>
          <w:bottom w:val="single" w:sz="8" w:space="4" w:color="C8A45D"/>
        </w:pBdr>
      </w:pPr>
      <w:r>
        <w:rPr>
          <w:rFonts w:ascii="Arial" w:hAnsi="Arial"/>
          <w:b w:val="0"/>
          <w:i w:val="0"/>
          <w:color w:val="17181C"/>
          <w:sz w:val="34"/>
        </w:rPr>
        <w:t>DS-ARC-020 — Strategy Performance and Strategy DNA Architecture</w:t>
      </w:r>
    </w:p>
    <w:p>
      <w:pPr>
        <w:spacing w:after="120" w:line="288" w:lineRule="auto"/>
      </w:pPr>
      <w:r>
        <w:rPr>
          <w:rFonts w:ascii="Arial" w:hAnsi="Arial"/>
          <w:b/>
          <w:i w:val="0"/>
          <w:sz w:val="21"/>
        </w:rPr>
        <w:t>Priority:</w:t>
      </w:r>
      <w:r>
        <w:rPr>
          <w:rFonts w:ascii="Arial" w:hAnsi="Arial"/>
          <w:b w:val="0"/>
          <w:i w:val="0"/>
          <w:sz w:val="21"/>
        </w:rPr>
        <w:t xml:space="preserve"> Medium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§11, §12; </w:t>
      </w:r>
      <w:r>
        <w:rPr>
          <w:rFonts w:ascii="Consolas" w:hAnsi="Consolas"/>
          <w:b w:val="0"/>
          <w:i w:val="0"/>
          <w:sz w:val="20"/>
        </w:rPr>
        <w:t>ROADMAP.md</w:t>
      </w:r>
      <w:r>
        <w:rPr>
          <w:rFonts w:ascii="Arial" w:hAnsi="Arial"/>
          <w:b w:val="0"/>
          <w:i w:val="0"/>
          <w:sz w:val="21"/>
        </w:rPr>
        <w:t xml:space="preserve"> Phase 3; DS-PERF-001/002/003 (DS-002)</w:t>
      </w:r>
    </w:p>
    <w:p>
      <w:pPr>
        <w:spacing w:after="120" w:line="288" w:lineRule="auto"/>
      </w:pPr>
      <w:r>
        <w:rPr>
          <w:rFonts w:ascii="Arial" w:hAnsi="Arial"/>
          <w:b/>
          <w:i w:val="0"/>
          <w:sz w:val="21"/>
        </w:rPr>
        <w:t>Purpose:</w:t>
      </w:r>
      <w:r>
        <w:rPr>
          <w:rFonts w:ascii="Arial" w:hAnsi="Arial"/>
          <w:b w:val="0"/>
          <w:i w:val="0"/>
          <w:sz w:val="21"/>
        </w:rPr>
        <w:t xml:space="preserve"> Give Strategy Performance Intelligence (DS-PERF) a concrete storage/computation architecture.</w:t>
      </w:r>
    </w:p>
    <w:p>
      <w:pPr>
        <w:spacing w:after="120" w:line="288" w:lineRule="auto"/>
      </w:pPr>
      <w:r>
        <w:rPr>
          <w:rFonts w:ascii="Arial" w:hAnsi="Arial"/>
          <w:b/>
          <w:i w:val="0"/>
          <w:sz w:val="21"/>
        </w:rPr>
        <w:t>Description:</w:t>
      </w:r>
      <w:r>
        <w:rPr>
          <w:rFonts w:ascii="Arial" w:hAnsi="Arial"/>
          <w:b w:val="0"/>
          <w:i w:val="0"/>
          <w:sz w:val="21"/>
        </w:rPr>
        <w:t xml:space="preserve"> DarkSage should compute and store strategy performance metrics and Strategy DNA from the same statistical-validation infrastructure used for backtesting (DS-ARC-010), segmented per DS-PERF-002's dimensions, using measured statistical evidence only — a model's guess is never a substitute for computed statistics.</w:t>
      </w:r>
    </w:p>
    <w:p>
      <w:pPr>
        <w:spacing w:after="120" w:line="288" w:lineRule="auto"/>
      </w:pPr>
      <w:r>
        <w:rPr>
          <w:rFonts w:ascii="Arial" w:hAnsi="Arial"/>
          <w:b/>
          <w:i w:val="0"/>
          <w:sz w:val="21"/>
        </w:rPr>
        <w:t>Dependencies:</w:t>
      </w:r>
      <w:r>
        <w:rPr>
          <w:rFonts w:ascii="Arial" w:hAnsi="Arial"/>
          <w:b w:val="0"/>
          <w:i w:val="0"/>
          <w:sz w:val="21"/>
        </w:rPr>
        <w:t xml:space="preserve"> DS-ARC-010; DS-PERF-001/002/003; DS-DB-003, DS-DB-006 (DS-005)</w:t>
      </w:r>
    </w:p>
    <w:p>
      <w:pPr>
        <w:spacing w:after="120" w:line="288" w:lineRule="auto"/>
      </w:pPr>
      <w:r>
        <w:rPr>
          <w:rFonts w:ascii="Arial" w:hAnsi="Arial"/>
          <w:b/>
          <w:i w:val="0"/>
          <w:sz w:val="21"/>
        </w:rPr>
        <w:t>Acceptance Criteria:</w:t>
      </w:r>
      <w:r>
        <w:rPr>
          <w:rFonts w:ascii="Arial" w:hAnsi="Arial"/>
          <w:b w:val="0"/>
          <w:i w:val="0"/>
          <w:sz w:val="21"/>
        </w:rPr>
        <w:t xml:space="preserve"> Deferred to Phase 3 authoring; the "statistical evidence, not AI opinion" constraint is fixed now.</w:t>
      </w:r>
    </w:p>
    <w:p>
      <w:pPr>
        <w:spacing w:after="120" w:line="288" w:lineRule="auto"/>
      </w:pPr>
      <w:r>
        <w:rPr>
          <w:rFonts w:ascii="Arial" w:hAnsi="Arial"/>
          <w:b/>
          <w:i w:val="0"/>
          <w:sz w:val="21"/>
        </w:rPr>
        <w:t>Edge Cases:</w:t>
      </w:r>
      <w:r>
        <w:rPr>
          <w:rFonts w:ascii="Arial" w:hAnsi="Arial"/>
          <w:b w:val="0"/>
          <w:i w:val="0"/>
          <w:sz w:val="21"/>
        </w:rPr>
        <w:t xml:space="preserve"> None recorded at this classification level.</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§11/§12 is authoritative.</w:t>
      </w:r>
    </w:p>
    <w:p>
      <w:pPr>
        <w:spacing w:after="120" w:line="288" w:lineRule="auto"/>
      </w:pPr>
      <w:r>
        <w:rPr>
          <w:rFonts w:ascii="Arial" w:hAnsi="Arial"/>
          <w:b/>
          <w:i w:val="0"/>
          <w:sz w:val="21"/>
        </w:rPr>
        <w:t>Testing:</w:t>
      </w:r>
      <w:r>
        <w:rPr>
          <w:rFonts w:ascii="Arial" w:hAnsi="Arial"/>
          <w:b w:val="0"/>
          <w:i w:val="0"/>
          <w:sz w:val="21"/>
        </w:rPr>
        <w:t xml:space="preserve"> Not yet applicable — Phase 3.</w:t>
      </w:r>
    </w:p>
    <w:p>
      <w:pPr>
        <w:pStyle w:val="Heading2"/>
        <w:spacing w:before="360" w:after="160"/>
        <w:pBdr>
          <w:bottom w:val="single" w:sz="8" w:space="4" w:color="C8A45D"/>
        </w:pBdr>
      </w:pPr>
      <w:r>
        <w:rPr>
          <w:rFonts w:ascii="Arial" w:hAnsi="Arial"/>
          <w:b w:val="0"/>
          <w:i w:val="0"/>
          <w:color w:val="17181C"/>
          <w:sz w:val="34"/>
        </w:rPr>
        <w:t>DS-ARC-021 — Broker and Auto-Trader Architecture</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§14, §15; </w:t>
      </w:r>
      <w:r>
        <w:rPr>
          <w:rFonts w:ascii="Consolas" w:hAnsi="Consolas"/>
          <w:b w:val="0"/>
          <w:i w:val="0"/>
          <w:sz w:val="20"/>
        </w:rPr>
        <w:t>ROADMAP.md</w:t>
      </w:r>
      <w:r>
        <w:rPr>
          <w:rFonts w:ascii="Arial" w:hAnsi="Arial"/>
          <w:b w:val="0"/>
          <w:i w:val="0"/>
          <w:sz w:val="21"/>
        </w:rPr>
        <w:t xml:space="preserve"> Phase 7; DS-EXE-003/006 (DS-002)</w:t>
      </w:r>
    </w:p>
    <w:p>
      <w:pPr>
        <w:spacing w:after="120" w:line="288" w:lineRule="auto"/>
      </w:pPr>
      <w:r>
        <w:rPr>
          <w:rFonts w:ascii="Arial" w:hAnsi="Arial"/>
          <w:b/>
          <w:i w:val="0"/>
          <w:sz w:val="21"/>
        </w:rPr>
        <w:t>Purpose:</w:t>
      </w:r>
      <w:r>
        <w:rPr>
          <w:rFonts w:ascii="Arial" w:hAnsi="Arial"/>
          <w:b w:val="0"/>
          <w:i w:val="0"/>
          <w:sz w:val="21"/>
        </w:rPr>
        <w:t xml:space="preserve"> Give the Auto-Trader state machine and Broker Adapter a concrete architecture, distinct from (and downstream of) the TradeValidationPipeline's validation stages (DS-ARC-011).</w:t>
      </w:r>
    </w:p>
    <w:p>
      <w:pPr>
        <w:spacing w:after="120" w:line="288" w:lineRule="auto"/>
      </w:pPr>
      <w:r>
        <w:rPr>
          <w:rFonts w:ascii="Arial" w:hAnsi="Arial"/>
          <w:b/>
          <w:i w:val="0"/>
          <w:sz w:val="21"/>
        </w:rPr>
        <w:t>Description:</w:t>
      </w:r>
      <w:r>
        <w:rPr>
          <w:rFonts w:ascii="Arial" w:hAnsi="Arial"/>
          <w:b w:val="0"/>
          <w:i w:val="0"/>
          <w:sz w:val="21"/>
        </w:rPr>
        <w:t xml:space="preserve"> DarkSage should implement Auto-Trader state (disabled/enabled/paused/emergency_stop) as backend-authoritative state observed identically by all clients (DS-ARC-001), and should implement broker connectivity through the common Broker Adapter interface (DS-EXE-006) with PaperBroker as the initial implementation.</w:t>
      </w:r>
    </w:p>
    <w:p>
      <w:pPr>
        <w:spacing w:after="120" w:line="288" w:lineRule="auto"/>
      </w:pPr>
      <w:r>
        <w:rPr>
          <w:rFonts w:ascii="Arial" w:hAnsi="Arial"/>
          <w:b/>
          <w:i w:val="0"/>
          <w:sz w:val="21"/>
        </w:rPr>
        <w:t>Dependencies:</w:t>
      </w:r>
      <w:r>
        <w:rPr>
          <w:rFonts w:ascii="Arial" w:hAnsi="Arial"/>
          <w:b w:val="0"/>
          <w:i w:val="0"/>
          <w:sz w:val="21"/>
        </w:rPr>
        <w:t xml:space="preserve"> DS-ARC-001; DS-ARC-011; DS-EXE-003, DS-EXE-006</w:t>
      </w:r>
    </w:p>
    <w:p>
      <w:pPr>
        <w:spacing w:after="120" w:line="288" w:lineRule="auto"/>
      </w:pPr>
      <w:r>
        <w:rPr>
          <w:rFonts w:ascii="Arial" w:hAnsi="Arial"/>
          <w:b/>
          <w:i w:val="0"/>
          <w:sz w:val="21"/>
        </w:rPr>
        <w:t>Acceptance Criteria:</w:t>
      </w:r>
      <w:r>
        <w:rPr>
          <w:rFonts w:ascii="Arial" w:hAnsi="Arial"/>
          <w:b w:val="0"/>
          <w:i w:val="0"/>
          <w:sz w:val="21"/>
        </w:rPr>
        <w:t xml:space="preserve"> Deferred to Phase 7 authoring; the backend-authoritative-state and adapter-interface obligations are fixed now per DS-ARC-001's already-Committed boundary.</w:t>
      </w:r>
    </w:p>
    <w:p>
      <w:pPr>
        <w:spacing w:after="120" w:line="288" w:lineRule="auto"/>
      </w:pPr>
      <w:r>
        <w:rPr>
          <w:rFonts w:ascii="Arial" w:hAnsi="Arial"/>
          <w:b/>
          <w:i w:val="0"/>
          <w:sz w:val="21"/>
        </w:rPr>
        <w:t>Edge Cases:</w:t>
      </w:r>
      <w:r>
        <w:rPr>
          <w:rFonts w:ascii="Arial" w:hAnsi="Arial"/>
          <w:b w:val="0"/>
          <w:i w:val="0"/>
          <w:sz w:val="21"/>
        </w:rPr>
        <w:t xml:space="preserve"> None beyond DS-ARC-001's existing edge cases.</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§14/§15 is authoritative.</w:t>
      </w:r>
    </w:p>
    <w:p>
      <w:pPr>
        <w:spacing w:after="120" w:line="288" w:lineRule="auto"/>
      </w:pPr>
      <w:r>
        <w:rPr>
          <w:rFonts w:ascii="Arial" w:hAnsi="Arial"/>
          <w:b/>
          <w:i w:val="0"/>
          <w:sz w:val="21"/>
        </w:rPr>
        <w:t>Testing:</w:t>
      </w:r>
      <w:r>
        <w:rPr>
          <w:rFonts w:ascii="Arial" w:hAnsi="Arial"/>
          <w:b w:val="0"/>
          <w:i w:val="0"/>
          <w:sz w:val="21"/>
        </w:rPr>
        <w:t xml:space="preserve"> Not yet applicable — Phase 7.</w:t>
      </w:r>
    </w:p>
    <w:p>
      <w:pPr>
        <w:pStyle w:val="Heading2"/>
        <w:spacing w:before="360" w:after="160"/>
        <w:pBdr>
          <w:bottom w:val="single" w:sz="8" w:space="4" w:color="C8A45D"/>
        </w:pBdr>
      </w:pPr>
      <w:r>
        <w:rPr>
          <w:rFonts w:ascii="Arial" w:hAnsi="Arial"/>
          <w:b w:val="0"/>
          <w:i w:val="0"/>
          <w:color w:val="17181C"/>
          <w:sz w:val="34"/>
        </w:rPr>
        <w:t>DS-ARC-022 — Emergency Stop and Emergency Flatten Architecture</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§16; </w:t>
      </w:r>
      <w:r>
        <w:rPr>
          <w:rFonts w:ascii="Consolas" w:hAnsi="Consolas"/>
          <w:b w:val="0"/>
          <w:i w:val="0"/>
          <w:sz w:val="20"/>
        </w:rPr>
        <w:t>TRADING_RULES.md</w:t>
      </w:r>
      <w:r>
        <w:rPr>
          <w:rFonts w:ascii="Arial" w:hAnsi="Arial"/>
          <w:b w:val="0"/>
          <w:i w:val="0"/>
          <w:sz w:val="21"/>
        </w:rPr>
        <w:t>/</w:t>
      </w:r>
      <w:r>
        <w:rPr>
          <w:rFonts w:ascii="Consolas" w:hAnsi="Consolas"/>
          <w:b w:val="0"/>
          <w:i w:val="0"/>
          <w:sz w:val="20"/>
        </w:rPr>
        <w:t>SECURITY_RULES.md</w:t>
      </w:r>
      <w:r>
        <w:rPr>
          <w:rFonts w:ascii="Arial" w:hAnsi="Arial"/>
          <w:b w:val="0"/>
          <w:i w:val="0"/>
          <w:sz w:val="21"/>
        </w:rPr>
        <w:t xml:space="preserve"> "Emergency Stop"/"Emergency Flatten"; </w:t>
      </w:r>
      <w:r>
        <w:rPr>
          <w:rFonts w:ascii="Consolas" w:hAnsi="Consolas"/>
          <w:b w:val="0"/>
          <w:i w:val="0"/>
          <w:sz w:val="20"/>
        </w:rPr>
        <w:t>ROADMAP.md</w:t>
      </w:r>
      <w:r>
        <w:rPr>
          <w:rFonts w:ascii="Arial" w:hAnsi="Arial"/>
          <w:b w:val="0"/>
          <w:i w:val="0"/>
          <w:sz w:val="21"/>
        </w:rPr>
        <w:t xml:space="preserve"> Phase 7; DS-EXE-004/005 (DS-002)</w:t>
      </w:r>
    </w:p>
    <w:p>
      <w:pPr>
        <w:spacing w:after="120" w:line="288" w:lineRule="auto"/>
      </w:pPr>
      <w:r>
        <w:rPr>
          <w:rFonts w:ascii="Arial" w:hAnsi="Arial"/>
          <w:b/>
          <w:i w:val="0"/>
          <w:sz w:val="21"/>
        </w:rPr>
        <w:t>Purpose:</w:t>
      </w:r>
      <w:r>
        <w:rPr>
          <w:rFonts w:ascii="Arial" w:hAnsi="Arial"/>
          <w:b w:val="0"/>
          <w:i w:val="0"/>
          <w:sz w:val="21"/>
        </w:rPr>
        <w:t xml:space="preserve"> Give the two emergency controls a concrete, independently-reachable architecture so they cannot be blocked by the same failure that necessitates using them.</w:t>
      </w:r>
    </w:p>
    <w:p>
      <w:pPr>
        <w:spacing w:after="120" w:line="288" w:lineRule="auto"/>
      </w:pPr>
      <w:r>
        <w:rPr>
          <w:rFonts w:ascii="Arial" w:hAnsi="Arial"/>
          <w:b/>
          <w:i w:val="0"/>
          <w:sz w:val="21"/>
        </w:rPr>
        <w:t>Description:</w:t>
      </w:r>
      <w:r>
        <w:rPr>
          <w:rFonts w:ascii="Arial" w:hAnsi="Arial"/>
          <w:b w:val="0"/>
          <w:i w:val="0"/>
          <w:sz w:val="21"/>
        </w:rPr>
        <w:t xml:space="preserve"> DarkSage should implement Emergency Stop and Emergency Flatten as backend operations reachable from any authorized client independent of the normal order-submission code path (so a partial system failure that would justify triggering them does not also disable them), with Emergency Flatten requiring strong authentication in live mode.</w:t>
      </w:r>
    </w:p>
    <w:p>
      <w:pPr>
        <w:spacing w:after="120" w:line="288" w:lineRule="auto"/>
      </w:pPr>
      <w:r>
        <w:rPr>
          <w:rFonts w:ascii="Arial" w:hAnsi="Arial"/>
          <w:b/>
          <w:i w:val="0"/>
          <w:sz w:val="21"/>
        </w:rPr>
        <w:t>Dependencies:</w:t>
      </w:r>
      <w:r>
        <w:rPr>
          <w:rFonts w:ascii="Arial" w:hAnsi="Arial"/>
          <w:b w:val="0"/>
          <w:i w:val="0"/>
          <w:sz w:val="21"/>
        </w:rPr>
        <w:t xml:space="preserve"> DS-ARC-021; DS-EXE-004, DS-EXE-005</w:t>
      </w:r>
    </w:p>
    <w:p>
      <w:pPr>
        <w:spacing w:after="120" w:line="288" w:lineRule="auto"/>
      </w:pPr>
      <w:r>
        <w:rPr>
          <w:rFonts w:ascii="Arial" w:hAnsi="Arial"/>
          <w:b/>
          <w:i w:val="0"/>
          <w:sz w:val="21"/>
        </w:rPr>
        <w:t>Acceptance Criteria:</w:t>
      </w:r>
      <w:r>
        <w:rPr>
          <w:rFonts w:ascii="Arial" w:hAnsi="Arial"/>
          <w:b w:val="0"/>
          <w:i w:val="0"/>
          <w:sz w:val="21"/>
        </w:rPr>
        <w:t xml:space="preserve"> Deferred to Phase 7 authoring; the independent-reachability requirement is fixed now given its safety-critical nature.</w:t>
      </w:r>
    </w:p>
    <w:p>
      <w:pPr>
        <w:spacing w:after="120" w:line="288" w:lineRule="auto"/>
      </w:pPr>
      <w:r>
        <w:rPr>
          <w:rFonts w:ascii="Arial" w:hAnsi="Arial"/>
          <w:b/>
          <w:i w:val="0"/>
          <w:sz w:val="21"/>
        </w:rPr>
        <w:t>Edge Cases:</w:t>
      </w:r>
      <w:r>
        <w:rPr>
          <w:rFonts w:ascii="Arial" w:hAnsi="Arial"/>
          <w:b w:val="0"/>
          <w:i w:val="0"/>
          <w:sz w:val="21"/>
        </w:rPr>
        <w:t xml:space="preserve"> None recorded at this classification level.</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§16 is authoritative.</w:t>
      </w:r>
    </w:p>
    <w:p>
      <w:pPr>
        <w:spacing w:after="120" w:line="288" w:lineRule="auto"/>
      </w:pPr>
      <w:r>
        <w:rPr>
          <w:rFonts w:ascii="Arial" w:hAnsi="Arial"/>
          <w:b/>
          <w:i w:val="0"/>
          <w:sz w:val="21"/>
        </w:rPr>
        <w:t>Testing:</w:t>
      </w:r>
      <w:r>
        <w:rPr>
          <w:rFonts w:ascii="Arial" w:hAnsi="Arial"/>
          <w:b w:val="0"/>
          <w:i w:val="0"/>
          <w:sz w:val="21"/>
        </w:rPr>
        <w:t xml:space="preserve"> Not yet applicable — Phase 7 exit criteria ("Emergency Stop passes tests").</w:t>
      </w:r>
    </w:p>
    <w:p>
      <w:pPr>
        <w:pStyle w:val="Heading2"/>
        <w:spacing w:before="360" w:after="160"/>
        <w:pBdr>
          <w:bottom w:val="single" w:sz="8" w:space="4" w:color="C8A45D"/>
        </w:pBdr>
      </w:pPr>
      <w:r>
        <w:rPr>
          <w:rFonts w:ascii="Arial" w:hAnsi="Arial"/>
          <w:b w:val="0"/>
          <w:i w:val="0"/>
          <w:color w:val="17181C"/>
          <w:sz w:val="34"/>
        </w:rPr>
        <w:t>DS-ARC-023 — Portfolio Architecture</w:t>
      </w:r>
    </w:p>
    <w:p>
      <w:pPr>
        <w:spacing w:after="120" w:line="288" w:lineRule="auto"/>
      </w:pPr>
      <w:r>
        <w:rPr>
          <w:rFonts w:ascii="Arial" w:hAnsi="Arial"/>
          <w:b/>
          <w:i w:val="0"/>
          <w:sz w:val="21"/>
        </w:rPr>
        <w:t>Priority:</w:t>
      </w:r>
      <w:r>
        <w:rPr>
          <w:rFonts w:ascii="Arial" w:hAnsi="Arial"/>
          <w:b w:val="0"/>
          <w:i w:val="0"/>
          <w:sz w:val="21"/>
        </w:rPr>
        <w:t xml:space="preserve"> Medium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§19; </w:t>
      </w:r>
      <w:r>
        <w:rPr>
          <w:rFonts w:ascii="Consolas" w:hAnsi="Consolas"/>
          <w:b w:val="0"/>
          <w:i w:val="0"/>
          <w:sz w:val="20"/>
        </w:rPr>
        <w:t>ROADMAP.md</w:t>
      </w:r>
      <w:r>
        <w:rPr>
          <w:rFonts w:ascii="Arial" w:hAnsi="Arial"/>
          <w:b w:val="0"/>
          <w:i w:val="0"/>
          <w:sz w:val="21"/>
        </w:rPr>
        <w:t xml:space="preserve"> Phase 4; DS-PRT-001..004 (DS-002, Planned)</w:t>
      </w:r>
    </w:p>
    <w:p>
      <w:pPr>
        <w:spacing w:after="120" w:line="288" w:lineRule="auto"/>
      </w:pPr>
      <w:r>
        <w:rPr>
          <w:rFonts w:ascii="Arial" w:hAnsi="Arial"/>
          <w:b/>
          <w:i w:val="0"/>
          <w:sz w:val="21"/>
        </w:rPr>
        <w:t>Purpose:</w:t>
      </w:r>
      <w:r>
        <w:rPr>
          <w:rFonts w:ascii="Arial" w:hAnsi="Arial"/>
          <w:b w:val="0"/>
          <w:i w:val="0"/>
          <w:sz w:val="21"/>
        </w:rPr>
        <w:t xml:space="preserve"> Give portfolio tracking (holdings, cash, exposure, sector allocation, correlations, risk budgets, performance, benchmarks, rebalancing, goal tracking) a concrete service architecture.</w:t>
      </w:r>
    </w:p>
    <w:p>
      <w:pPr>
        <w:spacing w:after="120" w:line="288" w:lineRule="auto"/>
      </w:pPr>
      <w:r>
        <w:rPr>
          <w:rFonts w:ascii="Arial" w:hAnsi="Arial"/>
          <w:b/>
          <w:i w:val="0"/>
          <w:sz w:val="21"/>
        </w:rPr>
        <w:t>Description:</w:t>
      </w:r>
      <w:r>
        <w:rPr>
          <w:rFonts w:ascii="Arial" w:hAnsi="Arial"/>
          <w:b w:val="0"/>
          <w:i w:val="0"/>
          <w:sz w:val="21"/>
        </w:rPr>
        <w:t xml:space="preserve"> DarkSage should implement portfolio services as backend-authoritative computations over the Transaction/Position data model (DS-005, once the Transaction entity is added per DS-005 Appendix A), reusing the deterministic calculation engine (DS-PRD-004) rather than a parallel implementation.</w:t>
      </w:r>
    </w:p>
    <w:p>
      <w:pPr>
        <w:spacing w:after="120" w:line="288" w:lineRule="auto"/>
      </w:pPr>
      <w:r>
        <w:rPr>
          <w:rFonts w:ascii="Arial" w:hAnsi="Arial"/>
          <w:b/>
          <w:i w:val="0"/>
          <w:sz w:val="21"/>
        </w:rPr>
        <w:t>Dependencies:</w:t>
      </w:r>
      <w:r>
        <w:rPr>
          <w:rFonts w:ascii="Arial" w:hAnsi="Arial"/>
          <w:b w:val="0"/>
          <w:i w:val="0"/>
          <w:sz w:val="21"/>
        </w:rPr>
        <w:t xml:space="preserve"> DS-DB-008/009 (DS-005); DS-PRT-001..004</w:t>
      </w:r>
    </w:p>
    <w:p>
      <w:pPr>
        <w:spacing w:after="120" w:line="288" w:lineRule="auto"/>
      </w:pPr>
      <w:r>
        <w:rPr>
          <w:rFonts w:ascii="Arial" w:hAnsi="Arial"/>
          <w:b/>
          <w:i w:val="0"/>
          <w:sz w:val="21"/>
        </w:rPr>
        <w:t>Acceptance Criteria:</w:t>
      </w:r>
      <w:r>
        <w:rPr>
          <w:rFonts w:ascii="Arial" w:hAnsi="Arial"/>
          <w:b w:val="0"/>
          <w:i w:val="0"/>
          <w:sz w:val="21"/>
        </w:rPr>
        <w:t xml:space="preserve"> Deferred to Phase 4 authoring.</w:t>
      </w:r>
    </w:p>
    <w:p>
      <w:pPr>
        <w:spacing w:after="120" w:line="288" w:lineRule="auto"/>
      </w:pPr>
      <w:r>
        <w:rPr>
          <w:rFonts w:ascii="Arial" w:hAnsi="Arial"/>
          <w:b/>
          <w:i w:val="0"/>
          <w:sz w:val="21"/>
        </w:rPr>
        <w:t>Edge Cases:</w:t>
      </w:r>
      <w:r>
        <w:rPr>
          <w:rFonts w:ascii="Arial" w:hAnsi="Arial"/>
          <w:b w:val="0"/>
          <w:i w:val="0"/>
          <w:sz w:val="21"/>
        </w:rPr>
        <w:t xml:space="preserve"> None recorded at this classification level.</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§19 is authoritative.</w:t>
      </w:r>
    </w:p>
    <w:p>
      <w:pPr>
        <w:spacing w:after="120" w:line="288" w:lineRule="auto"/>
      </w:pPr>
      <w:r>
        <w:rPr>
          <w:rFonts w:ascii="Arial" w:hAnsi="Arial"/>
          <w:b/>
          <w:i w:val="0"/>
          <w:sz w:val="21"/>
        </w:rPr>
        <w:t>Testing:</w:t>
      </w:r>
      <w:r>
        <w:rPr>
          <w:rFonts w:ascii="Arial" w:hAnsi="Arial"/>
          <w:b w:val="0"/>
          <w:i w:val="0"/>
          <w:sz w:val="21"/>
        </w:rPr>
        <w:t xml:space="preserve"> Not yet applicable — Phase 4.</w:t>
      </w:r>
    </w:p>
    <w:p>
      <w:pPr>
        <w:pStyle w:val="Heading2"/>
        <w:spacing w:before="360" w:after="160"/>
        <w:pBdr>
          <w:bottom w:val="single" w:sz="8" w:space="4" w:color="C8A45D"/>
        </w:pBdr>
      </w:pPr>
      <w:r>
        <w:rPr>
          <w:rFonts w:ascii="Arial" w:hAnsi="Arial"/>
          <w:b w:val="0"/>
          <w:i w:val="0"/>
          <w:color w:val="17181C"/>
          <w:sz w:val="34"/>
        </w:rPr>
        <w:t>DS-ARC-024 — Mobile Control Security Architecture</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§26; </w:t>
      </w:r>
      <w:r>
        <w:rPr>
          <w:rFonts w:ascii="Consolas" w:hAnsi="Consolas"/>
          <w:b w:val="0"/>
          <w:i w:val="0"/>
          <w:sz w:val="20"/>
        </w:rPr>
        <w:t>SECURITY_RULES.md</w:t>
      </w:r>
      <w:r>
        <w:rPr>
          <w:rFonts w:ascii="Arial" w:hAnsi="Arial"/>
          <w:b w:val="0"/>
          <w:i w:val="0"/>
          <w:sz w:val="21"/>
        </w:rPr>
        <w:t xml:space="preserve"> "Desktop and Mobile Security"; </w:t>
      </w:r>
      <w:r>
        <w:rPr>
          <w:rFonts w:ascii="Consolas" w:hAnsi="Consolas"/>
          <w:b w:val="0"/>
          <w:i w:val="0"/>
          <w:sz w:val="20"/>
        </w:rPr>
        <w:t>ROADMAP.md</w:t>
      </w:r>
      <w:r>
        <w:rPr>
          <w:rFonts w:ascii="Arial" w:hAnsi="Arial"/>
          <w:b w:val="0"/>
          <w:i w:val="0"/>
          <w:sz w:val="21"/>
        </w:rPr>
        <w:t xml:space="preserve"> Phase 9; DS-MOB-003 (DS-002)</w:t>
      </w:r>
    </w:p>
    <w:p>
      <w:pPr>
        <w:spacing w:after="120" w:line="288" w:lineRule="auto"/>
      </w:pPr>
      <w:r>
        <w:rPr>
          <w:rFonts w:ascii="Arial" w:hAnsi="Arial"/>
          <w:b/>
          <w:i w:val="0"/>
          <w:sz w:val="21"/>
        </w:rPr>
        <w:t>Purpose:</w:t>
      </w:r>
      <w:r>
        <w:rPr>
          <w:rFonts w:ascii="Arial" w:hAnsi="Arial"/>
          <w:b w:val="0"/>
          <w:i w:val="0"/>
          <w:sz w:val="21"/>
        </w:rPr>
        <w:t xml:space="preserve"> Ensure mobile's ability to control Auto-Trading is architected with security proportionate to its risk, not bolted on afterward.</w:t>
      </w:r>
    </w:p>
    <w:p>
      <w:pPr>
        <w:spacing w:after="120" w:line="288" w:lineRule="auto"/>
      </w:pPr>
      <w:r>
        <w:rPr>
          <w:rFonts w:ascii="Arial" w:hAnsi="Arial"/>
          <w:b/>
          <w:i w:val="0"/>
          <w:sz w:val="21"/>
        </w:rPr>
        <w:t>Description:</w:t>
      </w:r>
      <w:r>
        <w:rPr>
          <w:rFonts w:ascii="Arial" w:hAnsi="Arial"/>
          <w:b w:val="0"/>
          <w:i w:val="0"/>
          <w:sz w:val="21"/>
        </w:rPr>
        <w:t xml:space="preserve"> DarkSage should require strong authentication for high-risk mobile actions (pause Auto-Trade, emergency stop, trade approvals) and should use secure platform storage (iOS Keychain) rather than storing broker secrets directly on the device.</w:t>
      </w:r>
    </w:p>
    <w:p>
      <w:pPr>
        <w:spacing w:after="120" w:line="288" w:lineRule="auto"/>
      </w:pPr>
      <w:r>
        <w:rPr>
          <w:rFonts w:ascii="Arial" w:hAnsi="Arial"/>
          <w:b/>
          <w:i w:val="0"/>
          <w:sz w:val="21"/>
        </w:rPr>
        <w:t>Dependencies:</w:t>
      </w:r>
      <w:r>
        <w:rPr>
          <w:rFonts w:ascii="Arial" w:hAnsi="Arial"/>
          <w:b w:val="0"/>
          <w:i w:val="0"/>
          <w:sz w:val="21"/>
        </w:rPr>
        <w:t xml:space="preserve"> DS-ARC-003; DS-ARC-015 (credential handling pattern); DS-MOB-003</w:t>
      </w:r>
    </w:p>
    <w:p>
      <w:pPr>
        <w:spacing w:after="120" w:line="288" w:lineRule="auto"/>
      </w:pPr>
      <w:r>
        <w:rPr>
          <w:rFonts w:ascii="Arial" w:hAnsi="Arial"/>
          <w:b/>
          <w:i w:val="0"/>
          <w:sz w:val="21"/>
        </w:rPr>
        <w:t>Acceptance Criteria:</w:t>
      </w:r>
      <w:r>
        <w:rPr>
          <w:rFonts w:ascii="Arial" w:hAnsi="Arial"/>
          <w:b w:val="0"/>
          <w:i w:val="0"/>
          <w:sz w:val="21"/>
        </w:rPr>
        <w:t xml:space="preserve"> Deferred to Phase 9 authoring; the secure-storage/strong-auth obligations are fixed now per </w:t>
      </w:r>
      <w:r>
        <w:rPr>
          <w:rFonts w:ascii="Consolas" w:hAnsi="Consolas"/>
          <w:b w:val="0"/>
          <w:i w:val="0"/>
          <w:sz w:val="20"/>
        </w:rPr>
        <w:t>SECURITY_RULES.md</w:t>
      </w:r>
      <w:r>
        <w:rPr>
          <w:rFonts w:ascii="Arial" w:hAnsi="Arial"/>
          <w:b w:val="0"/>
          <w:i w:val="0"/>
          <w:sz w:val="21"/>
        </w:rPr>
        <w:t>.</w:t>
      </w:r>
    </w:p>
    <w:p>
      <w:pPr>
        <w:spacing w:after="120" w:line="288" w:lineRule="auto"/>
      </w:pPr>
      <w:r>
        <w:rPr>
          <w:rFonts w:ascii="Arial" w:hAnsi="Arial"/>
          <w:b/>
          <w:i w:val="0"/>
          <w:sz w:val="21"/>
        </w:rPr>
        <w:t>Edge Cases:</w:t>
      </w:r>
      <w:r>
        <w:rPr>
          <w:rFonts w:ascii="Arial" w:hAnsi="Arial"/>
          <w:b w:val="0"/>
          <w:i w:val="0"/>
          <w:sz w:val="21"/>
        </w:rPr>
        <w:t xml:space="preserve"> None recorded at this classification level.</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is authoritative.</w:t>
      </w:r>
    </w:p>
    <w:p>
      <w:pPr>
        <w:spacing w:after="120" w:line="288" w:lineRule="auto"/>
      </w:pPr>
      <w:r>
        <w:rPr>
          <w:rFonts w:ascii="Arial" w:hAnsi="Arial"/>
          <w:b/>
          <w:i w:val="0"/>
          <w:sz w:val="21"/>
        </w:rPr>
        <w:t>Testing:</w:t>
      </w:r>
      <w:r>
        <w:rPr>
          <w:rFonts w:ascii="Arial" w:hAnsi="Arial"/>
          <w:b w:val="0"/>
          <w:i w:val="0"/>
          <w:sz w:val="21"/>
        </w:rPr>
        <w:t xml:space="preserve"> Not yet applicable — Phase 9.</w:t>
      </w:r>
    </w:p>
    <w:p>
      <w:pPr>
        <w:pStyle w:val="Heading2"/>
        <w:spacing w:before="360" w:after="160"/>
        <w:pBdr>
          <w:bottom w:val="single" w:sz="8" w:space="4" w:color="C8A45D"/>
        </w:pBdr>
      </w:pPr>
      <w:r>
        <w:rPr>
          <w:rFonts w:ascii="Arial" w:hAnsi="Arial"/>
          <w:b w:val="0"/>
          <w:i w:val="0"/>
          <w:color w:val="17181C"/>
          <w:sz w:val="34"/>
        </w:rPr>
        <w:t>DS-ARC-025 — Trading Knowledge Engine Architecture</w:t>
      </w:r>
    </w:p>
    <w:p>
      <w:pPr>
        <w:spacing w:after="120" w:line="288" w:lineRule="auto"/>
      </w:pPr>
      <w:r>
        <w:rPr>
          <w:rFonts w:ascii="Arial" w:hAnsi="Arial"/>
          <w:b/>
          <w:i w:val="0"/>
          <w:sz w:val="21"/>
        </w:rPr>
        <w:t>Priority:</w:t>
      </w:r>
      <w:r>
        <w:rPr>
          <w:rFonts w:ascii="Arial" w:hAnsi="Arial"/>
          <w:b w:val="0"/>
          <w:i w:val="0"/>
          <w:sz w:val="21"/>
        </w:rPr>
        <w:t xml:space="preserve"> Low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Governing Source:</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§31 (complete); </w:t>
      </w:r>
      <w:r>
        <w:rPr>
          <w:rFonts w:ascii="Consolas" w:hAnsi="Consolas"/>
          <w:b w:val="0"/>
          <w:i w:val="0"/>
          <w:sz w:val="20"/>
        </w:rPr>
        <w:t>PROJECT_SPEC.md</w:t>
      </w:r>
      <w:r>
        <w:rPr>
          <w:rFonts w:ascii="Arial" w:hAnsi="Arial"/>
          <w:b w:val="0"/>
          <w:i w:val="0"/>
          <w:sz w:val="21"/>
        </w:rPr>
        <w:t xml:space="preserve"> §33; </w:t>
      </w:r>
      <w:r>
        <w:rPr>
          <w:rFonts w:ascii="Consolas" w:hAnsi="Consolas"/>
          <w:b w:val="0"/>
          <w:i w:val="0"/>
          <w:sz w:val="20"/>
        </w:rPr>
        <w:t>ROADMAP.md</w:t>
      </w:r>
      <w:r>
        <w:rPr>
          <w:rFonts w:ascii="Arial" w:hAnsi="Arial"/>
          <w:b w:val="0"/>
          <w:i w:val="0"/>
          <w:sz w:val="21"/>
        </w:rPr>
        <w:t xml:space="preserve"> Phase 5; DS-EDU (DS-002)</w:t>
      </w:r>
    </w:p>
    <w:p>
      <w:pPr>
        <w:spacing w:after="120" w:line="288" w:lineRule="auto"/>
      </w:pPr>
      <w:r>
        <w:rPr>
          <w:rFonts w:ascii="Arial" w:hAnsi="Arial"/>
          <w:b/>
          <w:i w:val="0"/>
          <w:sz w:val="21"/>
        </w:rPr>
        <w:t>Purpose:</w:t>
      </w:r>
      <w:r>
        <w:rPr>
          <w:rFonts w:ascii="Arial" w:hAnsi="Arial"/>
          <w:b w:val="0"/>
          <w:i w:val="0"/>
          <w:sz w:val="21"/>
        </w:rPr>
        <w:t xml:space="preserve"> Formalize the complete Trading Knowledge Engine architecture (</w:t>
      </w:r>
      <w:r>
        <w:rPr>
          <w:rFonts w:ascii="Consolas" w:hAnsi="Consolas"/>
          <w:b w:val="0"/>
          <w:i w:val="0"/>
          <w:sz w:val="20"/>
        </w:rPr>
        <w:t>backend/app/knowledge/</w:t>
      </w:r>
      <w:r>
        <w:rPr>
          <w:rFonts w:ascii="Arial" w:hAnsi="Arial"/>
          <w:b w:val="0"/>
          <w:i w:val="0"/>
          <w:sz w:val="21"/>
        </w:rPr>
        <w:t xml:space="preserve"> — the single authoritative location, always referenced with the full path), which DS-004 v0.2.0 omitted entirely despite </w:t>
      </w:r>
      <w:r>
        <w:rPr>
          <w:rFonts w:ascii="Consolas" w:hAnsi="Consolas"/>
          <w:b w:val="0"/>
          <w:i w:val="0"/>
          <w:sz w:val="20"/>
        </w:rPr>
        <w:t>ARCHITECTURE.md</w:t>
      </w:r>
      <w:r>
        <w:rPr>
          <w:rFonts w:ascii="Arial" w:hAnsi="Arial"/>
          <w:b w:val="0"/>
          <w:i w:val="0"/>
          <w:sz w:val="21"/>
        </w:rPr>
        <w:t xml:space="preserve"> §31 specifying it in detail.</w:t>
      </w:r>
    </w:p>
    <w:p>
      <w:pPr>
        <w:spacing w:after="120" w:line="288" w:lineRule="auto"/>
      </w:pPr>
      <w:r>
        <w:rPr>
          <w:rFonts w:ascii="Arial" w:hAnsi="Arial"/>
          <w:b/>
          <w:i w:val="0"/>
          <w:sz w:val="21"/>
        </w:rPr>
        <w:t>Description:</w:t>
      </w:r>
      <w:r>
        <w:rPr>
          <w:rFonts w:ascii="Arial" w:hAnsi="Arial"/>
          <w:b w:val="0"/>
          <w:i w:val="0"/>
          <w:sz w:val="21"/>
        </w:rPr>
        <w:t xml:space="preserve"> DarkSage should implement the Trading Knowledge Engine as deterministic local code (</w:t>
      </w:r>
      <w:r>
        <w:rPr>
          <w:rFonts w:ascii="Consolas" w:hAnsi="Consolas"/>
          <w:b w:val="0"/>
          <w:i w:val="0"/>
          <w:sz w:val="20"/>
        </w:rPr>
        <w:t>backend/app/knowledge/ingestion/</w:t>
      </w:r>
      <w:r>
        <w:rPr>
          <w:rFonts w:ascii="Arial" w:hAnsi="Arial"/>
          <w:b w:val="0"/>
          <w:i w:val="0"/>
          <w:sz w:val="21"/>
        </w:rPr>
        <w:t xml:space="preserve">, </w:t>
      </w:r>
      <w:r>
        <w:rPr>
          <w:rFonts w:ascii="Consolas" w:hAnsi="Consolas"/>
          <w:b w:val="0"/>
          <w:i w:val="0"/>
          <w:sz w:val="20"/>
        </w:rPr>
        <w:t>concepts/</w:t>
      </w:r>
      <w:r>
        <w:rPr>
          <w:rFonts w:ascii="Arial" w:hAnsi="Arial"/>
          <w:b w:val="0"/>
          <w:i w:val="0"/>
          <w:sz w:val="21"/>
        </w:rPr>
        <w:t xml:space="preserve">, </w:t>
      </w:r>
      <w:r>
        <w:rPr>
          <w:rFonts w:ascii="Consolas" w:hAnsi="Consolas"/>
          <w:b w:val="0"/>
          <w:i w:val="0"/>
          <w:sz w:val="20"/>
        </w:rPr>
        <w:t>patterns/</w:t>
      </w:r>
      <w:r>
        <w:rPr>
          <w:rFonts w:ascii="Arial" w:hAnsi="Arial"/>
          <w:b w:val="0"/>
          <w:i w:val="0"/>
          <w:sz w:val="21"/>
        </w:rPr>
        <w:t xml:space="preserve">, </w:t>
      </w:r>
      <w:r>
        <w:rPr>
          <w:rFonts w:ascii="Consolas" w:hAnsi="Consolas"/>
          <w:b w:val="0"/>
          <w:i w:val="0"/>
          <w:sz w:val="20"/>
        </w:rPr>
        <w:t>scoring/</w:t>
      </w:r>
      <w:r>
        <w:rPr>
          <w:rFonts w:ascii="Arial" w:hAnsi="Arial"/>
          <w:b w:val="0"/>
          <w:i w:val="0"/>
          <w:sz w:val="21"/>
        </w:rPr>
        <w:t xml:space="preserve">, </w:t>
      </w:r>
      <w:r>
        <w:rPr>
          <w:rFonts w:ascii="Consolas" w:hAnsi="Consolas"/>
          <w:b w:val="0"/>
          <w:i w:val="0"/>
          <w:sz w:val="20"/>
        </w:rPr>
        <w:t>provenance/</w:t>
      </w:r>
      <w:r>
        <w:rPr>
          <w:rFonts w:ascii="Arial" w:hAnsi="Arial"/>
          <w:b w:val="0"/>
          <w:i w:val="0"/>
          <w:sz w:val="21"/>
        </w:rPr>
        <w:t xml:space="preserve">, </w:t>
      </w:r>
      <w:r>
        <w:rPr>
          <w:rFonts w:ascii="Consolas" w:hAnsi="Consolas"/>
          <w:b w:val="0"/>
          <w:i w:val="0"/>
          <w:sz w:val="20"/>
        </w:rPr>
        <w:t>education/</w:t>
      </w:r>
      <w:r>
        <w:rPr>
          <w:rFonts w:ascii="Arial" w:hAnsi="Arial"/>
          <w:b w:val="0"/>
          <w:i w:val="0"/>
          <w:sz w:val="21"/>
        </w:rPr>
        <w:t>) that structures, scores, retrieves, explains, and statistically validates trading concepts — reusing existing pattern-detection (</w:t>
      </w:r>
      <w:r>
        <w:rPr>
          <w:rFonts w:ascii="Consolas" w:hAnsi="Consolas"/>
          <w:b w:val="0"/>
          <w:i w:val="0"/>
          <w:sz w:val="20"/>
        </w:rPr>
        <w:t>patterns/</w:t>
      </w:r>
      <w:r>
        <w:rPr>
          <w:rFonts w:ascii="Arial" w:hAnsi="Arial"/>
          <w:b w:val="0"/>
          <w:i w:val="0"/>
          <w:sz w:val="21"/>
        </w:rPr>
        <w:t>) and indicator (</w:t>
      </w:r>
      <w:r>
        <w:rPr>
          <w:rFonts w:ascii="Consolas" w:hAnsi="Consolas"/>
          <w:b w:val="0"/>
          <w:i w:val="0"/>
          <w:sz w:val="20"/>
        </w:rPr>
        <w:t>indicators/</w:t>
      </w:r>
      <w:r>
        <w:rPr>
          <w:rFonts w:ascii="Arial" w:hAnsi="Arial"/>
          <w:b w:val="0"/>
          <w:i w:val="0"/>
          <w:sz w:val="21"/>
        </w:rPr>
        <w:t>) modules rather than duplicating their math (</w:t>
      </w:r>
      <w:r>
        <w:rPr>
          <w:rFonts w:ascii="Consolas" w:hAnsi="Consolas"/>
          <w:b w:val="0"/>
          <w:i w:val="0"/>
          <w:sz w:val="20"/>
        </w:rPr>
        <w:t>AGENTS.md</w:t>
      </w:r>
      <w:r>
        <w:rPr>
          <w:rFonts w:ascii="Arial" w:hAnsi="Arial"/>
          <w:b w:val="0"/>
          <w:i w:val="0"/>
          <w:sz w:val="21"/>
        </w:rPr>
        <w:t xml:space="preserve"> "No Duplicate Business Logic"). Detection, setup-quality scoring, and trade eligibility remain three distinct, non-conflatable steps; a high setup-quality score never grants, skips, or shortcuts any TradeValidationPipeline stage (DS-ARC-011). AI involvement is limited to natural-language explanation, semantic retrieval, tutoring, and summarization — never a substitute for the deterministic scoring/validation.</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§31 (complete); DS-EDU-001/002 (DS-002); DS-ARC-011; DS-PRD-004</w:t>
      </w:r>
    </w:p>
    <w:p>
      <w:pPr>
        <w:spacing w:after="120" w:line="288" w:lineRule="auto"/>
      </w:pPr>
      <w:r>
        <w:rPr>
          <w:rFonts w:ascii="Arial" w:hAnsi="Arial"/>
          <w:b/>
          <w:i w:val="0"/>
          <w:sz w:val="21"/>
        </w:rPr>
        <w:t>Acceptance Criteria:</w:t>
      </w:r>
      <w:r>
        <w:rPr>
          <w:rFonts w:ascii="Arial" w:hAnsi="Arial"/>
          <w:b w:val="0"/>
          <w:i w:val="0"/>
          <w:sz w:val="21"/>
        </w:rPr>
        <w:t xml:space="preserve"> Deferred to Phase 5 authoring; the detection/quality/eligibility separation and local-first/deterministic-first principles are fixed now per </w:t>
      </w:r>
      <w:r>
        <w:rPr>
          <w:rFonts w:ascii="Consolas" w:hAnsi="Consolas"/>
          <w:b w:val="0"/>
          <w:i w:val="0"/>
          <w:sz w:val="20"/>
        </w:rPr>
        <w:t>ARCHITECTURE.md</w:t>
      </w:r>
      <w:r>
        <w:rPr>
          <w:rFonts w:ascii="Arial" w:hAnsi="Arial"/>
          <w:b w:val="0"/>
          <w:i w:val="0"/>
          <w:sz w:val="21"/>
        </w:rPr>
        <w:t xml:space="preserve"> §31's existing specification.</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Educational-source concepts (source, date, category, confidence, staleness, verification-required) are never presented as current authoritative fact without verification, and never exempted from the same statistical validation as any other strategy/pattern source (</w:t>
      </w:r>
      <w:r>
        <w:rPr>
          <w:rFonts w:ascii="Consolas" w:hAnsi="Consolas"/>
          <w:b w:val="0"/>
          <w:i w:val="0"/>
          <w:sz w:val="20"/>
        </w:rPr>
        <w:t>TRADING_RULES.md</w:t>
      </w:r>
      <w:r>
        <w:rPr>
          <w:rFonts w:ascii="Arial" w:hAnsi="Arial"/>
          <w:b w:val="0"/>
          <w:i w:val="0"/>
          <w:sz w:val="21"/>
        </w:rPr>
        <w:t>).</w:t>
      </w:r>
    </w:p>
    <w:p>
      <w:pPr>
        <w:spacing w:after="120" w:line="288" w:lineRule="auto"/>
      </w:pPr>
      <w:r>
        <w:rPr>
          <w:rFonts w:ascii="Arial" w:hAnsi="Arial"/>
          <w:b/>
          <w:i w:val="0"/>
          <w:sz w:val="21"/>
        </w:rPr>
        <w:t>Implementation Notes:</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§31 is the complete authoritative reference; this requirement exists to give it Codex traceability, not to redefine it.</w:t>
      </w:r>
    </w:p>
    <w:p>
      <w:pPr>
        <w:spacing w:after="120" w:line="288" w:lineRule="auto"/>
      </w:pPr>
      <w:r>
        <w:rPr>
          <w:rFonts w:ascii="Arial" w:hAnsi="Arial"/>
          <w:b/>
          <w:i w:val="0"/>
          <w:sz w:val="21"/>
        </w:rPr>
        <w:t>Testing:</w:t>
      </w:r>
      <w:r>
        <w:rPr>
          <w:rFonts w:ascii="Arial" w:hAnsi="Arial"/>
          <w:b w:val="0"/>
          <w:i w:val="0"/>
          <w:sz w:val="21"/>
        </w:rPr>
        <w:t xml:space="preserve"> Not yet applicable — Phase 5 exit criteria (</w:t>
      </w:r>
      <w:r>
        <w:rPr>
          <w:rFonts w:ascii="Consolas" w:hAnsi="Consolas"/>
          <w:b w:val="0"/>
          <w:i w:val="0"/>
          <w:sz w:val="20"/>
        </w:rPr>
        <w:t>ROADMAP.md</w:t>
      </w:r>
      <w:r>
        <w:rPr>
          <w:rFonts w:ascii="Arial" w:hAnsi="Arial"/>
          <w:b w:val="0"/>
          <w:i w:val="0"/>
          <w:sz w:val="21"/>
        </w:rPr>
        <w:t xml:space="preserve"> Phase 5).</w:t>
      </w:r>
    </w:p>
    <w:p>
      <w:pPr>
        <w:pStyle w:val="Heading1"/>
        <w:spacing w:before="480" w:after="240"/>
        <w:pBdr>
          <w:bottom w:val="single" w:sz="16" w:space="4" w:color="C8A45D"/>
        </w:pBdr>
      </w:pPr>
      <w:r>
        <w:rPr>
          <w:rFonts w:ascii="Arial" w:hAnsi="Arial"/>
          <w:b w:val="0"/>
          <w:i w:val="0"/>
          <w:color w:val="0B0B0D"/>
          <w:sz w:val="44"/>
        </w:rPr>
        <w:t>17. Non-Goals</w:t>
      </w:r>
    </w:p>
    <w:p>
      <w:pPr>
        <w:spacing w:after="120" w:line="288" w:lineRule="auto"/>
      </w:pPr>
      <w:r>
        <w:rPr>
          <w:rFonts w:ascii="Arial" w:hAnsi="Arial"/>
          <w:b w:val="0"/>
          <w:i w:val="0"/>
          <w:sz w:val="21"/>
        </w:rPr>
        <w:t xml:space="preserve">Consistent with </w:t>
      </w:r>
      <w:r>
        <w:rPr>
          <w:rFonts w:ascii="Consolas" w:hAnsi="Consolas"/>
          <w:b w:val="0"/>
          <w:i w:val="0"/>
          <w:sz w:val="20"/>
        </w:rPr>
        <w:t>AGENTS.md</w:t>
      </w:r>
      <w:r>
        <w:rPr>
          <w:rFonts w:ascii="Arial" w:hAnsi="Arial"/>
          <w:b w:val="0"/>
          <w:i w:val="0"/>
          <w:sz w:val="21"/>
        </w:rPr>
        <w:t xml:space="preserve"> "Scope Control," DS-004 does not authorize, without explicit separate approval:</w:t>
      </w:r>
    </w:p>
    <w:p>
      <w:pPr>
        <w:pStyle w:val="ListBullet"/>
        <w:spacing w:after="60"/>
      </w:pPr>
      <w:r>
        <w:rPr>
          <w:rFonts w:ascii="Arial" w:hAnsi="Arial"/>
          <w:b w:val="0"/>
          <w:i w:val="0"/>
          <w:sz w:val="21"/>
        </w:rPr>
        <w:t>replacing core frameworks (Electron/React/TypeScript, Python/FastAPI, SQLite) once adopted;</w:t>
      </w:r>
    </w:p>
    <w:p>
      <w:pPr>
        <w:pStyle w:val="ListBullet"/>
        <w:spacing w:after="60"/>
      </w:pPr>
      <w:r>
        <w:rPr>
          <w:rFonts w:ascii="Arial" w:hAnsi="Arial"/>
          <w:b w:val="0"/>
          <w:i w:val="0"/>
          <w:sz w:val="21"/>
        </w:rPr>
        <w:t>changing broker architecture;</w:t>
      </w:r>
    </w:p>
    <w:p>
      <w:pPr>
        <w:pStyle w:val="ListBullet"/>
        <w:spacing w:after="60"/>
      </w:pPr>
      <w:r>
        <w:rPr>
          <w:rFonts w:ascii="Arial" w:hAnsi="Arial"/>
          <w:b w:val="0"/>
          <w:i w:val="0"/>
          <w:sz w:val="21"/>
        </w:rPr>
        <w:t>changing database strategy (SQLite → PostgreSQL) ahead of its scheduled phase;</w:t>
      </w:r>
    </w:p>
    <w:p>
      <w:pPr>
        <w:pStyle w:val="ListBullet"/>
        <w:spacing w:after="60"/>
      </w:pPr>
      <w:r>
        <w:rPr>
          <w:rFonts w:ascii="Arial" w:hAnsi="Arial"/>
          <w:b w:val="0"/>
          <w:i w:val="0"/>
          <w:sz w:val="21"/>
        </w:rPr>
        <w:t>removing any safety system described in this document;</w:t>
      </w:r>
    </w:p>
    <w:p>
      <w:pPr>
        <w:pStyle w:val="ListBullet"/>
        <w:spacing w:after="60"/>
      </w:pPr>
      <w:r>
        <w:rPr>
          <w:rFonts w:ascii="Arial" w:hAnsi="Arial"/>
          <w:b w:val="0"/>
          <w:i w:val="0"/>
          <w:sz w:val="21"/>
        </w:rPr>
        <w:t>adding live trading capability;</w:t>
      </w:r>
    </w:p>
    <w:p>
      <w:pPr>
        <w:pStyle w:val="ListBullet"/>
        <w:spacing w:after="60"/>
      </w:pPr>
      <w:r>
        <w:rPr>
          <w:rFonts w:ascii="Arial" w:hAnsi="Arial"/>
          <w:b w:val="0"/>
          <w:i w:val="0"/>
          <w:sz w:val="21"/>
        </w:rPr>
        <w:t>adding paid dependencies or unnecessary cloud infrastructure.</w:t>
      </w:r>
    </w:p>
    <w:p>
      <w:pPr>
        <w:pStyle w:val="Heading1"/>
        <w:spacing w:before="480" w:after="240"/>
        <w:pBdr>
          <w:bottom w:val="single" w:sz="16" w:space="4" w:color="C8A45D"/>
        </w:pBdr>
      </w:pPr>
      <w:r>
        <w:rPr>
          <w:rFonts w:ascii="Arial" w:hAnsi="Arial"/>
          <w:b w:val="0"/>
          <w:i w:val="0"/>
          <w:color w:val="0B0B0D"/>
          <w:sz w:val="44"/>
        </w:rPr>
        <w:t>18. Dependencies</w:t>
      </w:r>
    </w:p>
    <w:p>
      <w:pPr>
        <w:pStyle w:val="ListBullet"/>
        <w:spacing w:after="60"/>
      </w:pPr>
      <w:r>
        <w:rPr>
          <w:rFonts w:ascii="Arial" w:hAnsi="Arial"/>
          <w:b w:val="0"/>
          <w:i w:val="0"/>
          <w:sz w:val="21"/>
        </w:rPr>
        <w:t>DS-001 — Executive Vision &amp; Product Foundation</w:t>
      </w:r>
    </w:p>
    <w:p>
      <w:pPr>
        <w:pStyle w:val="ListBullet"/>
        <w:spacing w:after="60"/>
      </w:pPr>
      <w:r>
        <w:rPr>
          <w:rFonts w:ascii="Arial" w:hAnsi="Arial"/>
          <w:b w:val="0"/>
          <w:i w:val="0"/>
          <w:sz w:val="21"/>
        </w:rPr>
        <w:t>DS-002 — Software Requirements Specification</w:t>
      </w:r>
      <w:r>
        <w:rPr>
          <w:rFonts w:ascii="Arial" w:hAnsi="Arial"/>
          <w:b w:val="0"/>
          <w:i w:val="0"/>
          <w:sz w:val="21"/>
        </w:rPr>
        <w:t xml:space="preserve">, including the </w:t>
      </w:r>
      <w:r>
        <w:rPr>
          <w:rFonts w:ascii="Consolas" w:hAnsi="Consolas"/>
          <w:b w:val="0"/>
          <w:i w:val="0"/>
          <w:sz w:val="20"/>
        </w:rPr>
        <w:t>DS-SIG</w:t>
      </w:r>
      <w:r>
        <w:rPr>
          <w:rFonts w:ascii="Arial" w:hAnsi="Arial"/>
          <w:b w:val="0"/>
          <w:i w:val="0"/>
          <w:sz w:val="21"/>
        </w:rPr>
        <w:t xml:space="preserve">, </w:t>
      </w:r>
      <w:r>
        <w:rPr>
          <w:rFonts w:ascii="Consolas" w:hAnsi="Consolas"/>
          <w:b w:val="0"/>
          <w:i w:val="0"/>
          <w:sz w:val="20"/>
        </w:rPr>
        <w:t>DS-EXE</w:t>
      </w:r>
      <w:r>
        <w:rPr>
          <w:rFonts w:ascii="Arial" w:hAnsi="Arial"/>
          <w:b w:val="0"/>
          <w:i w:val="0"/>
          <w:sz w:val="21"/>
        </w:rPr>
        <w:t xml:space="preserve">, </w:t>
      </w:r>
      <w:r>
        <w:rPr>
          <w:rFonts w:ascii="Consolas" w:hAnsi="Consolas"/>
          <w:b w:val="0"/>
          <w:i w:val="0"/>
          <w:sz w:val="20"/>
        </w:rPr>
        <w:t>DS-PERF</w:t>
      </w:r>
      <w:r>
        <w:rPr>
          <w:rFonts w:ascii="Arial" w:hAnsi="Arial"/>
          <w:b w:val="0"/>
          <w:i w:val="0"/>
          <w:sz w:val="21"/>
        </w:rPr>
        <w:t xml:space="preserve">, </w:t>
      </w:r>
      <w:r>
        <w:rPr>
          <w:rFonts w:ascii="Consolas" w:hAnsi="Consolas"/>
          <w:b w:val="0"/>
          <w:i w:val="0"/>
          <w:sz w:val="20"/>
        </w:rPr>
        <w:t>DS-MOB</w:t>
      </w:r>
      <w:r>
        <w:rPr>
          <w:rFonts w:ascii="Arial" w:hAnsi="Arial"/>
          <w:b w:val="0"/>
          <w:i w:val="0"/>
          <w:sz w:val="21"/>
        </w:rPr>
        <w:t xml:space="preserve"> families added in the DS-002-A03 repair</w:t>
      </w:r>
    </w:p>
    <w:p>
      <w:pPr>
        <w:pStyle w:val="ListBullet"/>
        <w:spacing w:after="60"/>
      </w:pPr>
      <w:r>
        <w:rPr>
          <w:rFonts w:ascii="Arial" w:hAnsi="Arial"/>
          <w:b w:val="0"/>
          <w:i w:val="0"/>
          <w:sz w:val="21"/>
        </w:rPr>
        <w:t>DS-003 — Sage AI Bible</w:t>
      </w:r>
    </w:p>
    <w:p>
      <w:pPr>
        <w:pStyle w:val="ListBullet"/>
        <w:spacing w:after="60"/>
      </w:pPr>
      <w:r>
        <w:rPr>
          <w:rFonts w:ascii="Arial" w:hAnsi="Arial"/>
          <w:b w:val="0"/>
          <w:i w:val="0"/>
          <w:sz w:val="21"/>
        </w:rPr>
        <w:t>ADR-001</w:t>
      </w:r>
      <w:r>
        <w:rPr>
          <w:rFonts w:ascii="Arial" w:hAnsi="Arial"/>
          <w:b w:val="0"/>
          <w:i w:val="0"/>
          <w:sz w:val="21"/>
        </w:rPr>
        <w:t xml:space="preserve"> through </w:t>
      </w:r>
      <w:r>
        <w:rPr>
          <w:rFonts w:ascii="Arial" w:hAnsi="Arial"/>
          <w:b w:val="0"/>
          <w:i w:val="0"/>
          <w:sz w:val="21"/>
        </w:rPr>
        <w:t>ADR-004</w:t>
      </w:r>
    </w:p>
    <w:p>
      <w:pPr>
        <w:pStyle w:val="ListBullet"/>
        <w:spacing w:after="60"/>
      </w:pPr>
      <w:r>
        <w:rPr>
          <w:rFonts w:ascii="Consolas" w:hAnsi="Consolas"/>
          <w:b w:val="0"/>
          <w:i w:val="0"/>
          <w:sz w:val="20"/>
        </w:rPr>
        <w:t>ARCHITECTURE.md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AGENTS.md</w:t>
      </w:r>
      <w:r>
        <w:rPr>
          <w:rFonts w:ascii="Arial" w:hAnsi="Arial"/>
          <w:b w:val="0"/>
          <w:i w:val="0"/>
          <w:sz w:val="21"/>
        </w:rPr>
        <w:t xml:space="preserve"> (repository root — primary source for this document)</w:t>
      </w:r>
    </w:p>
    <w:p>
      <w:pPr>
        <w:pStyle w:val="Heading1"/>
        <w:spacing w:before="480" w:after="240"/>
        <w:pBdr>
          <w:bottom w:val="single" w:sz="16" w:space="4" w:color="C8A45D"/>
        </w:pBdr>
      </w:pPr>
      <w:r>
        <w:rPr>
          <w:rFonts w:ascii="Arial" w:hAnsi="Arial"/>
          <w:b w:val="0"/>
          <w:i w:val="0"/>
          <w:color w:val="0B0B0D"/>
          <w:sz w:val="44"/>
        </w:rPr>
        <w:t>19. Risks and Constraints</w:t>
      </w:r>
    </w:p>
    <w:p>
      <w:pPr>
        <w:pStyle w:val="ListBullet"/>
        <w:spacing w:after="60"/>
      </w:pPr>
      <w:r>
        <w:rPr>
          <w:rFonts w:ascii="Arial" w:hAnsi="Arial"/>
          <w:b/>
          <w:i w:val="0"/>
          <w:sz w:val="21"/>
        </w:rPr>
        <w:t>Duplication risk:</w:t>
      </w:r>
      <w:r>
        <w:rPr>
          <w:rFonts w:ascii="Arial" w:hAnsi="Arial"/>
          <w:b w:val="0"/>
          <w:i w:val="0"/>
          <w:sz w:val="21"/>
        </w:rPr>
        <w:t xml:space="preserve"> the greatest risk to this document is drifting out of sync with </w:t>
      </w:r>
      <w:r>
        <w:rPr>
          <w:rFonts w:ascii="Consolas" w:hAnsi="Consolas"/>
          <w:b w:val="0"/>
          <w:i w:val="0"/>
          <w:sz w:val="20"/>
        </w:rPr>
        <w:t>ARCHITECTURE.md</w:t>
      </w:r>
      <w:r>
        <w:rPr>
          <w:rFonts w:ascii="Arial" w:hAnsi="Arial"/>
          <w:b w:val="0"/>
          <w:i w:val="0"/>
          <w:sz w:val="21"/>
        </w:rPr>
        <w:t xml:space="preserve"> if the two are edited independently. Mitigation: DS-004 requirements cite </w:t>
      </w:r>
      <w:r>
        <w:rPr>
          <w:rFonts w:ascii="Consolas" w:hAnsi="Consolas"/>
          <w:b w:val="0"/>
          <w:i w:val="0"/>
          <w:sz w:val="20"/>
        </w:rPr>
        <w:t>ARCHITECTURE.md</w:t>
      </w:r>
      <w:r>
        <w:rPr>
          <w:rFonts w:ascii="Arial" w:hAnsi="Arial"/>
          <w:b w:val="0"/>
          <w:i w:val="0"/>
          <w:sz w:val="21"/>
        </w:rPr>
        <w:t xml:space="preserve"> sections as Governing Source rather than re-deriving content, and any future architecture change should update both together.</w:t>
      </w:r>
    </w:p>
    <w:p>
      <w:pPr>
        <w:pStyle w:val="ListBullet"/>
        <w:spacing w:after="60"/>
      </w:pPr>
      <w:r>
        <w:rPr>
          <w:rFonts w:ascii="Arial" w:hAnsi="Arial"/>
          <w:b/>
          <w:i w:val="0"/>
          <w:sz w:val="21"/>
        </w:rPr>
        <w:t>Sequencing risk:</w:t>
      </w:r>
      <w:r>
        <w:rPr>
          <w:rFonts w:ascii="Arial" w:hAnsi="Arial"/>
          <w:b w:val="0"/>
          <w:i w:val="0"/>
          <w:sz w:val="21"/>
        </w:rPr>
        <w:t xml:space="preserve"> DS-004 is authored before DS-005/DS-006/DS-007/DS-008; several Implementation Notes delegate schema/API/UI/security detail forward, consistent with DS-002/DS-003's same pattern.</w:t>
      </w:r>
    </w:p>
    <w:p>
      <w:pPr>
        <w:pStyle w:val="ListBullet"/>
        <w:spacing w:after="60"/>
      </w:pPr>
      <w:r>
        <w:rPr>
          <w:rFonts w:ascii="Arial" w:hAnsi="Arial"/>
          <w:b/>
          <w:i w:val="0"/>
          <w:sz w:val="21"/>
        </w:rPr>
        <w:t>Classification discipline:</w:t>
      </w:r>
      <w:r>
        <w:rPr>
          <w:rFonts w:ascii="Arial" w:hAnsi="Arial"/>
          <w:b w:val="0"/>
          <w:i w:val="0"/>
          <w:sz w:val="21"/>
        </w:rPr>
        <w:t xml:space="preserve"> applied the same Committed/MVP eligibility test as DS-002/DS-003, now explicitly including </w:t>
      </w:r>
      <w:r>
        <w:rPr>
          <w:rFonts w:ascii="Consolas" w:hAnsi="Consolas"/>
          <w:b w:val="0"/>
          <w:i w:val="0"/>
          <w:sz w:val="20"/>
        </w:rPr>
        <w:t>ARCHITECTURE.md</w:t>
      </w:r>
      <w:r>
        <w:rPr>
          <w:rFonts w:ascii="Arial" w:hAnsi="Arial"/>
          <w:b w:val="0"/>
          <w:i w:val="0"/>
          <w:sz w:val="21"/>
        </w:rPr>
        <w:t>/</w:t>
      </w:r>
      <w:r>
        <w:rPr>
          <w:rFonts w:ascii="Consolas" w:hAnsi="Consolas"/>
          <w:b w:val="0"/>
          <w:i w:val="0"/>
          <w:sz w:val="20"/>
        </w:rPr>
        <w:t>PROJECT_SPEC.md</w:t>
      </w:r>
      <w:r>
        <w:rPr>
          <w:rFonts w:ascii="Arial" w:hAnsi="Arial"/>
          <w:b w:val="0"/>
          <w:i w:val="0"/>
          <w:sz w:val="21"/>
        </w:rPr>
        <w:t>/</w:t>
      </w:r>
      <w:r>
        <w:rPr>
          <w:rFonts w:ascii="Consolas" w:hAnsi="Consolas"/>
          <w:b w:val="0"/>
          <w:i w:val="0"/>
          <w:sz w:val="20"/>
        </w:rPr>
        <w:t>ROADMAP.md</w:t>
      </w:r>
      <w:r>
        <w:rPr>
          <w:rFonts w:ascii="Arial" w:hAnsi="Arial"/>
          <w:b w:val="0"/>
          <w:i w:val="0"/>
          <w:sz w:val="21"/>
        </w:rPr>
        <w:t xml:space="preserve"> as authoritative controlled sources per the DS-002 v0.4.0 reconciliation.</w:t>
      </w:r>
    </w:p>
    <w:p>
      <w:pPr>
        <w:pStyle w:val="Heading1"/>
        <w:spacing w:before="480" w:after="240"/>
        <w:pBdr>
          <w:bottom w:val="single" w:sz="16" w:space="4" w:color="C8A45D"/>
        </w:pBdr>
      </w:pPr>
      <w:r>
        <w:rPr>
          <w:rFonts w:ascii="Arial" w:hAnsi="Arial"/>
          <w:b w:val="0"/>
          <w:i w:val="0"/>
          <w:color w:val="0B0B0D"/>
          <w:sz w:val="44"/>
        </w:rPr>
        <w:t>20. Verification Approach</w:t>
      </w:r>
    </w:p>
    <w:p>
      <w:pPr>
        <w:spacing w:after="120" w:line="288" w:lineRule="auto"/>
      </w:pPr>
      <w:r>
        <w:rPr>
          <w:rFonts w:ascii="Arial" w:hAnsi="Arial"/>
          <w:b w:val="0"/>
          <w:i w:val="0"/>
          <w:sz w:val="21"/>
        </w:rPr>
        <w:t xml:space="preserve">Each DS-ARC requirement states its own Testing. </w:t>
      </w:r>
      <w:r>
        <w:rPr>
          <w:rFonts w:ascii="Consolas" w:hAnsi="Consolas"/>
          <w:b w:val="0"/>
          <w:i w:val="0"/>
          <w:sz w:val="20"/>
        </w:rPr>
        <w:t>scripts/verify-foundation.sh</w:t>
      </w:r>
      <w:r>
        <w:rPr>
          <w:rFonts w:ascii="Arial" w:hAnsi="Arial"/>
          <w:b w:val="0"/>
          <w:i w:val="0"/>
          <w:sz w:val="21"/>
        </w:rPr>
        <w:t xml:space="preserve"> already mechanically enforces the </w:t>
      </w:r>
      <w:r>
        <w:rPr>
          <w:rFonts w:ascii="Consolas" w:hAnsi="Consolas"/>
          <w:b w:val="0"/>
          <w:i w:val="0"/>
          <w:sz w:val="20"/>
        </w:rPr>
        <w:t>TradeValidationPipeline</w:t>
      </w:r>
      <w:r>
        <w:rPr>
          <w:rFonts w:ascii="Arial" w:hAnsi="Arial"/>
          <w:b w:val="0"/>
          <w:i w:val="0"/>
          <w:sz w:val="21"/>
        </w:rPr>
        <w:t xml:space="preserve">'s canonical-source consistency (DS-ARC-011) across </w:t>
      </w:r>
      <w:r>
        <w:rPr>
          <w:rFonts w:ascii="Consolas" w:hAnsi="Consolas"/>
          <w:b w:val="0"/>
          <w:i w:val="0"/>
          <w:sz w:val="20"/>
        </w:rPr>
        <w:t>ARCHITECTURE.md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and </w:t>
      </w:r>
      <w:r>
        <w:rPr>
          <w:rFonts w:ascii="Consolas" w:hAnsi="Consolas"/>
          <w:b w:val="0"/>
          <w:i w:val="0"/>
          <w:sz w:val="20"/>
        </w:rPr>
        <w:t>ROADMAP.md</w:t>
      </w:r>
      <w:r>
        <w:rPr>
          <w:rFonts w:ascii="Arial" w:hAnsi="Arial"/>
          <w:b w:val="0"/>
          <w:i w:val="0"/>
          <w:sz w:val="21"/>
        </w:rPr>
        <w:t xml:space="preserve">. Document-level verification (unique-ID check, cross-reference consistency, Release Classification consistency) is recorded in </w:t>
      </w:r>
      <w:r>
        <w:rPr>
          <w:rFonts w:ascii="Consolas" w:hAnsi="Consolas"/>
          <w:b w:val="0"/>
          <w:i w:val="0"/>
          <w:sz w:val="20"/>
        </w:rPr>
        <w:t>.ai-workflow/HANDOFF.md</w:t>
      </w:r>
      <w:r>
        <w:rPr>
          <w:rFonts w:ascii="Arial" w:hAnsi="Arial"/>
          <w:b w:val="0"/>
          <w:i w:val="0"/>
          <w:sz w:val="21"/>
        </w:rPr>
        <w:t xml:space="preserve"> for this task.</w:t>
      </w:r>
    </w:p>
    <w:p>
      <w:pPr>
        <w:pStyle w:val="Heading1"/>
        <w:spacing w:before="480" w:after="240"/>
        <w:pBdr>
          <w:bottom w:val="single" w:sz="16" w:space="4" w:color="C8A45D"/>
        </w:pBdr>
      </w:pPr>
      <w:r>
        <w:rPr>
          <w:rFonts w:ascii="Arial" w:hAnsi="Arial"/>
          <w:b w:val="0"/>
          <w:i w:val="0"/>
          <w:color w:val="0B0B0D"/>
          <w:sz w:val="44"/>
        </w:rPr>
        <w:t>21. References</w:t>
      </w:r>
    </w:p>
    <w:p>
      <w:pPr>
        <w:pStyle w:val="ListBullet"/>
        <w:spacing w:after="60"/>
      </w:pPr>
      <w:r>
        <w:rPr>
          <w:rFonts w:ascii="Consolas" w:hAnsi="Consolas"/>
          <w:b w:val="0"/>
          <w:i w:val="0"/>
          <w:sz w:val="20"/>
        </w:rPr>
        <w:t>docs/CODEX_INDEX.md</w:t>
      </w:r>
      <w:r>
        <w:rPr>
          <w:rFonts w:ascii="Arial" w:hAnsi="Arial"/>
          <w:b w:val="0"/>
          <w:i w:val="0"/>
          <w:sz w:val="21"/>
        </w:rPr>
        <w:t xml:space="preserve">, </w:t>
      </w:r>
      <w:r>
        <w:rPr>
          <w:rFonts w:ascii="Consolas" w:hAnsi="Consolas"/>
          <w:b w:val="0"/>
          <w:i w:val="0"/>
          <w:sz w:val="20"/>
        </w:rPr>
        <w:t>docs/standards/*</w:t>
      </w:r>
    </w:p>
    <w:p>
      <w:pPr>
        <w:pStyle w:val="ListBullet"/>
        <w:spacing w:after="60"/>
      </w:pPr>
      <w:r>
        <w:rPr>
          <w:rFonts w:ascii="Consolas" w:hAnsi="Consolas"/>
          <w:b w:val="0"/>
          <w:i w:val="0"/>
          <w:sz w:val="20"/>
        </w:rPr>
        <w:t>ARCHITECTURE.md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AGENTS.md</w:t>
      </w:r>
    </w:p>
    <w:p>
      <w:pPr>
        <w:pStyle w:val="ListBullet"/>
        <w:spacing w:after="60"/>
      </w:pPr>
      <w:r>
        <w:rPr>
          <w:rFonts w:ascii="Consolas" w:hAnsi="Consolas"/>
          <w:b w:val="0"/>
          <w:i w:val="0"/>
          <w:sz w:val="20"/>
        </w:rPr>
        <w:t>docs/pipeline-stages.txt</w:t>
      </w:r>
      <w:r>
        <w:rPr>
          <w:rFonts w:ascii="Arial" w:hAnsi="Arial"/>
          <w:b w:val="0"/>
          <w:i w:val="0"/>
          <w:sz w:val="21"/>
        </w:rPr>
        <w:t xml:space="preserve">, </w:t>
      </w:r>
      <w:r>
        <w:rPr>
          <w:rFonts w:ascii="Consolas" w:hAnsi="Consolas"/>
          <w:b w:val="0"/>
          <w:i w:val="0"/>
          <w:sz w:val="20"/>
        </w:rPr>
        <w:t>scripts/verify-foundation.sh</w:t>
      </w:r>
    </w:p>
    <w:p>
      <w:pPr>
        <w:pStyle w:val="ListBullet"/>
        <w:spacing w:after="60"/>
      </w:pPr>
      <w:r>
        <w:rPr>
          <w:rFonts w:ascii="Consolas" w:hAnsi="Consolas"/>
          <w:b w:val="0"/>
          <w:i w:val="0"/>
          <w:sz w:val="20"/>
        </w:rPr>
        <w:t>docs/codex/Volume-01-Foundation/DS-001-Executive-Vision.md</w:t>
      </w:r>
    </w:p>
    <w:p>
      <w:pPr>
        <w:pStyle w:val="ListBullet"/>
        <w:spacing w:after="60"/>
      </w:pPr>
      <w:r>
        <w:rPr>
          <w:rFonts w:ascii="Consolas" w:hAnsi="Consolas"/>
          <w:b w:val="0"/>
          <w:i w:val="0"/>
          <w:sz w:val="20"/>
        </w:rPr>
        <w:t>docs/codex/Volume-02-Product/DS-002-SRS.md</w:t>
      </w:r>
    </w:p>
    <w:p>
      <w:pPr>
        <w:pStyle w:val="ListBullet"/>
        <w:spacing w:after="60"/>
      </w:pPr>
      <w:r>
        <w:rPr>
          <w:rFonts w:ascii="Consolas" w:hAnsi="Consolas"/>
          <w:b w:val="0"/>
          <w:i w:val="0"/>
          <w:sz w:val="20"/>
        </w:rPr>
        <w:t>docs/codex/Volume-03-Sage/DS-003-Sage-AI-Bible.md</w:t>
      </w:r>
    </w:p>
    <w:p>
      <w:pPr>
        <w:pStyle w:val="ListBullet"/>
        <w:spacing w:after="60"/>
      </w:pPr>
      <w:r>
        <w:rPr>
          <w:rFonts w:ascii="Consolas" w:hAnsi="Consolas"/>
          <w:b w:val="0"/>
          <w:i w:val="0"/>
          <w:sz w:val="20"/>
        </w:rPr>
        <w:t>docs/codex/Volume-12-ADRs/ADR-001-Desktop-First-Application.md</w:t>
      </w:r>
      <w:r>
        <w:rPr>
          <w:rFonts w:ascii="Arial" w:hAnsi="Arial"/>
          <w:b w:val="0"/>
          <w:i w:val="0"/>
          <w:sz w:val="21"/>
        </w:rPr>
        <w:t xml:space="preserve"> through </w:t>
      </w:r>
      <w:r>
        <w:rPr>
          <w:rFonts w:ascii="Consolas" w:hAnsi="Consolas"/>
          <w:b w:val="0"/>
          <w:i w:val="0"/>
          <w:sz w:val="20"/>
        </w:rPr>
        <w:t>ADR-004-Presentation-Independence.md</w:t>
      </w:r>
    </w:p>
    <w:p>
      <w:pPr>
        <w:pStyle w:val="Heading1"/>
        <w:spacing w:before="480" w:after="240"/>
        <w:pBdr>
          <w:bottom w:val="single" w:sz="16" w:space="4" w:color="C8A45D"/>
        </w:pBdr>
      </w:pPr>
      <w:r>
        <w:rPr>
          <w:rFonts w:ascii="Arial" w:hAnsi="Arial"/>
          <w:b w:val="0"/>
          <w:i w:val="0"/>
          <w:color w:val="0B0B0D"/>
          <w:sz w:val="44"/>
        </w:rPr>
        <w:t>Appendix A — Open Questions</w:t>
      </w:r>
    </w:p>
    <w:p>
      <w:pPr>
        <w:pStyle w:val="ListNumber"/>
        <w:spacing w:after="60"/>
      </w:pPr>
      <w:r>
        <w:rPr>
          <w:rFonts w:ascii="Arial" w:hAnsi="Arial"/>
          <w:b/>
          <w:i w:val="0"/>
          <w:sz w:val="21"/>
        </w:rPr>
        <w:t>PostgreSQL/TimescaleDB migration trigger</w:t>
      </w:r>
      <w:r>
        <w:rPr>
          <w:rFonts w:ascii="Arial" w:hAnsi="Arial"/>
          <w:b w:val="0"/>
          <w:i w:val="0"/>
          <w:sz w:val="21"/>
        </w:rPr>
        <w:t xml:space="preserve"> — </w:t>
      </w:r>
      <w:r>
        <w:rPr>
          <w:rFonts w:ascii="Consolas" w:hAnsi="Consolas"/>
          <w:b w:val="0"/>
          <w:i w:val="0"/>
          <w:sz w:val="20"/>
        </w:rPr>
        <w:t>ARCHITECTURE.md</w:t>
      </w:r>
      <w:r>
        <w:rPr>
          <w:rFonts w:ascii="Arial" w:hAnsi="Arial"/>
          <w:b w:val="0"/>
          <w:i w:val="0"/>
          <w:sz w:val="21"/>
        </w:rPr>
        <w:t xml:space="preserve"> §20 says TimescaleDB only "if justified," without defining the trigger condition. Routine implementation detail, appropriately deferred to whenever Phase 12 begins, not an SRS-level blocker.</w:t>
      </w:r>
    </w:p>
    <w:p>
      <w:pPr>
        <w:pStyle w:val="ListNumber"/>
        <w:spacing w:after="60"/>
      </w:pPr>
      <w:r>
        <w:rPr>
          <w:rFonts w:ascii="Arial" w:hAnsi="Arial"/>
          <w:b/>
          <w:i w:val="0"/>
          <w:sz w:val="21"/>
        </w:rPr>
        <w:t>Live-trading hosting provider (Stage 3/4)</w:t>
      </w:r>
      <w:r>
        <w:rPr>
          <w:rFonts w:ascii="Arial" w:hAnsi="Arial"/>
          <w:b w:val="0"/>
          <w:i w:val="0"/>
          <w:sz w:val="21"/>
        </w:rPr>
        <w:t xml:space="preserve"> — not yet selected anywhere in the repository; genuinely unresolved but correctly out of current scope (Stage 4 is explicitly not committed).</w:t>
      </w:r>
    </w:p>
    <w:p>
      <w:pPr>
        <w:pStyle w:val="ListNumber"/>
        <w:spacing w:after="60"/>
      </w:pPr>
      <w:r>
        <w:rPr>
          <w:rFonts w:ascii="Arial" w:hAnsi="Arial"/>
          <w:b/>
          <w:i w:val="0"/>
          <w:sz w:val="21"/>
        </w:rPr>
        <w:t>DS-004 vs. `ARCHITECTURE.md` change-control process</w:t>
      </w:r>
      <w:r>
        <w:rPr>
          <w:rFonts w:ascii="Arial" w:hAnsi="Arial"/>
          <w:b w:val="0"/>
          <w:i w:val="0"/>
          <w:sz w:val="21"/>
        </w:rPr>
        <w:t xml:space="preserve"> — now that both exist, a future process decision is needed on whether </w:t>
      </w:r>
      <w:r>
        <w:rPr>
          <w:rFonts w:ascii="Consolas" w:hAnsi="Consolas"/>
          <w:b w:val="0"/>
          <w:i w:val="0"/>
          <w:sz w:val="20"/>
        </w:rPr>
        <w:t>ARCHITECTURE.md</w:t>
      </w:r>
      <w:r>
        <w:rPr>
          <w:rFonts w:ascii="Arial" w:hAnsi="Arial"/>
          <w:b w:val="0"/>
          <w:i w:val="0"/>
          <w:sz w:val="21"/>
        </w:rPr>
        <w:t xml:space="preserve"> remains independently editable or becomes fully subordinate to DS-004's Codex change-control (Draft → Under Review → Approved). Recorded here as a governance question for the owner; not resolved by this draft, and not blocking DS-004's own use in the interim (DS-004 cites </w:t>
      </w:r>
      <w:r>
        <w:rPr>
          <w:rFonts w:ascii="Consolas" w:hAnsi="Consolas"/>
          <w:b w:val="0"/>
          <w:i w:val="0"/>
          <w:sz w:val="20"/>
        </w:rPr>
        <w:t>ARCHITECTURE.md</w:t>
      </w:r>
      <w:r>
        <w:rPr>
          <w:rFonts w:ascii="Arial" w:hAnsi="Arial"/>
          <w:b w:val="0"/>
          <w:i w:val="0"/>
          <w:sz w:val="21"/>
        </w:rPr>
        <w:t>, so either document being current keeps them consistent).</w:t>
      </w:r>
    </w:p>
    <w:p>
      <w:pPr>
        <w:pStyle w:val="ListNumber"/>
        <w:spacing w:after="60"/>
      </w:pPr>
      <w:r>
        <w:rPr>
          <w:rFonts w:ascii="Arial" w:hAnsi="Arial"/>
          <w:b/>
          <w:i w:val="0"/>
          <w:sz w:val="21"/>
        </w:rPr>
        <w:t>Phase-to-classification mapping precision</w:t>
      </w:r>
      <w:r>
        <w:rPr>
          <w:rFonts w:ascii="Arial" w:hAnsi="Arial"/>
          <w:b w:val="0"/>
          <w:i w:val="0"/>
          <w:sz w:val="21"/>
        </w:rPr>
        <w:t xml:space="preserve"> — the DS-004-A01 repair mapped requirements to Committed/Planned based on the best reading of </w:t>
      </w:r>
      <w:r>
        <w:rPr>
          <w:rFonts w:ascii="Consolas" w:hAnsi="Consolas"/>
          <w:b w:val="0"/>
          <w:i w:val="0"/>
          <w:sz w:val="20"/>
        </w:rPr>
        <w:t>ROADMAP.md</w:t>
      </w:r>
      <w:r>
        <w:rPr>
          <w:rFonts w:ascii="Arial" w:hAnsi="Arial"/>
          <w:b w:val="0"/>
          <w:i w:val="0"/>
          <w:sz w:val="21"/>
        </w:rPr>
        <w:t xml:space="preserve">'s phase boundaries and </w:t>
      </w:r>
      <w:r>
        <w:rPr>
          <w:rFonts w:ascii="Consolas" w:hAnsi="Consolas"/>
          <w:b w:val="0"/>
          <w:i w:val="0"/>
          <w:sz w:val="20"/>
        </w:rPr>
        <w:t>AGENTS.md</w:t>
      </w:r>
      <w:r>
        <w:rPr>
          <w:rFonts w:ascii="Arial" w:hAnsi="Arial"/>
          <w:b w:val="0"/>
          <w:i w:val="0"/>
          <w:sz w:val="21"/>
        </w:rPr>
        <w:t xml:space="preserve">'s document-priority order where </w:t>
      </w:r>
      <w:r>
        <w:rPr>
          <w:rFonts w:ascii="Consolas" w:hAnsi="Consolas"/>
          <w:b w:val="0"/>
          <w:i w:val="0"/>
          <w:sz w:val="20"/>
        </w:rPr>
        <w:t>PROJECT_SPEC.md</w:t>
      </w:r>
      <w:r>
        <w:rPr>
          <w:rFonts w:ascii="Arial" w:hAnsi="Arial"/>
          <w:b w:val="0"/>
          <w:i w:val="0"/>
          <w:sz w:val="21"/>
        </w:rPr>
        <w:t xml:space="preserve"> and </w:t>
      </w:r>
      <w:r>
        <w:rPr>
          <w:rFonts w:ascii="Consolas" w:hAnsi="Consolas"/>
          <w:b w:val="0"/>
          <w:i w:val="0"/>
          <w:sz w:val="20"/>
        </w:rPr>
        <w:t>ROADMAP.md</w:t>
      </w:r>
      <w:r>
        <w:rPr>
          <w:rFonts w:ascii="Arial" w:hAnsi="Arial"/>
          <w:b w:val="0"/>
          <w:i w:val="0"/>
          <w:sz w:val="21"/>
        </w:rPr>
        <w:t xml:space="preserve"> differ in granularity (e.g., </w:t>
      </w:r>
      <w:r>
        <w:rPr>
          <w:rFonts w:ascii="Consolas" w:hAnsi="Consolas"/>
          <w:b w:val="0"/>
          <w:i w:val="0"/>
          <w:sz w:val="20"/>
        </w:rPr>
        <w:t>PROJECT_SPEC.md</w:t>
      </w:r>
      <w:r>
        <w:rPr>
          <w:rFonts w:ascii="Arial" w:hAnsi="Arial"/>
          <w:b w:val="0"/>
          <w:i w:val="0"/>
          <w:sz w:val="21"/>
        </w:rPr>
        <w:t xml:space="preserve"> §32's terse "Risk-engine foundation" Phase 1 mention vs. </w:t>
      </w:r>
      <w:r>
        <w:rPr>
          <w:rFonts w:ascii="Consolas" w:hAnsi="Consolas"/>
          <w:b w:val="0"/>
          <w:i w:val="0"/>
          <w:sz w:val="20"/>
        </w:rPr>
        <w:t>ROADMAP.md</w:t>
      </w:r>
      <w:r>
        <w:rPr>
          <w:rFonts w:ascii="Arial" w:hAnsi="Arial"/>
          <w:b w:val="0"/>
          <w:i w:val="0"/>
          <w:sz w:val="21"/>
        </w:rPr>
        <w:t>'s more detailed phase breakdown). This mapping is a defensible reading, not an owner-confirmed one; flagged for owner review alongside Open Question #3.</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v0.3.0 — Draft  |  Classification: Internal</w:t>
    </w:r>
  </w:p>
  <w:p>
    <w:pPr>
      <w:jc w:val="center"/>
    </w:pPr>
    <w:r>
      <w:rPr>
        <w:rFonts w:ascii="Consolas" w:hAnsi="Consolas"/>
        <w:color w:val="A7ABB3"/>
        <w:sz w:val="14"/>
      </w:rPr>
      <w:t>Generated from DS-004 v0.3.0 — baseline 34a65818d48f596122281075e18c6e5f36ec93b5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DS-004 — Technical Architecture</w:t>
    </w:r>
    <w:r>
      <w:tab/>
    </w:r>
    <w:r>
      <w:rPr>
        <w:rFonts w:ascii="Consolas" w:hAnsi="Consolas"/>
        <w:b/>
        <w:color w:val="C8A45D"/>
        <w:sz w:val="17"/>
      </w:rPr>
      <w:t>DS-004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