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Security Architecture</w:t>
            </w:r>
          </w:p>
          <w:p>
            <w:pPr>
              <w:spacing w:before="0" w:after="80"/>
              <w:jc w:val="center"/>
            </w:pPr>
            <w:r>
              <w:rPr>
                <w:rFonts w:ascii="Times New Roman" w:hAnsi="Times New Roman"/>
                <w:b w:val="0"/>
                <w:i w:val="0"/>
                <w:color w:val="A7ABB3"/>
                <w:sz w:val="24"/>
              </w:rPr>
              <w:t>Version 0.2.2 — Draft</w:t>
            </w:r>
          </w:p>
          <w:p>
            <w:pPr>
              <w:spacing w:before="0" w:after="80"/>
              <w:jc w:val="center"/>
            </w:pPr>
            <w:r>
              <w:rPr>
                <w:rFonts w:ascii="Times New Roman" w:hAnsi="Times New Roman"/>
                <w:b w:val="0"/>
                <w:i w:val="0"/>
                <w:color w:val="A7ABB3"/>
                <w:sz w:val="22"/>
              </w:rPr>
              <w:t>Owner: TheSinnerMan</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34a65818d48f596122281075e18c6e5f36ec93b5</w:t>
            </w:r>
          </w:p>
          <w:p>
            <w:pPr>
              <w:spacing w:before="0" w:after="40"/>
              <w:jc w:val="center"/>
            </w:pPr>
            <w:r>
              <w:rPr>
                <w:rFonts w:ascii="Consolas" w:hAnsi="Consolas"/>
                <w:b w:val="0"/>
                <w:i w:val="0"/>
                <w:color w:val="A7ABB3"/>
                <w:sz w:val="18"/>
              </w:rPr>
              <w:t>Generation date: 2026-07-25T13:31:10-04:00</w:t>
            </w:r>
          </w:p>
          <w:p>
            <w:pPr>
              <w:spacing w:before="0" w:after="40"/>
              <w:jc w:val="center"/>
            </w:pPr>
            <w:r>
              <w:rPr>
                <w:rFonts w:ascii="Consolas" w:hAnsi="Consolas"/>
                <w:b w:val="0"/>
                <w:i w:val="0"/>
                <w:color w:val="A7ABB3"/>
                <w:sz w:val="18"/>
              </w:rPr>
              <w:t>Document ID: DS-008</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DS-008</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Security Architecture</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0.2.2</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Draft</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TheSinnerMan</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2026-07-24</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2026-07-24</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0.1.0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First controlled draft, authored as part of the Batch 1 grouped pass (DS-007/DS-008/DS-009). Translates </w:t>
            </w:r>
            <w:r>
              <w:rPr>
                <w:rFonts w:ascii="Consolas" w:hAnsi="Consolas"/>
                <w:b w:val="0"/>
                <w:i w:val="0"/>
                <w:sz w:val="18"/>
              </w:rPr>
              <w:t>SECURITY_RULES.md</w:t>
            </w:r>
            <w:r>
              <w:rPr>
                <w:rFonts w:ascii="Arial" w:hAnsi="Arial"/>
                <w:b w:val="0"/>
                <w:i w:val="0"/>
                <w:sz w:val="19"/>
              </w:rPr>
              <w:t xml:space="preserve"> and DS-002's DS-SEC family, together with DS-004's security-relevant architecture (DS-ARC-015/019/021/022/024) and DS-006's session/authentication contracts (DS-API-COR-004/010), into a consolidated security architecture under the </w:t>
            </w:r>
            <w:r>
              <w:rPr>
                <w:rFonts w:ascii="Consolas" w:hAnsi="Consolas"/>
                <w:b w:val="0"/>
                <w:i w:val="0"/>
                <w:sz w:val="18"/>
              </w:rPr>
              <w:t>DS-SCA</w:t>
            </w:r>
            <w:r>
              <w:rPr>
                <w:rFonts w:ascii="Arial" w:hAnsi="Arial"/>
                <w:b w:val="0"/>
                <w:i w:val="0"/>
                <w:sz w:val="19"/>
              </w:rPr>
              <w:t xml:space="preserve"> prefix.</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Targeted repair for three independent-audit High findings, added as new §13a (appended after existing content to preserve requirement-ID document order, mirroring the DS-004 §16a repair precedent): </w:t>
            </w:r>
            <w:r>
              <w:rPr>
                <w:rFonts w:ascii="Arial" w:hAnsi="Arial"/>
                <w:b/>
                <w:i w:val="0"/>
                <w:sz w:val="19"/>
              </w:rPr>
              <w:t>H1</w:t>
            </w:r>
            <w:r>
              <w:rPr>
                <w:rFonts w:ascii="Arial" w:hAnsi="Arial"/>
                <w:b w:val="0"/>
                <w:i w:val="0"/>
                <w:sz w:val="19"/>
              </w:rPr>
              <w:t xml:space="preserve"> added </w:t>
            </w:r>
            <w:r>
              <w:rPr>
                <w:rFonts w:ascii="Consolas" w:hAnsi="Consolas"/>
                <w:b w:val="0"/>
                <w:i w:val="0"/>
                <w:sz w:val="18"/>
              </w:rPr>
              <w:t>DS-SCA-023</w:t>
            </w:r>
            <w:r>
              <w:rPr>
                <w:rFonts w:ascii="Arial" w:hAnsi="Arial"/>
                <w:b w:val="0"/>
                <w:i w:val="0"/>
                <w:sz w:val="19"/>
              </w:rPr>
              <w:t xml:space="preserve"> (Protected Assets, Threat Actors, and Trust Boundaries) and </w:t>
            </w:r>
            <w:r>
              <w:rPr>
                <w:rFonts w:ascii="Consolas" w:hAnsi="Consolas"/>
                <w:b w:val="0"/>
                <w:i w:val="0"/>
                <w:sz w:val="18"/>
              </w:rPr>
              <w:t>DS-SCA-024</w:t>
            </w:r>
            <w:r>
              <w:rPr>
                <w:rFonts w:ascii="Arial" w:hAnsi="Arial"/>
                <w:b w:val="0"/>
                <w:i w:val="0"/>
                <w:sz w:val="19"/>
              </w:rPr>
              <w:t xml:space="preserve"> (Material Threat Scenarios and Controls, a 10-row scenario/control/fail-safe/residual-risk table) making the threat model actionable, with a forward pointer added to DS-SCA-001. </w:t>
            </w:r>
            <w:r>
              <w:rPr>
                <w:rFonts w:ascii="Arial" w:hAnsi="Arial"/>
                <w:b/>
                <w:i w:val="0"/>
                <w:sz w:val="19"/>
              </w:rPr>
              <w:t>H2</w:t>
            </w:r>
            <w:r>
              <w:rPr>
                <w:rFonts w:ascii="Arial" w:hAnsi="Arial"/>
                <w:b w:val="0"/>
                <w:i w:val="0"/>
                <w:sz w:val="19"/>
              </w:rPr>
              <w:t xml:space="preserve"> added </w:t>
            </w:r>
            <w:r>
              <w:rPr>
                <w:rFonts w:ascii="Consolas" w:hAnsi="Consolas"/>
                <w:b w:val="0"/>
                <w:i w:val="0"/>
                <w:sz w:val="18"/>
              </w:rPr>
              <w:t>DS-SCA-025</w:t>
            </w:r>
            <w:r>
              <w:rPr>
                <w:rFonts w:ascii="Arial" w:hAnsi="Arial"/>
                <w:b w:val="0"/>
                <w:i w:val="0"/>
                <w:sz w:val="19"/>
              </w:rPr>
              <w:t xml:space="preserve"> (Audit-Log Integrity and Protection Architecture) — append-only/tamper-evident writes, authorized writer/reader boundaries, deterministic ordering, fail-closed-on-unavailable-audit behavior — without mandating a specific storage vendor. </w:t>
            </w:r>
            <w:r>
              <w:rPr>
                <w:rFonts w:ascii="Arial" w:hAnsi="Arial"/>
                <w:b/>
                <w:i w:val="0"/>
                <w:sz w:val="19"/>
              </w:rPr>
              <w:t>H3</w:t>
            </w:r>
            <w:r>
              <w:rPr>
                <w:rFonts w:ascii="Arial" w:hAnsi="Arial"/>
                <w:b w:val="0"/>
                <w:i w:val="0"/>
                <w:sz w:val="19"/>
              </w:rPr>
              <w:t xml:space="preserve"> added </w:t>
            </w:r>
            <w:r>
              <w:rPr>
                <w:rFonts w:ascii="Consolas" w:hAnsi="Consolas"/>
                <w:b w:val="0"/>
                <w:i w:val="0"/>
                <w:sz w:val="18"/>
              </w:rPr>
              <w:t>DS-SCA-026</w:t>
            </w:r>
            <w:r>
              <w:rPr>
                <w:rFonts w:ascii="Arial" w:hAnsi="Arial"/>
                <w:b w:val="0"/>
                <w:i w:val="0"/>
                <w:sz w:val="19"/>
              </w:rPr>
              <w:t xml:space="preserve"> (Security Incident Response Lifecycle) — a 10-step detection-through-post-incident-review lifecycle explicitly covering compromised sessions/credentials, suspected unauthorized trading, compromised update/dependency paths, audit-log integrity failures, malicious external data/integrations, and local-device compromise, preserving owner/user authority and requiring stronger validation before live-trading capability is restored. §14 Non-Goals updated to exclude operational-staffing/legal-response policy.</w:t>
            </w:r>
          </w:p>
        </w:tc>
      </w:tr>
      <w:tr>
        <w:tc>
          <w:tcPr>
            <w:tcW w:type="dxa" w:w="1008"/>
          </w:tcPr>
          <w:p>
            <w:pPr>
              <w:spacing w:after="80"/>
            </w:pPr>
            <w:r>
              <w:rPr>
                <w:rFonts w:ascii="Arial" w:hAnsi="Arial"/>
                <w:b w:val="0"/>
                <w:i w:val="0"/>
                <w:sz w:val="19"/>
              </w:rPr>
              <w:t>0.2.1</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Narrow repair for independent-audit finding DS-008-H2 (audit-log integrity verification): added </w:t>
            </w:r>
            <w:r>
              <w:rPr>
                <w:rFonts w:ascii="Consolas" w:hAnsi="Consolas"/>
                <w:b w:val="0"/>
                <w:i w:val="0"/>
                <w:sz w:val="18"/>
              </w:rPr>
              <w:t>DS-SCA-027</w:t>
            </w:r>
            <w:r>
              <w:rPr>
                <w:rFonts w:ascii="Arial" w:hAnsi="Arial"/>
                <w:b w:val="0"/>
                <w:i w:val="0"/>
                <w:sz w:val="19"/>
              </w:rPr>
              <w:t xml:space="preserve"> (Audit-Log Integrity Verification Contract, Committed/MVP) defining the deterministic detection behavior DS-SCA-025's append-only architecture required but did not itself specify — protected record set, integrity evidence for modification/reordering/truncation/selective-deletion/unauthorized-insertion, verification triggers (startup, pre-review, scheduled, post-fault), verification result states, fail-closed behavior, escalation into DS-SCA-026's incident lifecycle, evidence-preservation/repair boundaries, and an explicit prohibition on silently rebuilding audit history to hide a verification failure. Implementation-neutral — no vendor or cryptographic product mandated. DS-SCA-025 updated with a one-sentence pointer to DS-SCA-027; DS-SCA-026's audit-log-integrity-failure cross-reference updated to cite DS-SCA-027 as the detection/escalation mechanism.</w:t>
            </w:r>
          </w:p>
        </w:tc>
      </w:tr>
      <w:tr>
        <w:tc>
          <w:tcPr>
            <w:tcW w:type="dxa" w:w="1008"/>
          </w:tcPr>
          <w:p>
            <w:pPr>
              <w:spacing w:after="80"/>
            </w:pPr>
            <w:r>
              <w:rPr>
                <w:rFonts w:ascii="Arial" w:hAnsi="Arial"/>
                <w:b w:val="0"/>
                <w:i w:val="0"/>
                <w:sz w:val="19"/>
              </w:rPr>
              <w:t>0.2.2</w:t>
            </w:r>
          </w:p>
        </w:tc>
        <w:tc>
          <w:tcPr>
            <w:tcW w:type="dxa" w:w="1296"/>
          </w:tcPr>
          <w:p>
            <w:pPr>
              <w:spacing w:after="80"/>
            </w:pPr>
            <w:r>
              <w:rPr>
                <w:rFonts w:ascii="Arial" w:hAnsi="Arial"/>
                <w:b w:val="0"/>
                <w:i w:val="0"/>
                <w:sz w:val="19"/>
              </w:rPr>
              <w:t>2026-07-24</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 xml:space="preserve">Consolidated cleanup pass: added a Traceability note to </w:t>
            </w:r>
            <w:r>
              <w:rPr>
                <w:rFonts w:ascii="Consolas" w:hAnsi="Consolas"/>
                <w:b w:val="0"/>
                <w:i w:val="0"/>
                <w:sz w:val="18"/>
              </w:rPr>
              <w:t>DS-SCA-019</w:t>
            </w:r>
            <w:r>
              <w:rPr>
                <w:rFonts w:ascii="Arial" w:hAnsi="Arial"/>
                <w:b w:val="0"/>
                <w:i w:val="0"/>
                <w:sz w:val="19"/>
              </w:rPr>
              <w:t xml:space="preserve"> explicitly cross-referencing it to §13a's threat-scenario table (DS-SCA-024 row 8), protected-assets list, and trust-boundary list (DS-SCA-023), and noting that the update/distribution-mechanism grounding gap is recorded once (Appendix A #2) rather than restated inconsistently. Also recorded, rather than silently closed, that DS-009 currently has no corresponding tamper/signature-verification test for this requirement. No security architecture, fail-closed behavior, or classification was changed.</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pStyle w:val="Heading1"/>
        <w:spacing w:before="480" w:after="240"/>
        <w:pBdr>
          <w:bottom w:val="single" w:sz="16" w:space="4" w:color="C8A45D"/>
        </w:pBdr>
      </w:pPr>
      <w:r>
        <w:rPr>
          <w:rFonts w:ascii="Arial" w:hAnsi="Arial"/>
          <w:b w:val="0"/>
          <w:i w:val="0"/>
          <w:color w:val="0B0B0D"/>
          <w:sz w:val="44"/>
        </w:rPr>
        <w:t>1. Purpose</w:t>
      </w:r>
    </w:p>
    <w:p>
      <w:pPr>
        <w:spacing w:after="120" w:line="288" w:lineRule="auto"/>
      </w:pPr>
      <w:r>
        <w:rPr>
          <w:rFonts w:ascii="Arial" w:hAnsi="Arial"/>
          <w:b w:val="0"/>
          <w:i w:val="0"/>
          <w:sz w:val="21"/>
        </w:rPr>
        <w:t xml:space="preserve">DS-008 is the authoritative security architecture for DarkSage: the threat model, credential/secrets handling, authentication and authorization architecture, broker/trading safety controls, data protection, audit logging, supply-chain and update-integrity controls, and the process-level review requirements that apply to security-critical code. Where DS-002's DS-SEC family and </w:t>
      </w:r>
      <w:r>
        <w:rPr>
          <w:rFonts w:ascii="Consolas" w:hAnsi="Consolas"/>
          <w:b w:val="0"/>
          <w:i w:val="0"/>
          <w:sz w:val="20"/>
        </w:rPr>
        <w:t>SECURITY_RULES.md</w:t>
      </w:r>
      <w:r>
        <w:rPr>
          <w:rFonts w:ascii="Arial" w:hAnsi="Arial"/>
          <w:b w:val="0"/>
          <w:i w:val="0"/>
          <w:sz w:val="21"/>
        </w:rPr>
        <w:t xml:space="preserve"> state </w:t>
      </w:r>
      <w:r>
        <w:rPr>
          <w:rFonts w:ascii="Arial" w:hAnsi="Arial"/>
          <w:b w:val="0"/>
          <w:i/>
          <w:sz w:val="21"/>
        </w:rPr>
        <w:t>what</w:t>
      </w:r>
      <w:r>
        <w:rPr>
          <w:rFonts w:ascii="Arial" w:hAnsi="Arial"/>
          <w:b w:val="0"/>
          <w:i w:val="0"/>
          <w:sz w:val="21"/>
        </w:rPr>
        <w:t xml:space="preserve"> must hold, DS-008 states the </w:t>
      </w:r>
      <w:r>
        <w:rPr>
          <w:rFonts w:ascii="Arial" w:hAnsi="Arial"/>
          <w:b w:val="0"/>
          <w:i/>
          <w:sz w:val="21"/>
        </w:rPr>
        <w:t>architecture</w:t>
      </w:r>
      <w:r>
        <w:rPr>
          <w:rFonts w:ascii="Arial" w:hAnsi="Arial"/>
          <w:b w:val="0"/>
          <w:i w:val="0"/>
          <w:sz w:val="21"/>
        </w:rPr>
        <w:t xml:space="preserve"> that discharges those obligations, consistent with DS-004's already-approved boundaries and DS-006's already-approved API contracts — DS-008 does not redesign either.</w:t>
      </w:r>
    </w:p>
    <w:p>
      <w:pPr>
        <w:pStyle w:val="Heading1"/>
        <w:spacing w:before="480" w:after="240"/>
        <w:pBdr>
          <w:bottom w:val="single" w:sz="16" w:space="4" w:color="C8A45D"/>
        </w:pBdr>
      </w:pPr>
      <w:r>
        <w:rPr>
          <w:rFonts w:ascii="Arial" w:hAnsi="Arial"/>
          <w:b w:val="0"/>
          <w:i w:val="0"/>
          <w:color w:val="0B0B0D"/>
          <w:sz w:val="44"/>
        </w:rPr>
        <w:t>2. Scope</w:t>
      </w:r>
    </w:p>
    <w:p>
      <w:pPr>
        <w:spacing w:after="120" w:line="288" w:lineRule="auto"/>
      </w:pPr>
      <w:r>
        <w:rPr>
          <w:rFonts w:ascii="Arial" w:hAnsi="Arial"/>
          <w:b w:val="0"/>
          <w:i w:val="0"/>
          <w:sz w:val="21"/>
        </w:rPr>
        <w:t>This document governs:</w:t>
      </w:r>
    </w:p>
    <w:p>
      <w:pPr>
        <w:pStyle w:val="ListBullet"/>
        <w:spacing w:after="60"/>
      </w:pPr>
      <w:r>
        <w:rPr>
          <w:rFonts w:ascii="Arial" w:hAnsi="Arial"/>
          <w:b w:val="0"/>
          <w:i w:val="0"/>
          <w:sz w:val="21"/>
        </w:rPr>
        <w:t>the threat model and its boundary (desktop, mobile, backend, market-data/broker integrations, AI systems, databases, deployment, development agents, future live trading);</w:t>
      </w:r>
    </w:p>
    <w:p>
      <w:pPr>
        <w:pStyle w:val="ListBullet"/>
        <w:spacing w:after="60"/>
      </w:pPr>
      <w:r>
        <w:rPr>
          <w:rFonts w:ascii="Arial" w:hAnsi="Arial"/>
          <w:b w:val="0"/>
          <w:i w:val="0"/>
          <w:sz w:val="21"/>
        </w:rPr>
        <w:t>credential and secrets storage architecture, including AI provider and (future) broker credentials;</w:t>
      </w:r>
    </w:p>
    <w:p>
      <w:pPr>
        <w:pStyle w:val="ListBullet"/>
        <w:spacing w:after="60"/>
      </w:pPr>
      <w:r>
        <w:rPr>
          <w:rFonts w:ascii="Arial" w:hAnsi="Arial"/>
          <w:b w:val="0"/>
          <w:i w:val="0"/>
          <w:sz w:val="21"/>
        </w:rPr>
        <w:t>authentication, session lifecycle, and authorization architecture;</w:t>
      </w:r>
    </w:p>
    <w:p>
      <w:pPr>
        <w:pStyle w:val="ListBullet"/>
        <w:spacing w:after="60"/>
      </w:pPr>
      <w:r>
        <w:rPr>
          <w:rFonts w:ascii="Arial" w:hAnsi="Arial"/>
          <w:b w:val="0"/>
          <w:i w:val="0"/>
          <w:sz w:val="21"/>
        </w:rPr>
        <w:t>backend-enforcement and input-validation architecture;</w:t>
      </w:r>
    </w:p>
    <w:p>
      <w:pPr>
        <w:pStyle w:val="ListBullet"/>
        <w:spacing w:after="60"/>
      </w:pPr>
      <w:r>
        <w:rPr>
          <w:rFonts w:ascii="Arial" w:hAnsi="Arial"/>
          <w:b w:val="0"/>
          <w:i w:val="0"/>
          <w:sz w:val="21"/>
        </w:rPr>
        <w:t>broker/trading safety controls (order authorization, broker safety verification, reconciliation, fail-closed behavior, emergency controls) at the governance/architecture level;</w:t>
      </w:r>
    </w:p>
    <w:p>
      <w:pPr>
        <w:pStyle w:val="ListBullet"/>
        <w:spacing w:after="60"/>
      </w:pPr>
      <w:r>
        <w:rPr>
          <w:rFonts w:ascii="Arial" w:hAnsi="Arial"/>
          <w:b w:val="0"/>
          <w:i w:val="0"/>
          <w:sz w:val="21"/>
        </w:rPr>
        <w:t>local data protection, database security, and secure communication;</w:t>
      </w:r>
    </w:p>
    <w:p>
      <w:pPr>
        <w:pStyle w:val="ListBullet"/>
        <w:spacing w:after="60"/>
      </w:pPr>
      <w:r>
        <w:rPr>
          <w:rFonts w:ascii="Arial" w:hAnsi="Arial"/>
          <w:b w:val="0"/>
          <w:i w:val="0"/>
          <w:sz w:val="21"/>
        </w:rPr>
        <w:t>dependency, supply-chain, and application-update-integrity controls;</w:t>
      </w:r>
    </w:p>
    <w:p>
      <w:pPr>
        <w:pStyle w:val="ListBullet"/>
        <w:spacing w:after="60"/>
      </w:pPr>
      <w:r>
        <w:rPr>
          <w:rFonts w:ascii="Arial" w:hAnsi="Arial"/>
          <w:b w:val="0"/>
          <w:i w:val="0"/>
          <w:sz w:val="21"/>
        </w:rPr>
        <w:t>audit logging and security-event recording; and</w:t>
      </w:r>
    </w:p>
    <w:p>
      <w:pPr>
        <w:pStyle w:val="ListBullet"/>
        <w:spacing w:after="60"/>
      </w:pPr>
      <w:r>
        <w:rPr>
          <w:rFonts w:ascii="Arial" w:hAnsi="Arial"/>
          <w:b w:val="0"/>
          <w:i w:val="0"/>
          <w:sz w:val="21"/>
        </w:rPr>
        <w:t>process-level controls (independent review, development-agent constraints, the pre-live-trading security review gate).</w:t>
      </w:r>
    </w:p>
    <w:p>
      <w:pPr>
        <w:spacing w:after="120" w:line="288" w:lineRule="auto"/>
      </w:pPr>
      <w:r>
        <w:rPr>
          <w:rFonts w:ascii="Arial" w:hAnsi="Arial"/>
          <w:b w:val="0"/>
          <w:i w:val="0"/>
          <w:sz w:val="21"/>
        </w:rPr>
        <w:t>DS-008 does not govern: product-level feature commitments (DS-002), general technical architecture outside its security-relevant surface (DS-004 remains authoritative for that), database schema (DS-005), API request/response contracts (DS-006 remains authoritative for all callable client/backend behavior — DS-008 references DS-006's endpoints rather than redefining them), UI presentation (DS-007), or testing procedure (DS-009, which tests against the controls this document defines).</w:t>
      </w:r>
    </w:p>
    <w:p>
      <w:pPr>
        <w:pStyle w:val="Heading1"/>
        <w:spacing w:before="480" w:after="240"/>
        <w:pBdr>
          <w:bottom w:val="single" w:sz="16" w:space="4" w:color="C8A45D"/>
        </w:pBdr>
      </w:pPr>
      <w:r>
        <w:rPr>
          <w:rFonts w:ascii="Arial" w:hAnsi="Arial"/>
          <w:b w:val="0"/>
          <w:i w:val="0"/>
          <w:color w:val="0B0B0D"/>
          <w:sz w:val="44"/>
        </w:rPr>
        <w:t>3. Audience</w:t>
      </w:r>
    </w:p>
    <w:p>
      <w:pPr>
        <w:spacing w:after="120" w:line="288" w:lineRule="auto"/>
      </w:pPr>
      <w:r>
        <w:rPr>
          <w:rFonts w:ascii="Arial" w:hAnsi="Arial"/>
          <w:b w:val="0"/>
          <w:i w:val="0"/>
          <w:sz w:val="21"/>
        </w:rPr>
        <w:t>Backend/security contributors, independent auditors, and future Codex authors implementing or extending DarkSage's security controls.</w:t>
      </w:r>
    </w:p>
    <w:p>
      <w:pPr>
        <w:pStyle w:val="Heading1"/>
        <w:spacing w:before="480" w:after="240"/>
        <w:pBdr>
          <w:bottom w:val="single" w:sz="16" w:space="4" w:color="C8A45D"/>
        </w:pBdr>
      </w:pPr>
      <w:r>
        <w:rPr>
          <w:rFonts w:ascii="Arial" w:hAnsi="Arial"/>
          <w:b w:val="0"/>
          <w:i w:val="0"/>
          <w:color w:val="0B0B0D"/>
          <w:sz w:val="44"/>
        </w:rPr>
        <w:t>4. Definitions</w:t>
      </w:r>
    </w:p>
    <w:p>
      <w:pPr>
        <w:spacing w:after="120" w:line="288" w:lineRule="auto"/>
      </w:pPr>
      <w:r>
        <w:rPr>
          <w:rFonts w:ascii="Arial" w:hAnsi="Arial"/>
          <w:b w:val="0"/>
          <w:i w:val="0"/>
          <w:sz w:val="21"/>
        </w:rPr>
        <w:t>See DS-001 §24 and DS-002 §4. Additional terms: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Term</w:t>
            </w:r>
          </w:p>
        </w:tc>
        <w:tc>
          <w:tcPr>
            <w:tcW w:type="dxa" w:w="4680"/>
            <w:shd w:val="clear" w:color="auto" w:fill="17181C"/>
          </w:tcPr>
          <w:p>
            <w:r>
              <w:rPr>
                <w:rFonts w:ascii="Arial" w:hAnsi="Arial"/>
                <w:b/>
                <w:color w:val="F4F2EC"/>
                <w:sz w:val="19"/>
              </w:rPr>
              <w:t>Meaning</w:t>
            </w:r>
          </w:p>
        </w:tc>
      </w:tr>
      <w:tr>
        <w:tc>
          <w:tcPr>
            <w:tcW w:type="dxa" w:w="4680"/>
          </w:tcPr>
          <w:p>
            <w:pPr>
              <w:spacing w:after="60"/>
            </w:pPr>
            <w:r>
              <w:rPr>
                <w:rFonts w:ascii="Arial" w:hAnsi="Arial"/>
                <w:b w:val="0"/>
                <w:i w:val="0"/>
                <w:sz w:val="19"/>
              </w:rPr>
              <w:t>Fail closed</w:t>
            </w:r>
          </w:p>
        </w:tc>
        <w:tc>
          <w:tcPr>
            <w:tcW w:type="dxa" w:w="4680"/>
          </w:tcPr>
          <w:p>
            <w:pPr>
              <w:spacing w:after="60"/>
            </w:pPr>
            <w:r>
              <w:rPr>
                <w:rFonts w:ascii="Arial" w:hAnsi="Arial"/>
                <w:b w:val="0"/>
                <w:i w:val="0"/>
                <w:sz w:val="19"/>
              </w:rPr>
              <w:t>On uncertainty or failure of a security-relevant determination, the system defaults to blocking the action rather than allowing it (</w:t>
            </w:r>
            <w:r>
              <w:rPr>
                <w:rFonts w:ascii="Consolas" w:hAnsi="Consolas"/>
                <w:b w:val="0"/>
                <w:i w:val="0"/>
                <w:sz w:val="18"/>
              </w:rPr>
              <w:t>SECURITY_RULES.md</w:t>
            </w:r>
            <w:r>
              <w:rPr>
                <w:rFonts w:ascii="Arial" w:hAnsi="Arial"/>
                <w:b w:val="0"/>
                <w:i w:val="0"/>
                <w:sz w:val="19"/>
              </w:rPr>
              <w:t xml:space="preserve"> Core Security Rule)</w:t>
            </w:r>
          </w:p>
        </w:tc>
      </w:tr>
      <w:tr>
        <w:tc>
          <w:tcPr>
            <w:tcW w:type="dxa" w:w="4680"/>
          </w:tcPr>
          <w:p>
            <w:pPr>
              <w:spacing w:after="60"/>
            </w:pPr>
            <w:r>
              <w:rPr>
                <w:rFonts w:ascii="Arial" w:hAnsi="Arial"/>
                <w:b w:val="0"/>
                <w:i w:val="0"/>
                <w:sz w:val="19"/>
              </w:rPr>
              <w:t>Security-critical code</w:t>
            </w:r>
          </w:p>
        </w:tc>
        <w:tc>
          <w:tcPr>
            <w:tcW w:type="dxa" w:w="4680"/>
          </w:tcPr>
          <w:p>
            <w:pPr>
              <w:spacing w:after="60"/>
            </w:pPr>
            <w:r>
              <w:rPr>
                <w:rFonts w:ascii="Arial" w:hAnsi="Arial"/>
                <w:b w:val="0"/>
                <w:i w:val="0"/>
                <w:sz w:val="19"/>
              </w:rPr>
              <w:t xml:space="preserve">Code implementing the Risk Engine, Broker Adapter/execution, kill switch (Emergency Stop/Flatten), duplicate-order protection, broker reconciliation, authentication, authorization, or secret handling — the set </w:t>
            </w:r>
            <w:r>
              <w:rPr>
                <w:rFonts w:ascii="Consolas" w:hAnsi="Consolas"/>
                <w:b w:val="0"/>
                <w:i w:val="0"/>
                <w:sz w:val="18"/>
              </w:rPr>
              <w:t>SECURITY_RULES.md</w:t>
            </w:r>
            <w:r>
              <w:rPr>
                <w:rFonts w:ascii="Arial" w:hAnsi="Arial"/>
                <w:b w:val="0"/>
                <w:i w:val="0"/>
                <w:sz w:val="19"/>
              </w:rPr>
              <w:t xml:space="preserve"> "Independent Review" names</w:t>
            </w:r>
          </w:p>
        </w:tc>
      </w:tr>
      <w:tr>
        <w:tc>
          <w:tcPr>
            <w:tcW w:type="dxa" w:w="4680"/>
          </w:tcPr>
          <w:p>
            <w:pPr>
              <w:spacing w:after="60"/>
            </w:pPr>
            <w:r>
              <w:rPr>
                <w:rFonts w:ascii="Arial" w:hAnsi="Arial"/>
                <w:b w:val="0"/>
                <w:i w:val="0"/>
                <w:sz w:val="19"/>
              </w:rPr>
              <w:t>Governance boundary</w:t>
            </w:r>
          </w:p>
        </w:tc>
        <w:tc>
          <w:tcPr>
            <w:tcW w:type="dxa" w:w="4680"/>
          </w:tcPr>
          <w:p>
            <w:pPr>
              <w:spacing w:after="60"/>
            </w:pPr>
            <w:r>
              <w:rPr>
                <w:rFonts w:ascii="Arial" w:hAnsi="Arial"/>
                <w:b w:val="0"/>
                <w:i w:val="0"/>
                <w:sz w:val="19"/>
              </w:rPr>
              <w:t>A Committed/MVP constraint on future implementation (e.g., "no endpoint may bypass the pipeline") that is fixed now even though the implementation it constrains is Planned — the same pattern DS-EXE-001/DS-API-EXE-001 already establish</w:t>
            </w:r>
          </w:p>
        </w:tc>
      </w:tr>
    </w:tbl>
    <w:p>
      <w:pPr>
        <w:pStyle w:val="Heading1"/>
        <w:spacing w:before="480" w:after="240"/>
        <w:pBdr>
          <w:bottom w:val="single" w:sz="16" w:space="4" w:color="C8A45D"/>
        </w:pBdr>
      </w:pPr>
      <w:r>
        <w:rPr>
          <w:rFonts w:ascii="Arial" w:hAnsi="Arial"/>
          <w:b w:val="0"/>
          <w:i w:val="0"/>
          <w:color w:val="0B0B0D"/>
          <w:sz w:val="44"/>
        </w:rPr>
        <w:t>5. Threat Model</w:t>
      </w:r>
    </w:p>
    <w:p>
      <w:pPr>
        <w:pStyle w:val="Heading2"/>
        <w:spacing w:before="360" w:after="160"/>
        <w:pBdr>
          <w:bottom w:val="single" w:sz="8" w:space="4" w:color="C8A45D"/>
        </w:pBdr>
      </w:pPr>
      <w:r>
        <w:rPr>
          <w:rFonts w:ascii="Arial" w:hAnsi="Arial"/>
          <w:b w:val="0"/>
          <w:i w:val="0"/>
          <w:color w:val="17181C"/>
          <w:sz w:val="34"/>
        </w:rPr>
        <w:t>DS-SCA-001 — Threat Model Scope and Fail-Closed Default</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"Purpose," "Fail Closed," "Core Security Rule"</w:t>
      </w:r>
    </w:p>
    <w:p>
      <w:pPr>
        <w:spacing w:after="120" w:line="288" w:lineRule="auto"/>
      </w:pPr>
      <w:r>
        <w:rPr>
          <w:rFonts w:ascii="Arial" w:hAnsi="Arial"/>
          <w:b/>
          <w:i w:val="0"/>
          <w:sz w:val="21"/>
        </w:rPr>
        <w:t>Description:</w:t>
      </w:r>
      <w:r>
        <w:rPr>
          <w:rFonts w:ascii="Arial" w:hAnsi="Arial"/>
          <w:b w:val="0"/>
          <w:i w:val="0"/>
          <w:sz w:val="21"/>
        </w:rPr>
        <w:t xml:space="preserve"> DarkSage's threat model covers the desktop client, the (future) mobile client, backend services, market-data integrations, broker integrations, AI systems, databases, deployment infrastructure, development agents, and future live trading. Whenever critical uncertainty exists about system state (authentication unavailable, market data stale, broker mismatch, Risk Engine failure, database inconsistency, Permissions Engine unavailable), the system shall block new trades rather than guess. When convenience conflicts with protection of user money, credentials, trading authority, or account access, protection takes priority.</w:t>
      </w:r>
    </w:p>
    <w:p>
      <w:pPr>
        <w:spacing w:after="120" w:line="288" w:lineRule="auto"/>
      </w:pPr>
      <w:r>
        <w:rPr>
          <w:rFonts w:ascii="Arial" w:hAnsi="Arial"/>
          <w:b w:val="0"/>
          <w:i w:val="0"/>
          <w:sz w:val="21"/>
        </w:rPr>
        <w:t>The concrete protected-asset catalog, threat-actor list, trust-boundary list, and material threat-scenario/control table this threat model covers are detailed in §13a (</w:t>
      </w:r>
      <w:r>
        <w:rPr>
          <w:rFonts w:ascii="Consolas" w:hAnsi="Consolas"/>
          <w:b w:val="0"/>
          <w:i w:val="0"/>
          <w:sz w:val="20"/>
        </w:rPr>
        <w:t>DS-SCA-023</w:t>
      </w:r>
      <w:r>
        <w:rPr>
          <w:rFonts w:ascii="Arial" w:hAnsi="Arial"/>
          <w:b w:val="0"/>
          <w:i w:val="0"/>
          <w:sz w:val="21"/>
        </w:rPr>
        <w:t>/</w:t>
      </w:r>
      <w:r>
        <w:rPr>
          <w:rFonts w:ascii="Consolas" w:hAnsi="Consolas"/>
          <w:b w:val="0"/>
          <w:i w:val="0"/>
          <w:sz w:val="20"/>
        </w:rPr>
        <w:t>DS-SCA-024</w:t>
      </w:r>
      <w:r>
        <w:rPr>
          <w:rFonts w:ascii="Arial" w:hAnsi="Arial"/>
          <w:b w:val="0"/>
          <w:i w:val="0"/>
          <w:sz w:val="21"/>
        </w:rPr>
        <w:t>, added in the DS-008-H1 repair) rather than restated here, so this section states the model's scope and default posture once, without duplicating the actionable detail.</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security-relevant determination in this document states its fail-closed behavior explicitly, not by omission.</w:t>
      </w:r>
    </w:p>
    <w:p>
      <w:pPr>
        <w:pStyle w:val="ListBullet"/>
        <w:spacing w:after="60"/>
      </w:pPr>
      <w:r>
        <w:rPr>
          <w:rFonts w:ascii="Arial" w:hAnsi="Arial"/>
          <w:b w:val="0"/>
          <w:i w:val="0"/>
          <w:sz w:val="21"/>
        </w:rPr>
        <w:t>No Committed/MVP or Planned requirement in this Codex authorizes a fail-open default for a listed uncertainty condition.</w:t>
      </w:r>
    </w:p>
    <w:p>
      <w:pPr>
        <w:spacing w:after="120" w:line="288" w:lineRule="auto"/>
      </w:pPr>
      <w:r>
        <w:rPr>
          <w:rFonts w:ascii="Arial" w:hAnsi="Arial"/>
          <w:b/>
          <w:i w:val="0"/>
          <w:sz w:val="21"/>
        </w:rPr>
        <w:t>Testing:</w:t>
      </w:r>
      <w:r>
        <w:rPr>
          <w:rFonts w:ascii="Arial" w:hAnsi="Arial"/>
          <w:b w:val="0"/>
          <w:i w:val="0"/>
          <w:sz w:val="21"/>
        </w:rPr>
        <w:t xml:space="preserve"> Fail-closed adversarial test per listed uncertainty condition, once its underlying system exists.</w:t>
      </w:r>
    </w:p>
    <w:p>
      <w:pPr>
        <w:pStyle w:val="Heading1"/>
        <w:spacing w:before="480" w:after="240"/>
        <w:pBdr>
          <w:bottom w:val="single" w:sz="16" w:space="4" w:color="C8A45D"/>
        </w:pBdr>
      </w:pPr>
      <w:r>
        <w:rPr>
          <w:rFonts w:ascii="Arial" w:hAnsi="Arial"/>
          <w:b w:val="0"/>
          <w:i w:val="0"/>
          <w:color w:val="0B0B0D"/>
          <w:sz w:val="44"/>
        </w:rPr>
        <w:t>6. Credential and Secrets Architecture</w:t>
      </w:r>
    </w:p>
    <w:p>
      <w:pPr>
        <w:pStyle w:val="Heading2"/>
        <w:spacing w:before="360" w:after="160"/>
        <w:pBdr>
          <w:bottom w:val="single" w:sz="8" w:space="4" w:color="C8A45D"/>
        </w:pBdr>
      </w:pPr>
      <w:r>
        <w:rPr>
          <w:rFonts w:ascii="Arial" w:hAnsi="Arial"/>
          <w:b w:val="0"/>
          <w:i w:val="0"/>
          <w:color w:val="17181C"/>
          <w:sz w:val="34"/>
        </w:rPr>
        <w:t>DS-SCA-002 — Credential and Secrets Storage Architecture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DS-SEC-001 (Committed); </w:t>
      </w:r>
      <w:r>
        <w:rPr>
          <w:rFonts w:ascii="Consolas" w:hAnsi="Consolas"/>
          <w:b w:val="0"/>
          <w:i w:val="0"/>
          <w:sz w:val="20"/>
        </w:rPr>
        <w:t>SECURITY_RULES.md</w:t>
      </w:r>
      <w:r>
        <w:rPr>
          <w:rFonts w:ascii="Arial" w:hAnsi="Arial"/>
          <w:b w:val="0"/>
          <w:i w:val="0"/>
          <w:sz w:val="21"/>
        </w:rPr>
        <w:t xml:space="preserve"> "Secrets"</w:t>
      </w:r>
    </w:p>
    <w:p>
      <w:pPr>
        <w:spacing w:after="120" w:line="288" w:lineRule="auto"/>
      </w:pPr>
      <w:r>
        <w:rPr>
          <w:rFonts w:ascii="Arial" w:hAnsi="Arial"/>
          <w:b/>
          <w:i w:val="0"/>
          <w:sz w:val="21"/>
        </w:rPr>
        <w:t>Description:</w:t>
      </w:r>
      <w:r>
        <w:rPr>
          <w:rFonts w:ascii="Arial" w:hAnsi="Arial"/>
          <w:b w:val="0"/>
          <w:i w:val="0"/>
          <w:sz w:val="21"/>
        </w:rPr>
        <w:t xml:space="preserve"> DarkSage shall never commit API keys, broker credentials, access/refresh tokens, passwords, private keys, database passwords, cloud credentials, or signing secrets to source control, and shall never expose them in logs, exports, error messages, README files, issues, test fixtures, screenshots, or client-visible output. Production credentials shall use OS-appropriate secure storage (e.g., Windows Credential Manager, macOS Keychain) or an encrypted secrets vault; development may use </w:t>
      </w:r>
      <w:r>
        <w:rPr>
          <w:rFonts w:ascii="Consolas" w:hAnsi="Consolas"/>
          <w:b w:val="0"/>
          <w:i w:val="0"/>
          <w:sz w:val="20"/>
        </w:rPr>
        <w:t>.env</w:t>
      </w:r>
      <w:r>
        <w:rPr>
          <w:rFonts w:ascii="Arial" w:hAnsi="Arial"/>
          <w:b w:val="0"/>
          <w:i w:val="0"/>
          <w:sz w:val="21"/>
        </w:rPr>
        <w:t xml:space="preserve"> files excluded by </w:t>
      </w:r>
      <w:r>
        <w:rPr>
          <w:rFonts w:ascii="Consolas" w:hAnsi="Consolas"/>
          <w:b w:val="0"/>
          <w:i w:val="0"/>
          <w:sz w:val="20"/>
        </w:rPr>
        <w:t>.gitignore</w:t>
      </w:r>
      <w:r>
        <w:rPr>
          <w:rFonts w:ascii="Arial" w:hAnsi="Arial"/>
          <w:b w:val="0"/>
          <w:i w:val="0"/>
          <w:sz w:val="21"/>
        </w:rPr>
        <w:t>.</w:t>
      </w:r>
    </w:p>
    <w:p>
      <w:pPr>
        <w:spacing w:after="120" w:line="288" w:lineRule="auto"/>
      </w:pPr>
      <w:r>
        <w:rPr>
          <w:rFonts w:ascii="Arial" w:hAnsi="Arial"/>
          <w:b/>
          <w:i w:val="0"/>
          <w:sz w:val="21"/>
        </w:rPr>
        <w:t>Acceptance Criteria:</w:t>
      </w:r>
      <w:r>
        <w:rPr>
          <w:rFonts w:ascii="Arial" w:hAnsi="Arial"/>
          <w:b w:val="0"/>
          <w:i w:val="0"/>
          <w:sz w:val="21"/>
        </w:rPr>
        <w:t xml:space="preserve"> Matches DS-SEC-001's acceptance criteria exactly; </w:t>
      </w:r>
      <w:r>
        <w:rPr>
          <w:rFonts w:ascii="Consolas" w:hAnsi="Consolas"/>
          <w:b w:val="0"/>
          <w:i w:val="0"/>
          <w:sz w:val="20"/>
        </w:rPr>
        <w:t>.gitignore</w:t>
      </w:r>
      <w:r>
        <w:rPr>
          <w:rFonts w:ascii="Arial" w:hAnsi="Arial"/>
          <w:b w:val="0"/>
          <w:i w:val="0"/>
          <w:sz w:val="21"/>
        </w:rPr>
        <w:t xml:space="preserve"> excludes, at minimum, </w:t>
      </w:r>
      <w:r>
        <w:rPr>
          <w:rFonts w:ascii="Consolas" w:hAnsi="Consolas"/>
          <w:b w:val="0"/>
          <w:i w:val="0"/>
          <w:sz w:val="20"/>
        </w:rPr>
        <w:t>.env</w:t>
      </w:r>
      <w:r>
        <w:rPr>
          <w:rFonts w:ascii="Arial" w:hAnsi="Arial"/>
          <w:b w:val="0"/>
          <w:i w:val="0"/>
          <w:sz w:val="21"/>
        </w:rPr>
        <w:t xml:space="preserve">, </w:t>
      </w:r>
      <w:r>
        <w:rPr>
          <w:rFonts w:ascii="Consolas" w:hAnsi="Consolas"/>
          <w:b w:val="0"/>
          <w:i w:val="0"/>
          <w:sz w:val="20"/>
        </w:rPr>
        <w:t>.env.*</w:t>
      </w:r>
      <w:r>
        <w:rPr>
          <w:rFonts w:ascii="Arial" w:hAnsi="Arial"/>
          <w:b w:val="0"/>
          <w:i w:val="0"/>
          <w:sz w:val="21"/>
        </w:rPr>
        <w:t>, secret files, credentials, local databases where appropriate, build artifacts, dependency directories, and private keys (</w:t>
      </w:r>
      <w:r>
        <w:rPr>
          <w:rFonts w:ascii="Consolas" w:hAnsi="Consolas"/>
          <w:b w:val="0"/>
          <w:i w:val="0"/>
          <w:sz w:val="20"/>
        </w:rPr>
        <w:t>SECURITY_RULES.md</w:t>
      </w:r>
      <w:r>
        <w:rPr>
          <w:rFonts w:ascii="Arial" w:hAnsi="Arial"/>
          <w:b w:val="0"/>
          <w:i w:val="0"/>
          <w:sz w:val="21"/>
        </w:rPr>
        <w:t xml:space="preserve"> "Git Security").</w:t>
      </w:r>
    </w:p>
    <w:p>
      <w:pPr>
        <w:spacing w:after="120" w:line="288" w:lineRule="auto"/>
      </w:pPr>
      <w:r>
        <w:rPr>
          <w:rFonts w:ascii="Arial" w:hAnsi="Arial"/>
          <w:b/>
          <w:i w:val="0"/>
          <w:sz w:val="21"/>
        </w:rPr>
        <w:t>Testing:</w:t>
      </w:r>
      <w:r>
        <w:rPr>
          <w:rFonts w:ascii="Arial" w:hAnsi="Arial"/>
          <w:b w:val="0"/>
          <w:i w:val="0"/>
          <w:sz w:val="21"/>
        </w:rPr>
        <w:t xml:space="preserve"> Log/export/secret-scanning test confirming absence of secret values across Committed/MVP surfaces (</w:t>
      </w:r>
      <w:r>
        <w:rPr>
          <w:rFonts w:ascii="Consolas" w:hAnsi="Consolas"/>
          <w:b w:val="0"/>
          <w:i w:val="0"/>
          <w:sz w:val="20"/>
        </w:rPr>
        <w:t>docs/secret-scanning.md</w:t>
      </w:r>
      <w:r>
        <w:rPr>
          <w:rFonts w:ascii="Arial" w:hAnsi="Arial"/>
          <w:b w:val="0"/>
          <w:i w:val="0"/>
          <w:sz w:val="21"/>
        </w:rPr>
        <w:t>), shared with DS-SEC-001's own test.</w:t>
      </w:r>
    </w:p>
    <w:p>
      <w:pPr>
        <w:pStyle w:val="Heading2"/>
        <w:spacing w:before="360" w:after="160"/>
        <w:pBdr>
          <w:bottom w:val="single" w:sz="8" w:space="4" w:color="C8A45D"/>
        </w:pBdr>
      </w:pPr>
      <w:r>
        <w:rPr>
          <w:rFonts w:ascii="Arial" w:hAnsi="Arial"/>
          <w:b w:val="0"/>
          <w:i w:val="0"/>
          <w:color w:val="17181C"/>
          <w:sz w:val="34"/>
        </w:rPr>
        <w:t>DS-SCA-003 — AI Provider Credential Handling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DS-ARC-015 (Committed); </w:t>
      </w:r>
      <w:r>
        <w:rPr>
          <w:rFonts w:ascii="Consolas" w:hAnsi="Consolas"/>
          <w:b w:val="0"/>
          <w:i w:val="0"/>
          <w:sz w:val="20"/>
        </w:rPr>
        <w:t>SECURITY_RULES.md</w:t>
      </w:r>
      <w:r>
        <w:rPr>
          <w:rFonts w:ascii="Arial" w:hAnsi="Arial"/>
          <w:b w:val="0"/>
          <w:i w:val="0"/>
          <w:sz w:val="21"/>
        </w:rPr>
        <w:t xml:space="preserve"> "AI Privacy and Provider Credentials"</w:t>
      </w:r>
    </w:p>
    <w:p>
      <w:pPr>
        <w:spacing w:after="120" w:line="288" w:lineRule="auto"/>
      </w:pPr>
      <w:r>
        <w:rPr>
          <w:rFonts w:ascii="Arial" w:hAnsi="Arial"/>
          <w:b/>
          <w:i w:val="0"/>
          <w:sz w:val="21"/>
        </w:rPr>
        <w:t>Description:</w:t>
      </w:r>
      <w:r>
        <w:rPr>
          <w:rFonts w:ascii="Arial" w:hAnsi="Arial"/>
          <w:b w:val="0"/>
          <w:i w:val="0"/>
          <w:sz w:val="21"/>
        </w:rPr>
        <w:t xml:space="preserve"> This requirement restates DS-ARC-015's architecture as a security-architecture control rather than redefining it: AI provider API keys are never committed, logged, or exposed in frontend/client source; production keys use OS credential storage or an encrypted vault; a key is never sent to a provider other than the one the user configured it for; and a stored key is never redisplayed in full once saved. Local and cloud AI shall not receive credentials or unnecessary sensitive account data.</w:t>
      </w:r>
    </w:p>
    <w:p>
      <w:pPr>
        <w:spacing w:after="120" w:line="288" w:lineRule="auto"/>
      </w:pPr>
      <w:r>
        <w:rPr>
          <w:rFonts w:ascii="Arial" w:hAnsi="Arial"/>
          <w:b/>
          <w:i w:val="0"/>
          <w:sz w:val="21"/>
        </w:rPr>
        <w:t>Acceptance Criteria:</w:t>
      </w:r>
      <w:r>
        <w:rPr>
          <w:rFonts w:ascii="Arial" w:hAnsi="Arial"/>
          <w:b w:val="0"/>
          <w:i w:val="0"/>
          <w:sz w:val="21"/>
        </w:rPr>
        <w:t xml:space="preserve"> Matches DS-ARC-015's acceptance criteria exactly.</w:t>
      </w:r>
    </w:p>
    <w:p>
      <w:pPr>
        <w:spacing w:after="120" w:line="288" w:lineRule="auto"/>
      </w:pPr>
      <w:r>
        <w:rPr>
          <w:rFonts w:ascii="Arial" w:hAnsi="Arial"/>
          <w:b/>
          <w:i w:val="0"/>
          <w:sz w:val="21"/>
        </w:rPr>
        <w:t>Testing:</w:t>
      </w:r>
      <w:r>
        <w:rPr>
          <w:rFonts w:ascii="Arial" w:hAnsi="Arial"/>
          <w:b w:val="0"/>
          <w:i w:val="0"/>
          <w:sz w:val="21"/>
        </w:rPr>
        <w:t xml:space="preserve"> Secret-scanning test; credential-exposure audit across frontend build output (shared with DS-ARC-015's own test).</w:t>
      </w:r>
    </w:p>
    <w:p>
      <w:pPr>
        <w:pStyle w:val="Heading1"/>
        <w:spacing w:before="480" w:after="240"/>
        <w:pBdr>
          <w:bottom w:val="single" w:sz="16" w:space="4" w:color="C8A45D"/>
        </w:pBdr>
      </w:pPr>
      <w:r>
        <w:rPr>
          <w:rFonts w:ascii="Arial" w:hAnsi="Arial"/>
          <w:b w:val="0"/>
          <w:i w:val="0"/>
          <w:color w:val="0B0B0D"/>
          <w:sz w:val="44"/>
        </w:rPr>
        <w:t>7. Authentication and Authorization Architecture</w:t>
      </w:r>
    </w:p>
    <w:p>
      <w:pPr>
        <w:pStyle w:val="Heading2"/>
        <w:spacing w:before="360" w:after="160"/>
        <w:pBdr>
          <w:bottom w:val="single" w:sz="8" w:space="4" w:color="C8A45D"/>
        </w:pBdr>
      </w:pPr>
      <w:r>
        <w:rPr>
          <w:rFonts w:ascii="Arial" w:hAnsi="Arial"/>
          <w:b w:val="0"/>
          <w:i w:val="0"/>
          <w:color w:val="17181C"/>
          <w:sz w:val="34"/>
        </w:rPr>
        <w:t>DS-SCA-004 — Session Lifecycle Security Architecture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"Session Management"; DS-API-COR-010 (DS-006, Committed)</w:t>
      </w:r>
    </w:p>
    <w:p>
      <w:pPr>
        <w:spacing w:after="120" w:line="288" w:lineRule="auto"/>
      </w:pPr>
      <w:r>
        <w:rPr>
          <w:rFonts w:ascii="Arial" w:hAnsi="Arial"/>
          <w:b/>
          <w:i w:val="0"/>
          <w:sz w:val="21"/>
        </w:rPr>
        <w:t>Description:</w:t>
      </w:r>
      <w:r>
        <w:rPr>
          <w:rFonts w:ascii="Arial" w:hAnsi="Arial"/>
          <w:b w:val="0"/>
          <w:i w:val="0"/>
          <w:sz w:val="21"/>
        </w:rPr>
        <w:t xml:space="preserve"> This requirement is the security-architecture instantiation of DS-API-COR-010, which DS-008 does not redefine: sessions support expiration, logout, revocation (one or all), secure refresh, and device/session visibility, exposed through </w:t>
      </w:r>
      <w:r>
        <w:rPr>
          <w:rFonts w:ascii="Consolas" w:hAnsi="Consolas"/>
          <w:b w:val="0"/>
          <w:i w:val="0"/>
          <w:sz w:val="20"/>
        </w:rPr>
        <w:t>POST /auth/sessions</w:t>
      </w:r>
      <w:r>
        <w:rPr>
          <w:rFonts w:ascii="Arial" w:hAnsi="Arial"/>
          <w:b w:val="0"/>
          <w:i w:val="0"/>
          <w:sz w:val="21"/>
        </w:rPr>
        <w:t xml:space="preserve">, </w:t>
      </w:r>
      <w:r>
        <w:rPr>
          <w:rFonts w:ascii="Consolas" w:hAnsi="Consolas"/>
          <w:b w:val="0"/>
          <w:i w:val="0"/>
          <w:sz w:val="20"/>
        </w:rPr>
        <w:t>GET/DELETE /auth/sessions/current</w:t>
      </w:r>
      <w:r>
        <w:rPr>
          <w:rFonts w:ascii="Arial" w:hAnsi="Arial"/>
          <w:b w:val="0"/>
          <w:i w:val="0"/>
          <w:sz w:val="21"/>
        </w:rPr>
        <w:t xml:space="preserve">, </w:t>
      </w:r>
      <w:r>
        <w:rPr>
          <w:rFonts w:ascii="Consolas" w:hAnsi="Consolas"/>
          <w:b w:val="0"/>
          <w:i w:val="0"/>
          <w:sz w:val="20"/>
        </w:rPr>
        <w:t>POST /auth/sessions/refresh</w:t>
      </w:r>
      <w:r>
        <w:rPr>
          <w:rFonts w:ascii="Arial" w:hAnsi="Arial"/>
          <w:b w:val="0"/>
          <w:i w:val="0"/>
          <w:sz w:val="21"/>
        </w:rPr>
        <w:t xml:space="preserve">, </w:t>
      </w:r>
      <w:r>
        <w:rPr>
          <w:rFonts w:ascii="Consolas" w:hAnsi="Consolas"/>
          <w:b w:val="0"/>
          <w:i w:val="0"/>
          <w:sz w:val="20"/>
        </w:rPr>
        <w:t>GET /auth/sessions</w:t>
      </w:r>
      <w:r>
        <w:rPr>
          <w:rFonts w:ascii="Arial" w:hAnsi="Arial"/>
          <w:b w:val="0"/>
          <w:i w:val="0"/>
          <w:sz w:val="21"/>
        </w:rPr>
        <w:t xml:space="preserve">, </w:t>
      </w:r>
      <w:r>
        <w:rPr>
          <w:rFonts w:ascii="Consolas" w:hAnsi="Consolas"/>
          <w:b w:val="0"/>
          <w:i w:val="0"/>
          <w:sz w:val="20"/>
        </w:rPr>
        <w:t>DELETE /auth/sessions/{session_id}</w:t>
      </w:r>
      <w:r>
        <w:rPr>
          <w:rFonts w:ascii="Arial" w:hAnsi="Arial"/>
          <w:b w:val="0"/>
          <w:i w:val="0"/>
          <w:sz w:val="21"/>
        </w:rPr>
        <w:t xml:space="preserve">, and </w:t>
      </w:r>
      <w:r>
        <w:rPr>
          <w:rFonts w:ascii="Consolas" w:hAnsi="Consolas"/>
          <w:b w:val="0"/>
          <w:i w:val="0"/>
          <w:sz w:val="20"/>
        </w:rPr>
        <w:t>DELETE /auth/sessions</w:t>
      </w:r>
      <w:r>
        <w:rPr>
          <w:rFonts w:ascii="Arial" w:hAnsi="Arial"/>
          <w:b w:val="0"/>
          <w:i w:val="0"/>
          <w:sz w:val="21"/>
        </w:rPr>
        <w:t xml:space="preserve"> (DS-006 §5, DS-API-COR-010). DS-008's architectural obligation is that every issued session credential is backend-enforced, expiration is never client-trusted, and revocation takes effect without requiring a backend restart or cache expiry.</w:t>
      </w:r>
    </w:p>
    <w:p>
      <w:pPr>
        <w:spacing w:after="120" w:line="288" w:lineRule="auto"/>
      </w:pPr>
      <w:r>
        <w:rPr>
          <w:rFonts w:ascii="Arial" w:hAnsi="Arial"/>
          <w:b/>
          <w:i w:val="0"/>
          <w:sz w:val="21"/>
        </w:rPr>
        <w:t>Acceptance Criteria:</w:t>
      </w:r>
      <w:r>
        <w:rPr>
          <w:rFonts w:ascii="Arial" w:hAnsi="Arial"/>
          <w:b w:val="0"/>
          <w:i w:val="0"/>
          <w:sz w:val="21"/>
        </w:rPr>
        <w:t xml:space="preserve"> Matches DS-API-COR-010's acceptance criteria exactly; no architectural component may treat an expired or revoked credential as valid due to caching, regardless of cache layer.</w:t>
      </w:r>
    </w:p>
    <w:p>
      <w:pPr>
        <w:spacing w:after="120" w:line="288" w:lineRule="auto"/>
      </w:pPr>
      <w:r>
        <w:rPr>
          <w:rFonts w:ascii="Arial" w:hAnsi="Arial"/>
          <w:b/>
          <w:i w:val="0"/>
          <w:sz w:val="21"/>
        </w:rPr>
        <w:t>Testing:</w:t>
      </w:r>
      <w:r>
        <w:rPr>
          <w:rFonts w:ascii="Arial" w:hAnsi="Arial"/>
          <w:b w:val="0"/>
          <w:i w:val="0"/>
          <w:sz w:val="21"/>
        </w:rPr>
        <w:t xml:space="preserve"> Session-lifecycle test matrix (shared with DS-API-COR-010's own test, DS-006 §5).</w:t>
      </w:r>
    </w:p>
    <w:p>
      <w:pPr>
        <w:pStyle w:val="Heading2"/>
        <w:spacing w:before="360" w:after="160"/>
        <w:pBdr>
          <w:bottom w:val="single" w:sz="8" w:space="4" w:color="C8A45D"/>
        </w:pBdr>
      </w:pPr>
      <w:r>
        <w:rPr>
          <w:rFonts w:ascii="Arial" w:hAnsi="Arial"/>
          <w:b w:val="0"/>
          <w:i w:val="0"/>
          <w:color w:val="17181C"/>
          <w:sz w:val="34"/>
        </w:rPr>
        <w:t>DS-SCA-005 — Authentication and Authorization Enforcement</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"Authentication and Authorization"; DS-API-COR-004 (DS-006, Committed)</w:t>
      </w:r>
    </w:p>
    <w:p>
      <w:pPr>
        <w:spacing w:after="120" w:line="288" w:lineRule="auto"/>
      </w:pPr>
      <w:r>
        <w:rPr>
          <w:rFonts w:ascii="Arial" w:hAnsi="Arial"/>
          <w:b/>
          <w:i w:val="0"/>
          <w:sz w:val="21"/>
        </w:rPr>
        <w:t>Description:</w:t>
      </w:r>
      <w:r>
        <w:rPr>
          <w:rFonts w:ascii="Arial" w:hAnsi="Arial"/>
          <w:b w:val="0"/>
          <w:i w:val="0"/>
          <w:sz w:val="21"/>
        </w:rPr>
        <w:t xml:space="preserve"> Every non-public backend endpoint requires authentication, enforced on the backend. Authorization is evaluated separately from authentication against permission groups appropriate to the endpoint's sensitivity: read-only, trade approval, Auto-Trader control, administrative settings, and live-trading management, per </w:t>
      </w:r>
      <w:r>
        <w:rPr>
          <w:rFonts w:ascii="Consolas" w:hAnsi="Consolas"/>
          <w:b w:val="0"/>
          <w:i w:val="0"/>
          <w:sz w:val="20"/>
        </w:rPr>
        <w:t>SECURITY_RULES.md</w:t>
      </w:r>
      <w:r>
        <w:rPr>
          <w:rFonts w:ascii="Arial" w:hAnsi="Arial"/>
          <w:b w:val="0"/>
          <w:i w:val="0"/>
          <w:sz w:val="21"/>
        </w:rPr>
        <w:t>'s permission-group list. This requirement is the security-architecture instantiation of DS-API-COR-004 and does not redefine its contract.</w:t>
      </w:r>
    </w:p>
    <w:p>
      <w:pPr>
        <w:spacing w:after="120" w:line="288" w:lineRule="auto"/>
      </w:pPr>
      <w:r>
        <w:rPr>
          <w:rFonts w:ascii="Arial" w:hAnsi="Arial"/>
          <w:b/>
          <w:i w:val="0"/>
          <w:sz w:val="21"/>
        </w:rPr>
        <w:t>Acceptance Criteria:</w:t>
      </w:r>
      <w:r>
        <w:rPr>
          <w:rFonts w:ascii="Arial" w:hAnsi="Arial"/>
          <w:b w:val="0"/>
          <w:i w:val="0"/>
          <w:sz w:val="21"/>
        </w:rPr>
        <w:t xml:space="preserve"> Matches DS-API-COR-004's acceptance criteria exactly; an authenticated-but-unauthorized request receives 403, distinct from an unauthenticated request's 401.</w:t>
      </w:r>
    </w:p>
    <w:p>
      <w:pPr>
        <w:spacing w:after="120" w:line="288" w:lineRule="auto"/>
      </w:pPr>
      <w:r>
        <w:rPr>
          <w:rFonts w:ascii="Arial" w:hAnsi="Arial"/>
          <w:b/>
          <w:i w:val="0"/>
          <w:sz w:val="21"/>
        </w:rPr>
        <w:t>Testing:</w:t>
      </w:r>
      <w:r>
        <w:rPr>
          <w:rFonts w:ascii="Arial" w:hAnsi="Arial"/>
          <w:b w:val="0"/>
          <w:i w:val="0"/>
          <w:sz w:val="21"/>
        </w:rPr>
        <w:t xml:space="preserve"> Authentication/authorization test matrix per permission group (shared with DS-API-COR-004's own test).</w:t>
      </w:r>
    </w:p>
    <w:p>
      <w:pPr>
        <w:pStyle w:val="Heading2"/>
        <w:spacing w:before="360" w:after="160"/>
        <w:pBdr>
          <w:bottom w:val="single" w:sz="8" w:space="4" w:color="C8A45D"/>
        </w:pBdr>
      </w:pPr>
      <w:r>
        <w:rPr>
          <w:rFonts w:ascii="Arial" w:hAnsi="Arial"/>
          <w:b w:val="0"/>
          <w:i w:val="0"/>
          <w:color w:val="17181C"/>
          <w:sz w:val="34"/>
        </w:rPr>
        <w:t>DS-SCA-006 — Backend-Enforced Security Decisions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"Backend Enforcement"; DS-ARC-001 (Committed)</w:t>
      </w:r>
    </w:p>
    <w:p>
      <w:pPr>
        <w:spacing w:after="120" w:line="288" w:lineRule="auto"/>
      </w:pPr>
      <w:r>
        <w:rPr>
          <w:rFonts w:ascii="Arial" w:hAnsi="Arial"/>
          <w:b/>
          <w:i w:val="0"/>
          <w:sz w:val="21"/>
        </w:rPr>
        <w:t>Description:</w:t>
      </w:r>
      <w:r>
        <w:rPr>
          <w:rFonts w:ascii="Arial" w:hAnsi="Arial"/>
          <w:b w:val="0"/>
          <w:i w:val="0"/>
          <w:sz w:val="21"/>
        </w:rPr>
        <w:t xml:space="preserve"> Security decisions (authentication, authorization, risk determinations, permission checks) are enforced on the backend; a UI-only control is never sufficient. This is the security-architecture restatement of DS-ARC-001's client/server boundary: no client, desktop or mobile, is ever the sole enforcement point for a security-relevant decision.</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security-relevant check exists only in client-side code without an equivalent backend-enforced check.</w:t>
      </w:r>
    </w:p>
    <w:p>
      <w:pPr>
        <w:pStyle w:val="ListBullet"/>
        <w:spacing w:after="60"/>
      </w:pPr>
      <w:r>
        <w:rPr>
          <w:rFonts w:ascii="Arial" w:hAnsi="Arial"/>
          <w:b w:val="0"/>
          <w:i w:val="0"/>
          <w:sz w:val="21"/>
        </w:rPr>
        <w:t>A client bypassing or disabling its own UI-level check does not gain any capability the backend would otherwise deny.</w:t>
      </w:r>
    </w:p>
    <w:p>
      <w:pPr>
        <w:spacing w:after="120" w:line="288" w:lineRule="auto"/>
      </w:pPr>
      <w:r>
        <w:rPr>
          <w:rFonts w:ascii="Arial" w:hAnsi="Arial"/>
          <w:b/>
          <w:i w:val="0"/>
          <w:sz w:val="21"/>
        </w:rPr>
        <w:t>Testing:</w:t>
      </w:r>
      <w:r>
        <w:rPr>
          <w:rFonts w:ascii="Arial" w:hAnsi="Arial"/>
          <w:b w:val="0"/>
          <w:i w:val="0"/>
          <w:sz w:val="21"/>
        </w:rPr>
        <w:t xml:space="preserve"> Adversarial test: bypass or disable a client-side check directly (e.g., via API call) and confirm the backend independently rejects the action.</w:t>
      </w:r>
    </w:p>
    <w:p>
      <w:pPr>
        <w:pStyle w:val="Heading2"/>
        <w:spacing w:before="360" w:after="160"/>
        <w:pBdr>
          <w:bottom w:val="single" w:sz="8" w:space="4" w:color="C8A45D"/>
        </w:pBdr>
      </w:pPr>
      <w:r>
        <w:rPr>
          <w:rFonts w:ascii="Arial" w:hAnsi="Arial"/>
          <w:b w:val="0"/>
          <w:i w:val="0"/>
          <w:color w:val="17181C"/>
          <w:sz w:val="34"/>
        </w:rPr>
        <w:t>DS-SCA-007 — Strong Authentication for High-Risk Actions</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boundary); Planned (implementation, tied to each triggering action's own phase)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"Strong Authentication"</w:t>
      </w:r>
    </w:p>
    <w:p>
      <w:pPr>
        <w:spacing w:after="120" w:line="288" w:lineRule="auto"/>
      </w:pPr>
      <w:r>
        <w:rPr>
          <w:rFonts w:ascii="Arial" w:hAnsi="Arial"/>
          <w:b/>
          <w:i w:val="0"/>
          <w:sz w:val="21"/>
        </w:rPr>
        <w:t>Description:</w:t>
      </w:r>
      <w:r>
        <w:rPr>
          <w:rFonts w:ascii="Arial" w:hAnsi="Arial"/>
          <w:b w:val="0"/>
          <w:i w:val="0"/>
          <w:sz w:val="21"/>
        </w:rPr>
        <w:t xml:space="preserve"> High-risk actions — enabling live trading, changing live broker credentials, increasing major risk limits, Emergency Flatten, and re-enabling trading after a security event — require strong authentication. This obligation is fixed now as a Committed governance boundary (mirroring DS-EXE-001/DS-API-EXE-001's pattern): no future endpoint or UI surface implementing any of these actions may ship without a strong-authentication check, even though the actions themselves (live trading, Emergency Flatten) remain Planned, Phase 7/13.</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future implementation of a listed high-risk action is reviewed against this requirement before merge.</w:t>
      </w:r>
    </w:p>
    <w:p>
      <w:pPr>
        <w:pStyle w:val="ListBullet"/>
        <w:spacing w:after="60"/>
      </w:pPr>
      <w:r>
        <w:rPr>
          <w:rFonts w:ascii="Arial" w:hAnsi="Arial"/>
          <w:b w:val="0"/>
          <w:i w:val="0"/>
          <w:sz w:val="21"/>
        </w:rPr>
        <w:t>No listed action is reachable through a code path requiring only standard session authentication (DS-SCA-005) once implemented.</w:t>
      </w:r>
    </w:p>
    <w:p>
      <w:pPr>
        <w:spacing w:after="120" w:line="288" w:lineRule="auto"/>
      </w:pPr>
      <w:r>
        <w:rPr>
          <w:rFonts w:ascii="Arial" w:hAnsi="Arial"/>
          <w:b/>
          <w:i w:val="0"/>
          <w:sz w:val="21"/>
        </w:rPr>
        <w:t>Testing:</w:t>
      </w:r>
      <w:r>
        <w:rPr>
          <w:rFonts w:ascii="Arial" w:hAnsi="Arial"/>
          <w:b w:val="0"/>
          <w:i w:val="0"/>
          <w:sz w:val="21"/>
        </w:rPr>
        <w:t xml:space="preserve"> Requirements/design review for each future high-risk-action implementation (mirrors DS-EXE-001's own test pattern).</w:t>
      </w:r>
    </w:p>
    <w:p>
      <w:pPr>
        <w:pStyle w:val="Heading1"/>
        <w:spacing w:before="480" w:after="240"/>
        <w:pBdr>
          <w:bottom w:val="single" w:sz="16" w:space="4" w:color="C8A45D"/>
        </w:pBdr>
      </w:pPr>
      <w:r>
        <w:rPr>
          <w:rFonts w:ascii="Arial" w:hAnsi="Arial"/>
          <w:b w:val="0"/>
          <w:i w:val="0"/>
          <w:color w:val="0B0B0D"/>
          <w:sz w:val="44"/>
        </w:rPr>
        <w:t>8. AI Output and Input Validation Architecture</w:t>
      </w:r>
    </w:p>
    <w:p>
      <w:pPr>
        <w:pStyle w:val="Heading2"/>
        <w:spacing w:before="360" w:after="160"/>
        <w:pBdr>
          <w:bottom w:val="single" w:sz="8" w:space="4" w:color="C8A45D"/>
        </w:pBdr>
      </w:pPr>
      <w:r>
        <w:rPr>
          <w:rFonts w:ascii="Arial" w:hAnsi="Arial"/>
          <w:b w:val="0"/>
          <w:i w:val="0"/>
          <w:color w:val="17181C"/>
          <w:sz w:val="34"/>
        </w:rPr>
        <w:t>DS-SCA-008 — AI Output Validation Security Boundary</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DS-PRD-011 (Committed); </w:t>
      </w:r>
      <w:r>
        <w:rPr>
          <w:rFonts w:ascii="Consolas" w:hAnsi="Consolas"/>
          <w:b w:val="0"/>
          <w:i w:val="0"/>
          <w:sz w:val="20"/>
        </w:rPr>
        <w:t>SECURITY_RULES.md</w:t>
      </w:r>
      <w:r>
        <w:rPr>
          <w:rFonts w:ascii="Arial" w:hAnsi="Arial"/>
          <w:b w:val="0"/>
          <w:i w:val="0"/>
          <w:sz w:val="21"/>
        </w:rPr>
        <w:t xml:space="preserve"> "AI Output Is Untrusted Input"</w:t>
      </w:r>
    </w:p>
    <w:p>
      <w:pPr>
        <w:spacing w:after="120" w:line="288" w:lineRule="auto"/>
      </w:pPr>
      <w:r>
        <w:rPr>
          <w:rFonts w:ascii="Arial" w:hAnsi="Arial"/>
          <w:b/>
          <w:i w:val="0"/>
          <w:sz w:val="21"/>
        </w:rPr>
        <w:t>Description:</w:t>
      </w:r>
      <w:r>
        <w:rPr>
          <w:rFonts w:ascii="Arial" w:hAnsi="Arial"/>
          <w:b w:val="0"/>
          <w:i w:val="0"/>
          <w:sz w:val="21"/>
        </w:rPr>
        <w:t xml:space="preserve"> This requirement is the architecture-level instantiation of DS-PRD-011, which DS-008 does not redefine: structured output from any AI provider (local or cloud) is validated before any application use or state transition, and shall never directly execute shell commands, modify security settings, submit broker orders, change live credentials, or override risk controls. Validation fails closed — a validation failure rejects/ignores the output rather than applying it with a warning.</w:t>
      </w:r>
    </w:p>
    <w:p>
      <w:pPr>
        <w:spacing w:after="120" w:line="288" w:lineRule="auto"/>
      </w:pPr>
      <w:r>
        <w:rPr>
          <w:rFonts w:ascii="Arial" w:hAnsi="Arial"/>
          <w:b/>
          <w:i w:val="0"/>
          <w:sz w:val="21"/>
        </w:rPr>
        <w:t>Acceptance Criteria:</w:t>
      </w:r>
      <w:r>
        <w:rPr>
          <w:rFonts w:ascii="Arial" w:hAnsi="Arial"/>
          <w:b w:val="0"/>
          <w:i w:val="0"/>
          <w:sz w:val="21"/>
        </w:rPr>
        <w:t xml:space="preserve"> Matches DS-PRD-011's acceptance criteria exactly.</w:t>
      </w:r>
    </w:p>
    <w:p>
      <w:pPr>
        <w:spacing w:after="120" w:line="288" w:lineRule="auto"/>
      </w:pPr>
      <w:r>
        <w:rPr>
          <w:rFonts w:ascii="Arial" w:hAnsi="Arial"/>
          <w:b/>
          <w:i w:val="0"/>
          <w:sz w:val="21"/>
        </w:rPr>
        <w:t>Testing:</w:t>
      </w:r>
      <w:r>
        <w:rPr>
          <w:rFonts w:ascii="Arial" w:hAnsi="Arial"/>
          <w:b w:val="0"/>
          <w:i w:val="0"/>
          <w:sz w:val="21"/>
        </w:rPr>
        <w:t xml:space="preserve"> Adversarial test crafting AI output attempting a disallowed action, confirming rejection before any sensitive code path (shared with DS-PRD-011's own test).</w:t>
      </w:r>
    </w:p>
    <w:p>
      <w:pPr>
        <w:pStyle w:val="Heading2"/>
        <w:spacing w:before="360" w:after="160"/>
        <w:pBdr>
          <w:bottom w:val="single" w:sz="8" w:space="4" w:color="C8A45D"/>
        </w:pBdr>
      </w:pPr>
      <w:r>
        <w:rPr>
          <w:rFonts w:ascii="Arial" w:hAnsi="Arial"/>
          <w:b w:val="0"/>
          <w:i w:val="0"/>
          <w:color w:val="17181C"/>
          <w:sz w:val="34"/>
        </w:rPr>
        <w:t>DS-SCA-009 — Input Validation and Injection Defense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"Input Validation," "Common Application Security"</w:t>
      </w:r>
    </w:p>
    <w:p>
      <w:pPr>
        <w:spacing w:after="120" w:line="288" w:lineRule="auto"/>
      </w:pPr>
      <w:r>
        <w:rPr>
          <w:rFonts w:ascii="Arial" w:hAnsi="Arial"/>
          <w:b/>
          <w:i w:val="0"/>
          <w:sz w:val="21"/>
        </w:rPr>
        <w:t>Description:</w:t>
      </w:r>
      <w:r>
        <w:rPr>
          <w:rFonts w:ascii="Arial" w:hAnsi="Arial"/>
          <w:b w:val="0"/>
          <w:i w:val="0"/>
          <w:sz w:val="21"/>
        </w:rPr>
        <w:t xml:space="preserve"> All external input — user input, market-data APIs, broker APIs, AI output, imported files, strategy definitions, and mobile/desktop client requests — is validated at the trust boundary where it enters the backend. DarkSage uses parameterized database queries and safe frontend rendering, protecting against SQL injection, command injection, cross-site scripting, CSRF (where applicable), unsafe deserialization, and unvalidated external data.</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code path constructs a database query by direct string concatenation of external input.</w:t>
      </w:r>
    </w:p>
    <w:p>
      <w:pPr>
        <w:pStyle w:val="ListBullet"/>
        <w:spacing w:after="60"/>
      </w:pPr>
      <w:r>
        <w:rPr>
          <w:rFonts w:ascii="Arial" w:hAnsi="Arial"/>
          <w:b w:val="0"/>
          <w:i w:val="0"/>
          <w:sz w:val="21"/>
        </w:rPr>
        <w:t>Every listed external input source has a documented validation step before use.</w:t>
      </w:r>
    </w:p>
    <w:p>
      <w:pPr>
        <w:spacing w:after="120" w:line="288" w:lineRule="auto"/>
      </w:pPr>
      <w:r>
        <w:rPr>
          <w:rFonts w:ascii="Arial" w:hAnsi="Arial"/>
          <w:b/>
          <w:i w:val="0"/>
          <w:sz w:val="21"/>
        </w:rPr>
        <w:t>Testing:</w:t>
      </w:r>
      <w:r>
        <w:rPr>
          <w:rFonts w:ascii="Arial" w:hAnsi="Arial"/>
          <w:b w:val="0"/>
          <w:i w:val="0"/>
          <w:sz w:val="21"/>
        </w:rPr>
        <w:t xml:space="preserve"> Injection-class security test suite (SQL injection, command injection, XSS, CSRF, deserialization) across every external input source (</w:t>
      </w:r>
      <w:r>
        <w:rPr>
          <w:rFonts w:ascii="Consolas" w:hAnsi="Consolas"/>
          <w:b w:val="0"/>
          <w:i w:val="0"/>
          <w:sz w:val="20"/>
        </w:rPr>
        <w:t>SECURITY_RULES.md</w:t>
      </w:r>
      <w:r>
        <w:rPr>
          <w:rFonts w:ascii="Arial" w:hAnsi="Arial"/>
          <w:b w:val="0"/>
          <w:i w:val="0"/>
          <w:sz w:val="21"/>
        </w:rPr>
        <w:t xml:space="preserve"> "Security Testing").</w:t>
      </w:r>
    </w:p>
    <w:p>
      <w:pPr>
        <w:pStyle w:val="Heading1"/>
        <w:spacing w:before="480" w:after="240"/>
        <w:pBdr>
          <w:bottom w:val="single" w:sz="16" w:space="4" w:color="C8A45D"/>
        </w:pBdr>
      </w:pPr>
      <w:r>
        <w:rPr>
          <w:rFonts w:ascii="Arial" w:hAnsi="Arial"/>
          <w:b w:val="0"/>
          <w:i w:val="0"/>
          <w:color w:val="0B0B0D"/>
          <w:sz w:val="44"/>
        </w:rPr>
        <w:t>9. Data Protection and Communication Security</w:t>
      </w:r>
    </w:p>
    <w:p>
      <w:pPr>
        <w:pStyle w:val="Heading2"/>
        <w:spacing w:before="360" w:after="160"/>
        <w:pBdr>
          <w:bottom w:val="single" w:sz="8" w:space="4" w:color="C8A45D"/>
        </w:pBdr>
      </w:pPr>
      <w:r>
        <w:rPr>
          <w:rFonts w:ascii="Arial" w:hAnsi="Arial"/>
          <w:b w:val="0"/>
          <w:i w:val="0"/>
          <w:color w:val="17181C"/>
          <w:sz w:val="34"/>
        </w:rPr>
        <w:t>DS-SCA-010 — Local Data and Database Security</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DS-DAT-001 (Committed); </w:t>
      </w:r>
      <w:r>
        <w:rPr>
          <w:rFonts w:ascii="Consolas" w:hAnsi="Consolas"/>
          <w:b w:val="0"/>
          <w:i w:val="0"/>
          <w:sz w:val="20"/>
        </w:rPr>
        <w:t>SECURITY_RULES.md</w:t>
      </w:r>
      <w:r>
        <w:rPr>
          <w:rFonts w:ascii="Arial" w:hAnsi="Arial"/>
          <w:b w:val="0"/>
          <w:i w:val="0"/>
          <w:sz w:val="21"/>
        </w:rPr>
        <w:t xml:space="preserve"> "Database and Backups"</w:t>
      </w:r>
    </w:p>
    <w:p>
      <w:pPr>
        <w:spacing w:after="120" w:line="288" w:lineRule="auto"/>
      </w:pPr>
      <w:r>
        <w:rPr>
          <w:rFonts w:ascii="Arial" w:hAnsi="Arial"/>
          <w:b/>
          <w:i w:val="0"/>
          <w:sz w:val="21"/>
        </w:rPr>
        <w:t>Description:</w:t>
      </w:r>
      <w:r>
        <w:rPr>
          <w:rFonts w:ascii="Arial" w:hAnsi="Arial"/>
          <w:b w:val="0"/>
          <w:i w:val="0"/>
          <w:sz w:val="21"/>
        </w:rPr>
        <w:t xml:space="preserve"> Databases are never publicly exposed. Production databases use authentication, restricted network access, least-privilege accounts, and encryption where appropriate. Critical data has secure backups and a recovery procedure. This requirement applies DS-DAT-001's local-first storage obligation with the security controls appropriate to it.</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Committed/MVP deployment configuration binds the database to a publicly reachable interface by default.</w:t>
      </w:r>
    </w:p>
    <w:p>
      <w:pPr>
        <w:pStyle w:val="ListBullet"/>
        <w:spacing w:after="60"/>
      </w:pPr>
      <w:r>
        <w:rPr>
          <w:rFonts w:ascii="Arial" w:hAnsi="Arial"/>
          <w:b w:val="0"/>
          <w:i w:val="0"/>
          <w:sz w:val="21"/>
        </w:rPr>
        <w:t>A documented backup/recovery procedure exists for critical local data categories (DS-DAT-001).</w:t>
      </w:r>
    </w:p>
    <w:p>
      <w:pPr>
        <w:spacing w:after="120" w:line="288" w:lineRule="auto"/>
      </w:pPr>
      <w:r>
        <w:rPr>
          <w:rFonts w:ascii="Arial" w:hAnsi="Arial"/>
          <w:b/>
          <w:i w:val="0"/>
          <w:sz w:val="21"/>
        </w:rPr>
        <w:t>Testing:</w:t>
      </w:r>
      <w:r>
        <w:rPr>
          <w:rFonts w:ascii="Arial" w:hAnsi="Arial"/>
          <w:b w:val="0"/>
          <w:i w:val="0"/>
          <w:sz w:val="21"/>
        </w:rPr>
        <w:t xml:space="preserve"> Network-exposure scan confirming the database is not publicly reachable; backup/recovery drill.</w:t>
      </w:r>
    </w:p>
    <w:p>
      <w:pPr>
        <w:pStyle w:val="Heading2"/>
        <w:spacing w:before="360" w:after="160"/>
        <w:pBdr>
          <w:bottom w:val="single" w:sz="8" w:space="4" w:color="C8A45D"/>
        </w:pBdr>
      </w:pPr>
      <w:r>
        <w:rPr>
          <w:rFonts w:ascii="Arial" w:hAnsi="Arial"/>
          <w:b w:val="0"/>
          <w:i w:val="0"/>
          <w:color w:val="17181C"/>
          <w:sz w:val="34"/>
        </w:rPr>
        <w:t>DS-SCA-011 — Secure Communication and Network Exposure Defaults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"Secure Communication," "Network Exposure"; DS-ARC-018 (Committed)</w:t>
      </w:r>
    </w:p>
    <w:p>
      <w:pPr>
        <w:spacing w:after="120" w:line="288" w:lineRule="auto"/>
      </w:pPr>
      <w:r>
        <w:rPr>
          <w:rFonts w:ascii="Arial" w:hAnsi="Arial"/>
          <w:b/>
          <w:i w:val="0"/>
          <w:sz w:val="21"/>
        </w:rPr>
        <w:t>Description:</w:t>
      </w:r>
      <w:r>
        <w:rPr>
          <w:rFonts w:ascii="Arial" w:hAnsi="Arial"/>
          <w:b w:val="0"/>
          <w:i w:val="0"/>
          <w:sz w:val="21"/>
        </w:rPr>
        <w:t xml:space="preserve"> Production remote communication uses encrypted transport (HTTPS, TLS, secure WebSockets where used); localhost HTTP is acceptable for local development (DS-ARC-018 Stage 1). Local development services are not publicly exposed by default — no automatic router-port opening, public tunnel creation, firewall disabling, or binding sensitive services to all interfaces.</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Committed/MVP production deployment path serves API traffic over unencrypted HTTP.</w:t>
      </w:r>
    </w:p>
    <w:p>
      <w:pPr>
        <w:pStyle w:val="ListBullet"/>
        <w:spacing w:after="60"/>
      </w:pPr>
      <w:r>
        <w:rPr>
          <w:rFonts w:ascii="Arial" w:hAnsi="Arial"/>
          <w:b w:val="0"/>
          <w:i w:val="0"/>
          <w:sz w:val="21"/>
        </w:rPr>
        <w:t>No default configuration exposes a local development service beyond localhost without explicit user action.</w:t>
      </w:r>
    </w:p>
    <w:p>
      <w:pPr>
        <w:spacing w:after="120" w:line="288" w:lineRule="auto"/>
      </w:pPr>
      <w:r>
        <w:rPr>
          <w:rFonts w:ascii="Arial" w:hAnsi="Arial"/>
          <w:b/>
          <w:i w:val="0"/>
          <w:sz w:val="21"/>
        </w:rPr>
        <w:t>Testing:</w:t>
      </w:r>
      <w:r>
        <w:rPr>
          <w:rFonts w:ascii="Arial" w:hAnsi="Arial"/>
          <w:b w:val="0"/>
          <w:i w:val="0"/>
          <w:sz w:val="21"/>
        </w:rPr>
        <w:t xml:space="preserve"> Transport-security scan (production configuration); default-configuration network-exposure audit.</w:t>
      </w:r>
    </w:p>
    <w:p>
      <w:pPr>
        <w:pStyle w:val="Heading1"/>
        <w:spacing w:before="480" w:after="240"/>
        <w:pBdr>
          <w:bottom w:val="single" w:sz="16" w:space="4" w:color="C8A45D"/>
        </w:pBdr>
      </w:pPr>
      <w:r>
        <w:rPr>
          <w:rFonts w:ascii="Arial" w:hAnsi="Arial"/>
          <w:b w:val="0"/>
          <w:i w:val="0"/>
          <w:color w:val="0B0B0D"/>
          <w:sz w:val="44"/>
        </w:rPr>
        <w:t>10. Trading Safety Architecture</w:t>
      </w:r>
    </w:p>
    <w:p>
      <w:pPr>
        <w:pStyle w:val="Heading2"/>
        <w:spacing w:before="360" w:after="160"/>
        <w:pBdr>
          <w:bottom w:val="single" w:sz="8" w:space="4" w:color="C8A45D"/>
        </w:pBdr>
      </w:pPr>
      <w:r>
        <w:rPr>
          <w:rFonts w:ascii="Arial" w:hAnsi="Arial"/>
          <w:b w:val="0"/>
          <w:i w:val="0"/>
          <w:color w:val="17181C"/>
          <w:sz w:val="34"/>
        </w:rPr>
        <w:t>DS-SCA-012 — Order Authorization Trail and Broker Safety</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boundary); Planned (implementation, Phase 7)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"Order Authorization," "Broker Safety"; DS-EXE-001, DS-API-EXE-001 (DS-006, both Committed)</w:t>
      </w:r>
    </w:p>
    <w:p>
      <w:pPr>
        <w:spacing w:after="120" w:line="288" w:lineRule="auto"/>
      </w:pPr>
      <w:r>
        <w:rPr>
          <w:rFonts w:ascii="Arial" w:hAnsi="Arial"/>
          <w:b/>
          <w:i w:val="0"/>
          <w:sz w:val="21"/>
        </w:rPr>
        <w:t>Description:</w:t>
      </w:r>
      <w:r>
        <w:rPr>
          <w:rFonts w:ascii="Arial" w:hAnsi="Arial"/>
          <w:b w:val="0"/>
          <w:i w:val="0"/>
          <w:sz w:val="21"/>
        </w:rPr>
        <w:t xml:space="preserve"> This requirement restates, at the security-architecture layer, the boundary DS-EXE-001/DS-API-EXE-001 already fix: every order requires an internal authorization trail (authenticated user/system action, allowed strategy, allowed instrument, Risk Engine approval, Permissions Engine approval, execution approval) with no direct client-to-broker bypass. Before any live order is allowed, the system verifies correct broker environment, correct account, correct execution mode, valid credentials, and expected account identifier, protecting against accidentally connecting live code to the wrong account.</w:t>
      </w:r>
    </w:p>
    <w:p>
      <w:pPr>
        <w:spacing w:after="120" w:line="288" w:lineRule="auto"/>
      </w:pPr>
      <w:r>
        <w:rPr>
          <w:rFonts w:ascii="Arial" w:hAnsi="Arial"/>
          <w:b/>
          <w:i w:val="0"/>
          <w:sz w:val="21"/>
        </w:rPr>
        <w:t>Acceptance Criteria:</w:t>
      </w:r>
      <w:r>
        <w:rPr>
          <w:rFonts w:ascii="Arial" w:hAnsi="Arial"/>
          <w:b w:val="0"/>
          <w:i w:val="0"/>
          <w:sz w:val="21"/>
        </w:rPr>
        <w:t xml:space="preserve"> Matches DS-EXE-001/DS-API-EXE-001's acceptance criteria; the broker-environment/account verification check is fixed now per </w:t>
      </w:r>
      <w:r>
        <w:rPr>
          <w:rFonts w:ascii="Consolas" w:hAnsi="Consolas"/>
          <w:b w:val="0"/>
          <w:i w:val="0"/>
          <w:sz w:val="20"/>
        </w:rPr>
        <w:t>SECURITY_RULES.md</w:t>
      </w:r>
      <w:r>
        <w:rPr>
          <w:rFonts w:ascii="Arial" w:hAnsi="Arial"/>
          <w:b w:val="0"/>
          <w:i w:val="0"/>
          <w:sz w:val="21"/>
        </w:rPr>
        <w:t>, implementation deferred to Phase 7.</w:t>
      </w:r>
    </w:p>
    <w:p>
      <w:pPr>
        <w:spacing w:after="120" w:line="288" w:lineRule="auto"/>
      </w:pPr>
      <w:r>
        <w:rPr>
          <w:rFonts w:ascii="Arial" w:hAnsi="Arial"/>
          <w:b/>
          <w:i w:val="0"/>
          <w:sz w:val="21"/>
        </w:rPr>
        <w:t>Testing:</w:t>
      </w:r>
      <w:r>
        <w:rPr>
          <w:rFonts w:ascii="Arial" w:hAnsi="Arial"/>
          <w:b w:val="0"/>
          <w:i w:val="0"/>
          <w:sz w:val="21"/>
        </w:rPr>
        <w:t xml:space="preserve"> Requirements review (shared with DS-EXE-001's own test, now); broker-safety verification test once implemented (Phase 7).</w:t>
      </w:r>
    </w:p>
    <w:p>
      <w:pPr>
        <w:pStyle w:val="Heading2"/>
        <w:spacing w:before="360" w:after="160"/>
        <w:pBdr>
          <w:bottom w:val="single" w:sz="8" w:space="4" w:color="C8A45D"/>
        </w:pBdr>
      </w:pPr>
      <w:r>
        <w:rPr>
          <w:rFonts w:ascii="Arial" w:hAnsi="Arial"/>
          <w:b w:val="0"/>
          <w:i w:val="0"/>
          <w:color w:val="17181C"/>
          <w:sz w:val="34"/>
        </w:rPr>
        <w:t>DS-SCA-013 — Broker Credential Least Privilege</w:t>
      </w:r>
    </w:p>
    <w:p>
      <w:pPr>
        <w:spacing w:after="120" w:line="288" w:lineRule="auto"/>
      </w:pPr>
      <w:r>
        <w:rPr>
          <w:rFonts w:ascii="Arial" w:hAnsi="Arial"/>
          <w:b/>
          <w:i w:val="0"/>
          <w:sz w:val="21"/>
        </w:rPr>
        <w:t>Release Classification:</w:t>
      </w:r>
      <w:r>
        <w:rPr>
          <w:rFonts w:ascii="Arial" w:hAnsi="Arial"/>
          <w:b w:val="0"/>
          <w:i w:val="0"/>
          <w:sz w:val="21"/>
        </w:rPr>
        <w:t xml:space="preserve"> Planned, Phase 7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"Least Privilege," "Environment Separation"</w:t>
      </w:r>
    </w:p>
    <w:p>
      <w:pPr>
        <w:spacing w:after="120" w:line="288" w:lineRule="auto"/>
      </w:pPr>
      <w:r>
        <w:rPr>
          <w:rFonts w:ascii="Arial" w:hAnsi="Arial"/>
          <w:b/>
          <w:i w:val="0"/>
          <w:sz w:val="21"/>
        </w:rPr>
        <w:t>Description:</w:t>
      </w:r>
      <w:r>
        <w:rPr>
          <w:rFonts w:ascii="Arial" w:hAnsi="Arial"/>
          <w:b w:val="0"/>
          <w:i w:val="0"/>
          <w:sz w:val="21"/>
        </w:rPr>
        <w:t xml:space="preserve"> Broker access permits only what is necessary; DarkSage shall never require withdrawal permission, external money transfers, or account-ownership changes. Paper and live credentials remain always separate, with separate environments maintained for development, testing, paper trading, and production/live trading.</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broker integration requests a permission scope beyond trading and read access.</w:t>
      </w:r>
    </w:p>
    <w:p>
      <w:pPr>
        <w:pStyle w:val="ListBullet"/>
        <w:spacing w:after="60"/>
      </w:pPr>
      <w:r>
        <w:rPr>
          <w:rFonts w:ascii="Arial" w:hAnsi="Arial"/>
          <w:b w:val="0"/>
          <w:i w:val="0"/>
          <w:sz w:val="21"/>
        </w:rPr>
        <w:t>Paper and live credential storage never share the same stored secret or configuration entry.</w:t>
      </w:r>
    </w:p>
    <w:p>
      <w:pPr>
        <w:spacing w:after="120" w:line="288" w:lineRule="auto"/>
      </w:pPr>
      <w:r>
        <w:rPr>
          <w:rFonts w:ascii="Arial" w:hAnsi="Arial"/>
          <w:b/>
          <w:i w:val="0"/>
          <w:sz w:val="21"/>
        </w:rPr>
        <w:t>Testing:</w:t>
      </w:r>
      <w:r>
        <w:rPr>
          <w:rFonts w:ascii="Arial" w:hAnsi="Arial"/>
          <w:b w:val="0"/>
          <w:i w:val="0"/>
          <w:sz w:val="21"/>
        </w:rPr>
        <w:t xml:space="preserve"> Broker permission-scope audit; paper/live credential-separation test (Phase 7).</w:t>
      </w:r>
    </w:p>
    <w:p>
      <w:pPr>
        <w:pStyle w:val="Heading2"/>
        <w:spacing w:before="360" w:after="160"/>
        <w:pBdr>
          <w:bottom w:val="single" w:sz="8" w:space="4" w:color="C8A45D"/>
        </w:pBdr>
      </w:pPr>
      <w:r>
        <w:rPr>
          <w:rFonts w:ascii="Arial" w:hAnsi="Arial"/>
          <w:b w:val="0"/>
          <w:i w:val="0"/>
          <w:color w:val="17181C"/>
          <w:sz w:val="34"/>
        </w:rPr>
        <w:t>DS-SCA-014 — Broker Reconciliation Security</w:t>
      </w:r>
    </w:p>
    <w:p>
      <w:pPr>
        <w:spacing w:after="120" w:line="288" w:lineRule="auto"/>
      </w:pPr>
      <w:r>
        <w:rPr>
          <w:rFonts w:ascii="Arial" w:hAnsi="Arial"/>
          <w:b/>
          <w:i w:val="0"/>
          <w:sz w:val="21"/>
        </w:rPr>
        <w:t>Release Classification:</w:t>
      </w:r>
      <w:r>
        <w:rPr>
          <w:rFonts w:ascii="Arial" w:hAnsi="Arial"/>
          <w:b w:val="0"/>
          <w:i w:val="0"/>
          <w:sz w:val="21"/>
        </w:rPr>
        <w:t xml:space="preserve"> Planned, Phase 7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"Broker Reconciliation"; DS-ARC-021 (Planned)</w:t>
      </w:r>
    </w:p>
    <w:p>
      <w:pPr>
        <w:spacing w:after="120" w:line="288" w:lineRule="auto"/>
      </w:pPr>
      <w:r>
        <w:rPr>
          <w:rFonts w:ascii="Arial" w:hAnsi="Arial"/>
          <w:b/>
          <w:i w:val="0"/>
          <w:sz w:val="21"/>
        </w:rPr>
        <w:t>Description:</w:t>
      </w:r>
      <w:r>
        <w:rPr>
          <w:rFonts w:ascii="Arial" w:hAnsi="Arial"/>
          <w:b w:val="0"/>
          <w:i w:val="0"/>
          <w:sz w:val="21"/>
        </w:rPr>
        <w:t xml:space="preserve"> DarkSage compares internal and broker state regularly (cash, buying power, positions, open orders, filled orders, average entry price). If reconciliation fails, the system pauses new trading, alerts the user, and records an audit event.</w:t>
      </w:r>
    </w:p>
    <w:p>
      <w:pPr>
        <w:spacing w:after="120" w:line="288" w:lineRule="auto"/>
      </w:pPr>
      <w:r>
        <w:rPr>
          <w:rFonts w:ascii="Arial" w:hAnsi="Arial"/>
          <w:b/>
          <w:i w:val="0"/>
          <w:sz w:val="21"/>
        </w:rPr>
        <w:t>Acceptance Criteria:</w:t>
      </w:r>
      <w:r>
        <w:rPr>
          <w:rFonts w:ascii="Arial" w:hAnsi="Arial"/>
          <w:b w:val="0"/>
          <w:i w:val="0"/>
          <w:sz w:val="21"/>
        </w:rPr>
        <w:t xml:space="preserve"> Matches </w:t>
      </w:r>
      <w:r>
        <w:rPr>
          <w:rFonts w:ascii="Consolas" w:hAnsi="Consolas"/>
          <w:b w:val="0"/>
          <w:i w:val="0"/>
          <w:sz w:val="20"/>
        </w:rPr>
        <w:t>SECURITY_RULES.md</w:t>
      </w:r>
      <w:r>
        <w:rPr>
          <w:rFonts w:ascii="Arial" w:hAnsi="Arial"/>
          <w:b w:val="0"/>
          <w:i w:val="0"/>
          <w:sz w:val="21"/>
        </w:rPr>
        <w:t>'s reconciliation-failure behavior exactly; reconciliation failure never results in silently continuing to trade.</w:t>
      </w:r>
    </w:p>
    <w:p>
      <w:pPr>
        <w:spacing w:after="120" w:line="288" w:lineRule="auto"/>
      </w:pPr>
      <w:r>
        <w:rPr>
          <w:rFonts w:ascii="Arial" w:hAnsi="Arial"/>
          <w:b/>
          <w:i w:val="0"/>
          <w:sz w:val="21"/>
        </w:rPr>
        <w:t>Testing:</w:t>
      </w:r>
      <w:r>
        <w:rPr>
          <w:rFonts w:ascii="Arial" w:hAnsi="Arial"/>
          <w:b w:val="0"/>
          <w:i w:val="0"/>
          <w:sz w:val="21"/>
        </w:rPr>
        <w:t xml:space="preserve"> Simulated reconciliation-mismatch test confirming pause/alert/audit behavior (Phase 7).</w:t>
      </w:r>
    </w:p>
    <w:p>
      <w:pPr>
        <w:pStyle w:val="Heading2"/>
        <w:spacing w:before="360" w:after="160"/>
        <w:pBdr>
          <w:bottom w:val="single" w:sz="8" w:space="4" w:color="C8A45D"/>
        </w:pBdr>
      </w:pPr>
      <w:r>
        <w:rPr>
          <w:rFonts w:ascii="Arial" w:hAnsi="Arial"/>
          <w:b w:val="0"/>
          <w:i w:val="0"/>
          <w:color w:val="17181C"/>
          <w:sz w:val="34"/>
        </w:rPr>
        <w:t>DS-SCA-015 — Fail-Closed Trading Safety Behavior</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"Fail Closed"; DS-RSK-001 (Committed)</w:t>
      </w:r>
    </w:p>
    <w:p>
      <w:pPr>
        <w:spacing w:after="120" w:line="288" w:lineRule="auto"/>
      </w:pPr>
      <w:r>
        <w:rPr>
          <w:rFonts w:ascii="Arial" w:hAnsi="Arial"/>
          <w:b/>
          <w:i w:val="0"/>
          <w:sz w:val="21"/>
        </w:rPr>
        <w:t>Description:</w:t>
      </w:r>
      <w:r>
        <w:rPr>
          <w:rFonts w:ascii="Arial" w:hAnsi="Arial"/>
          <w:b w:val="0"/>
          <w:i w:val="0"/>
          <w:sz w:val="21"/>
        </w:rPr>
        <w:t xml:space="preserve"> This requirement is the trading-specific instantiation of DS-SCA-001: when authentication is unavailable, market data is stale, a broker mismatch is detected, the Risk Engine fails, the database is inconsistent, or the Permissions Engine is unavailable, DarkSage blocks new trades rather than guessing. This governs the product now, even before the execution pipeline exists (Phase 7), mirroring DS-RSK-001's own fail-safe edge case.</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listed uncertainty condition, once its underlying system exists, results in a trade being allowed to proceed.</w:t>
      </w:r>
    </w:p>
    <w:p>
      <w:pPr>
        <w:pStyle w:val="ListBullet"/>
        <w:spacing w:after="60"/>
      </w:pPr>
      <w:r>
        <w:rPr>
          <w:rFonts w:ascii="Arial" w:hAnsi="Arial"/>
          <w:b w:val="0"/>
          <w:i w:val="0"/>
          <w:sz w:val="21"/>
        </w:rPr>
        <w:t>Fail-safe-on-unavailability is tested for the Risk Engine now (shared with DS-RSK-001's own test) and extended to the remaining conditions as their systems are built.</w:t>
      </w:r>
    </w:p>
    <w:p>
      <w:pPr>
        <w:spacing w:after="120" w:line="288" w:lineRule="auto"/>
      </w:pPr>
      <w:r>
        <w:rPr>
          <w:rFonts w:ascii="Arial" w:hAnsi="Arial"/>
          <w:b/>
          <w:i w:val="0"/>
          <w:sz w:val="21"/>
        </w:rPr>
        <w:t>Testing:</w:t>
      </w:r>
      <w:r>
        <w:rPr>
          <w:rFonts w:ascii="Arial" w:hAnsi="Arial"/>
          <w:b w:val="0"/>
          <w:i w:val="0"/>
          <w:sz w:val="21"/>
        </w:rPr>
        <w:t xml:space="preserve"> Fail-safe-on-unavailability test (shared with DS-RSK-001's own test); adversarial uncertainty-injection test per condition once its system exists.</w:t>
      </w:r>
    </w:p>
    <w:p>
      <w:pPr>
        <w:pStyle w:val="Heading2"/>
        <w:spacing w:before="360" w:after="160"/>
        <w:pBdr>
          <w:bottom w:val="single" w:sz="8" w:space="4" w:color="C8A45D"/>
        </w:pBdr>
      </w:pPr>
      <w:r>
        <w:rPr>
          <w:rFonts w:ascii="Arial" w:hAnsi="Arial"/>
          <w:b w:val="0"/>
          <w:i w:val="0"/>
          <w:color w:val="17181C"/>
          <w:sz w:val="34"/>
        </w:rPr>
        <w:t>DS-SCA-016 — Emergency Controls Security</w:t>
      </w:r>
    </w:p>
    <w:p>
      <w:pPr>
        <w:spacing w:after="120" w:line="288" w:lineRule="auto"/>
      </w:pPr>
      <w:r>
        <w:rPr>
          <w:rFonts w:ascii="Arial" w:hAnsi="Arial"/>
          <w:b/>
          <w:i w:val="0"/>
          <w:sz w:val="21"/>
        </w:rPr>
        <w:t>Release Classification:</w:t>
      </w:r>
      <w:r>
        <w:rPr>
          <w:rFonts w:ascii="Arial" w:hAnsi="Arial"/>
          <w:b w:val="0"/>
          <w:i w:val="0"/>
          <w:sz w:val="21"/>
        </w:rPr>
        <w:t xml:space="preserve"> Planned, Phase 7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"Emergency Controls"; DS-ARC-022 (Planned)</w:t>
      </w:r>
    </w:p>
    <w:p>
      <w:pPr>
        <w:spacing w:after="120" w:line="288" w:lineRule="auto"/>
      </w:pPr>
      <w:r>
        <w:rPr>
          <w:rFonts w:ascii="Arial" w:hAnsi="Arial"/>
          <w:b/>
          <w:i w:val="0"/>
          <w:sz w:val="21"/>
        </w:rPr>
        <w:t>Description:</w:t>
      </w:r>
      <w:r>
        <w:rPr>
          <w:rFonts w:ascii="Arial" w:hAnsi="Arial"/>
          <w:b w:val="0"/>
          <w:i w:val="0"/>
          <w:sz w:val="21"/>
        </w:rPr>
        <w:t xml:space="preserve"> Emergency Stop is easy for authorized users to trigger; Emergency Flatten is more dangerous and requires stronger authentication (DS-SCA-007) and explicit confirmation in live mode. Both remain reachable from any authorized client independent of the normal order-submission code path, per DS-ARC-022, so a partial system failure that would justify triggering them does not also disable them.</w:t>
      </w:r>
    </w:p>
    <w:p>
      <w:pPr>
        <w:spacing w:after="120" w:line="288" w:lineRule="auto"/>
      </w:pPr>
      <w:r>
        <w:rPr>
          <w:rFonts w:ascii="Arial" w:hAnsi="Arial"/>
          <w:b/>
          <w:i w:val="0"/>
          <w:sz w:val="21"/>
        </w:rPr>
        <w:t>Acceptance Criteria:</w:t>
      </w:r>
      <w:r>
        <w:rPr>
          <w:rFonts w:ascii="Arial" w:hAnsi="Arial"/>
          <w:b w:val="0"/>
          <w:i w:val="0"/>
          <w:sz w:val="21"/>
        </w:rPr>
        <w:t xml:space="preserve"> Matches DS-ARC-022's acceptance criteria exactly.</w:t>
      </w:r>
    </w:p>
    <w:p>
      <w:pPr>
        <w:spacing w:after="120" w:line="288" w:lineRule="auto"/>
      </w:pPr>
      <w:r>
        <w:rPr>
          <w:rFonts w:ascii="Arial" w:hAnsi="Arial"/>
          <w:b/>
          <w:i w:val="0"/>
          <w:sz w:val="21"/>
        </w:rPr>
        <w:t>Testing:</w:t>
      </w:r>
      <w:r>
        <w:rPr>
          <w:rFonts w:ascii="Arial" w:hAnsi="Arial"/>
          <w:b w:val="0"/>
          <w:i w:val="0"/>
          <w:sz w:val="21"/>
        </w:rPr>
        <w:t xml:space="preserve"> Independent-reachability test; Emergency Flatten strong-authentication test (shared with DS-ARC-022's own test, Phase 7).</w:t>
      </w:r>
    </w:p>
    <w:p>
      <w:pPr>
        <w:pStyle w:val="Heading1"/>
        <w:spacing w:before="480" w:after="240"/>
        <w:pBdr>
          <w:bottom w:val="single" w:sz="16" w:space="4" w:color="C8A45D"/>
        </w:pBdr>
      </w:pPr>
      <w:r>
        <w:rPr>
          <w:rFonts w:ascii="Arial" w:hAnsi="Arial"/>
          <w:b w:val="0"/>
          <w:i w:val="0"/>
          <w:color w:val="0B0B0D"/>
          <w:sz w:val="44"/>
        </w:rPr>
        <w:t>11. Client and Mobile Security</w:t>
      </w:r>
    </w:p>
    <w:p>
      <w:pPr>
        <w:pStyle w:val="Heading2"/>
        <w:spacing w:before="360" w:after="160"/>
        <w:pBdr>
          <w:bottom w:val="single" w:sz="8" w:space="4" w:color="C8A45D"/>
        </w:pBdr>
      </w:pPr>
      <w:r>
        <w:rPr>
          <w:rFonts w:ascii="Arial" w:hAnsi="Arial"/>
          <w:b w:val="0"/>
          <w:i w:val="0"/>
          <w:color w:val="17181C"/>
          <w:sz w:val="34"/>
        </w:rPr>
        <w:t>DS-SCA-017 — Desktop and Mobile Client Secret Storage</w:t>
      </w:r>
    </w:p>
    <w:p>
      <w:pPr>
        <w:spacing w:after="120" w:line="288" w:lineRule="auto"/>
      </w:pPr>
      <w:r>
        <w:rPr>
          <w:rFonts w:ascii="Arial" w:hAnsi="Arial"/>
          <w:b/>
          <w:i w:val="0"/>
          <w:sz w:val="21"/>
        </w:rPr>
        <w:t>Release Classification:</w:t>
      </w:r>
      <w:r>
        <w:rPr>
          <w:rFonts w:ascii="Arial" w:hAnsi="Arial"/>
          <w:b w:val="0"/>
          <w:i w:val="0"/>
          <w:sz w:val="21"/>
        </w:rPr>
        <w:t xml:space="preserve"> Committed / MVP for desktop; Planned, Phase 9 for mobile-specific controls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"Desktop and Mobile Security"; DS-ARC-024 (Planned); DS-SCA-002</w:t>
      </w:r>
    </w:p>
    <w:p>
      <w:pPr>
        <w:spacing w:after="120" w:line="288" w:lineRule="auto"/>
      </w:pPr>
      <w:r>
        <w:rPr>
          <w:rFonts w:ascii="Arial" w:hAnsi="Arial"/>
          <w:b/>
          <w:i w:val="0"/>
          <w:sz w:val="21"/>
        </w:rPr>
        <w:t>Description:</w:t>
      </w:r>
      <w:r>
        <w:rPr>
          <w:rFonts w:ascii="Arial" w:hAnsi="Arial"/>
          <w:b w:val="0"/>
          <w:i w:val="0"/>
          <w:sz w:val="21"/>
        </w:rPr>
        <w:t xml:space="preserve"> Desktop and mobile clients avoid storing broker secrets directly, using secure platform storage where sensitive local data is required — the desktop obligation is already covered by DS-SCA-002 (Committed). This requirement adds the mobile-specific architecture DS-ARC-024 establishes: iOS Keychain for secure storage, and strong authentication (DS-SCA-007) for high-risk mobile actions (pause Auto-Trade, emergency stop, trade approvals), once the mobile client is built.</w:t>
      </w:r>
    </w:p>
    <w:p>
      <w:pPr>
        <w:spacing w:after="120" w:line="288" w:lineRule="auto"/>
      </w:pPr>
      <w:r>
        <w:rPr>
          <w:rFonts w:ascii="Arial" w:hAnsi="Arial"/>
          <w:b/>
          <w:i w:val="0"/>
          <w:sz w:val="21"/>
        </w:rPr>
        <w:t>Acceptance Criteria:</w:t>
      </w:r>
      <w:r>
        <w:rPr>
          <w:rFonts w:ascii="Arial" w:hAnsi="Arial"/>
          <w:b w:val="0"/>
          <w:i w:val="0"/>
          <w:sz w:val="21"/>
        </w:rPr>
        <w:t xml:space="preserve"> Matches DS-ARC-024's acceptance criteria exactly for the mobile-specific portion; the desktop portion is already satisfied by DS-SCA-002.</w:t>
      </w:r>
    </w:p>
    <w:p>
      <w:pPr>
        <w:spacing w:after="120" w:line="288" w:lineRule="auto"/>
      </w:pPr>
      <w:r>
        <w:rPr>
          <w:rFonts w:ascii="Arial" w:hAnsi="Arial"/>
          <w:b/>
          <w:i w:val="0"/>
          <w:sz w:val="21"/>
        </w:rPr>
        <w:t>Testing:</w:t>
      </w:r>
      <w:r>
        <w:rPr>
          <w:rFonts w:ascii="Arial" w:hAnsi="Arial"/>
          <w:b w:val="0"/>
          <w:i w:val="0"/>
          <w:sz w:val="21"/>
        </w:rPr>
        <w:t xml:space="preserve"> Deferred to Phase 9 for the mobile-specific portion (shared with DS-ARC-024's own test).</w:t>
      </w:r>
    </w:p>
    <w:p>
      <w:pPr>
        <w:pStyle w:val="Heading1"/>
        <w:spacing w:before="480" w:after="240"/>
        <w:pBdr>
          <w:bottom w:val="single" w:sz="16" w:space="4" w:color="C8A45D"/>
        </w:pBdr>
      </w:pPr>
      <w:r>
        <w:rPr>
          <w:rFonts w:ascii="Arial" w:hAnsi="Arial"/>
          <w:b w:val="0"/>
          <w:i w:val="0"/>
          <w:color w:val="0B0B0D"/>
          <w:sz w:val="44"/>
        </w:rPr>
        <w:t>12. Supply Chain, Dependencies, and Update Integrity</w:t>
      </w:r>
    </w:p>
    <w:p>
      <w:pPr>
        <w:pStyle w:val="Heading2"/>
        <w:spacing w:before="360" w:after="160"/>
        <w:pBdr>
          <w:bottom w:val="single" w:sz="8" w:space="4" w:color="C8A45D"/>
        </w:pBdr>
      </w:pPr>
      <w:r>
        <w:rPr>
          <w:rFonts w:ascii="Arial" w:hAnsi="Arial"/>
          <w:b w:val="0"/>
          <w:i w:val="0"/>
          <w:color w:val="17181C"/>
          <w:sz w:val="34"/>
        </w:rPr>
        <w:t>DS-SCA-018 — Dependency and Supply-Chain Controls</w:t>
      </w:r>
    </w:p>
    <w:p>
      <w:pPr>
        <w:spacing w:after="120" w:line="288" w:lineRule="auto"/>
      </w:pPr>
      <w:r>
        <w:rPr>
          <w:rFonts w:ascii="Arial" w:hAnsi="Arial"/>
          <w:b/>
          <w:i w:val="0"/>
          <w:sz w:val="21"/>
        </w:rPr>
        <w:t>Release Classification:</w:t>
      </w:r>
      <w:r>
        <w:rPr>
          <w:rFonts w:ascii="Arial" w:hAnsi="Arial"/>
          <w:b w:val="0"/>
          <w:i w:val="0"/>
          <w:sz w:val="21"/>
        </w:rPr>
        <w:t xml:space="preserve"> Committed / MVP (process-level)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"Dependency Security"</w:t>
      </w:r>
    </w:p>
    <w:p>
      <w:pPr>
        <w:spacing w:after="120" w:line="288" w:lineRule="auto"/>
      </w:pPr>
      <w:r>
        <w:rPr>
          <w:rFonts w:ascii="Arial" w:hAnsi="Arial"/>
          <w:b/>
          <w:i w:val="0"/>
          <w:sz w:val="21"/>
        </w:rPr>
        <w:t>Description:</w:t>
      </w:r>
      <w:r>
        <w:rPr>
          <w:rFonts w:ascii="Arial" w:hAnsi="Arial"/>
          <w:b w:val="0"/>
          <w:i w:val="0"/>
          <w:sz w:val="21"/>
        </w:rPr>
        <w:t xml:space="preserve"> Dependencies are necessary, maintained where possible, version-controlled, and reviewed before adoption. DarkSage avoids unnecessary dependencies and uncontrolled automatic upgrades in critical areas (security-critical code, per DS-SCA §4 definition).</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A new dependency addition to a security-critical area is reviewed before merge, not auto-adopted.</w:t>
      </w:r>
    </w:p>
    <w:p>
      <w:pPr>
        <w:pStyle w:val="ListBullet"/>
        <w:spacing w:after="60"/>
      </w:pPr>
      <w:r>
        <w:rPr>
          <w:rFonts w:ascii="Arial" w:hAnsi="Arial"/>
          <w:b w:val="0"/>
          <w:i w:val="0"/>
          <w:sz w:val="21"/>
        </w:rPr>
        <w:t>Dependency-scanning tooling runs as part of the development/test pipeline.</w:t>
      </w:r>
    </w:p>
    <w:p>
      <w:pPr>
        <w:spacing w:after="120" w:line="288" w:lineRule="auto"/>
      </w:pPr>
      <w:r>
        <w:rPr>
          <w:rFonts w:ascii="Arial" w:hAnsi="Arial"/>
          <w:b/>
          <w:i w:val="0"/>
          <w:sz w:val="21"/>
        </w:rPr>
        <w:t>Testing:</w:t>
      </w:r>
      <w:r>
        <w:rPr>
          <w:rFonts w:ascii="Arial" w:hAnsi="Arial"/>
          <w:b w:val="0"/>
          <w:i w:val="0"/>
          <w:sz w:val="21"/>
        </w:rPr>
        <w:t xml:space="preserve"> Dependency-scanning test (</w:t>
      </w:r>
      <w:r>
        <w:rPr>
          <w:rFonts w:ascii="Consolas" w:hAnsi="Consolas"/>
          <w:b w:val="0"/>
          <w:i w:val="0"/>
          <w:sz w:val="20"/>
        </w:rPr>
        <w:t>SECURITY_RULES.md</w:t>
      </w:r>
      <w:r>
        <w:rPr>
          <w:rFonts w:ascii="Arial" w:hAnsi="Arial"/>
          <w:b w:val="0"/>
          <w:i w:val="0"/>
          <w:sz w:val="21"/>
        </w:rPr>
        <w:t xml:space="preserve"> "Security Testing").</w:t>
      </w:r>
    </w:p>
    <w:p>
      <w:pPr>
        <w:pStyle w:val="Heading2"/>
        <w:spacing w:before="360" w:after="160"/>
        <w:pBdr>
          <w:bottom w:val="single" w:sz="8" w:space="4" w:color="C8A45D"/>
        </w:pBdr>
      </w:pPr>
      <w:r>
        <w:rPr>
          <w:rFonts w:ascii="Arial" w:hAnsi="Arial"/>
          <w:b w:val="0"/>
          <w:i w:val="0"/>
          <w:color w:val="17181C"/>
          <w:sz w:val="34"/>
        </w:rPr>
        <w:t>DS-SCA-019 — Application Update Integrity</w:t>
      </w:r>
    </w:p>
    <w:p>
      <w:pPr>
        <w:spacing w:after="120" w:line="288" w:lineRule="auto"/>
      </w:pPr>
      <w:r>
        <w:rPr>
          <w:rFonts w:ascii="Arial" w:hAnsi="Arial"/>
          <w:b/>
          <w:i w:val="0"/>
          <w:sz w:val="21"/>
        </w:rPr>
        <w:t>Release Classification:</w:t>
      </w:r>
      <w:r>
        <w:rPr>
          <w:rFonts w:ascii="Arial" w:hAnsi="Arial"/>
          <w:b w:val="0"/>
          <w:i w:val="0"/>
          <w:sz w:val="21"/>
        </w:rPr>
        <w:t xml:space="preserve"> Planned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"Core Security Rule," "Dependency Security" (general principle only — no DS-002/DS-004 requirement currently commits a specific update/distribution mechanism; see Appendix A)</w:t>
      </w:r>
    </w:p>
    <w:p>
      <w:pPr>
        <w:spacing w:after="120" w:line="288" w:lineRule="auto"/>
      </w:pPr>
      <w:r>
        <w:rPr>
          <w:rFonts w:ascii="Arial" w:hAnsi="Arial"/>
          <w:b/>
          <w:i w:val="0"/>
          <w:sz w:val="21"/>
        </w:rPr>
        <w:t>Description:</w:t>
      </w:r>
      <w:r>
        <w:rPr>
          <w:rFonts w:ascii="Arial" w:hAnsi="Arial"/>
          <w:b w:val="0"/>
          <w:i w:val="0"/>
          <w:sz w:val="21"/>
        </w:rPr>
        <w:t xml:space="preserve"> Once DarkSage has a distribution/update mechanism (e.g., an Electron auto-updater or installer-based distribution), updates shall be delivered over secure transport (DS-SCA-011) and shall be integrity/signature-verified before install, consistent with the fail-closed principle (DS-SCA-001): an update that fails integrity verification is rejected, not installed with a warning.</w:t>
      </w:r>
    </w:p>
    <w:p>
      <w:pPr>
        <w:spacing w:after="120" w:line="288" w:lineRule="auto"/>
      </w:pPr>
      <w:r>
        <w:rPr>
          <w:rFonts w:ascii="Arial" w:hAnsi="Arial"/>
          <w:b/>
          <w:i w:val="0"/>
          <w:sz w:val="21"/>
        </w:rPr>
        <w:t>Traceability:</w:t>
      </w:r>
      <w:r>
        <w:rPr>
          <w:rFonts w:ascii="Arial" w:hAnsi="Arial"/>
          <w:b w:val="0"/>
          <w:i w:val="0"/>
          <w:sz w:val="21"/>
        </w:rPr>
        <w:t xml:space="preserve"> This requirement is the governing reference for §13a's threat-scenario table (DS-SCA-024, row 8 — "Application integrity / Update-distribution channel"), which already cites </w:t>
      </w:r>
      <w:r>
        <w:rPr>
          <w:rFonts w:ascii="Consolas" w:hAnsi="Consolas"/>
          <w:b w:val="0"/>
          <w:i w:val="0"/>
          <w:sz w:val="20"/>
        </w:rPr>
        <w:t>DS-SCA-019</w:t>
      </w:r>
      <w:r>
        <w:rPr>
          <w:rFonts w:ascii="Arial" w:hAnsi="Arial"/>
          <w:b w:val="0"/>
          <w:i w:val="0"/>
          <w:sz w:val="21"/>
        </w:rPr>
        <w:t xml:space="preserve"> as its Required Control basis; §13a's protected-assets list (DS-SCA-023) and trust-boundary list both name "update mechanism ↔ installed application (DS-SCA-019)" as the asset/boundary this requirement protects. The grounding gap this requirement carries — no DS-002/DS-004 requirement yet commits a specific update/distribution mechanism — is recorded once, in Appendix A Open Question #2, rather than restated inconsistently elsewhere; every other cross-reference to DS-SCA-019 in this document points here for that context instead of re-describing the gap.</w:t>
      </w:r>
    </w:p>
    <w:p>
      <w:pPr>
        <w:spacing w:after="120" w:line="288" w:lineRule="auto"/>
      </w:pPr>
      <w:r>
        <w:rPr>
          <w:rFonts w:ascii="Arial" w:hAnsi="Arial"/>
          <w:b/>
          <w:i w:val="0"/>
          <w:sz w:val="21"/>
        </w:rPr>
        <w:t>Acceptance Criteria:</w:t>
      </w:r>
      <w:r>
        <w:rPr>
          <w:rFonts w:ascii="Arial" w:hAnsi="Arial"/>
          <w:b w:val="0"/>
          <w:i w:val="0"/>
          <w:sz w:val="21"/>
        </w:rPr>
        <w:t xml:space="preserve"> Deferred pending selection of a distribution/update mechanism; the secure-transport and signature-verification obligations are fixed now.</w:t>
      </w:r>
    </w:p>
    <w:p>
      <w:pPr>
        <w:spacing w:after="120" w:line="288" w:lineRule="auto"/>
      </w:pPr>
      <w:r>
        <w:rPr>
          <w:rFonts w:ascii="Arial" w:hAnsi="Arial"/>
          <w:b/>
          <w:i w:val="0"/>
          <w:sz w:val="21"/>
        </w:rPr>
        <w:t>Testing:</w:t>
      </w:r>
      <w:r>
        <w:rPr>
          <w:rFonts w:ascii="Arial" w:hAnsi="Arial"/>
          <w:b w:val="0"/>
          <w:i w:val="0"/>
          <w:sz w:val="21"/>
        </w:rPr>
        <w:t xml:space="preserve"> Not yet applicable — deferred to the update mechanism's own implementation. Once a mechanism is selected, DS-009 (Testing and QA) is expected to add a corresponding tamper/signature-verification test alongside DS-SCA-024 row 8's other adversarial coverage; no such test currently exists in DS-009, a gap this repair records rather than silently closes.</w:t>
      </w:r>
    </w:p>
    <w:p>
      <w:pPr>
        <w:pStyle w:val="Heading1"/>
        <w:spacing w:before="480" w:after="240"/>
        <w:pBdr>
          <w:bottom w:val="single" w:sz="16" w:space="4" w:color="C8A45D"/>
        </w:pBdr>
      </w:pPr>
      <w:r>
        <w:rPr>
          <w:rFonts w:ascii="Arial" w:hAnsi="Arial"/>
          <w:b w:val="0"/>
          <w:i w:val="0"/>
          <w:color w:val="0B0B0D"/>
          <w:sz w:val="44"/>
        </w:rPr>
        <w:t>13. Audit and Process Controls</w:t>
      </w:r>
    </w:p>
    <w:p>
      <w:pPr>
        <w:pStyle w:val="Heading2"/>
        <w:spacing w:before="360" w:after="160"/>
        <w:pBdr>
          <w:bottom w:val="single" w:sz="8" w:space="4" w:color="C8A45D"/>
        </w:pBdr>
      </w:pPr>
      <w:r>
        <w:rPr>
          <w:rFonts w:ascii="Arial" w:hAnsi="Arial"/>
          <w:b w:val="0"/>
          <w:i w:val="0"/>
          <w:color w:val="17181C"/>
          <w:sz w:val="34"/>
        </w:rPr>
        <w:t>DS-SCA-020 — Security Event Audit Logging</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DS-OPS-001, DS-OPS-002 (both Committed); </w:t>
      </w:r>
      <w:r>
        <w:rPr>
          <w:rFonts w:ascii="Consolas" w:hAnsi="Consolas"/>
          <w:b w:val="0"/>
          <w:i w:val="0"/>
          <w:sz w:val="20"/>
        </w:rPr>
        <w:t>SECURITY_RULES.md</w:t>
      </w:r>
      <w:r>
        <w:rPr>
          <w:rFonts w:ascii="Arial" w:hAnsi="Arial"/>
          <w:b w:val="0"/>
          <w:i w:val="0"/>
          <w:sz w:val="21"/>
        </w:rPr>
        <w:t xml:space="preserve"> "Logging"</w:t>
      </w:r>
    </w:p>
    <w:p>
      <w:pPr>
        <w:spacing w:after="120" w:line="288" w:lineRule="auto"/>
      </w:pPr>
      <w:r>
        <w:rPr>
          <w:rFonts w:ascii="Arial" w:hAnsi="Arial"/>
          <w:b/>
          <w:i w:val="0"/>
          <w:sz w:val="21"/>
        </w:rPr>
        <w:t>Description:</w:t>
      </w:r>
      <w:r>
        <w:rPr>
          <w:rFonts w:ascii="Arial" w:hAnsi="Arial"/>
          <w:b w:val="0"/>
          <w:i w:val="0"/>
          <w:sz w:val="21"/>
        </w:rPr>
        <w:t xml:space="preserve"> This requirement is the security-specific instantiation of DS-OPS-001/002, which DS-008 does not redefine: security-sensitive actions are audited, including login, failed login, credential change, live-trading enable, Auto-Trader enable/disable, risk-limit changes, Emergency Stop, Emergency Flatten, trade override, and permission changes. No log entry ever contains a full secret; sensitive values are redacted (DS-SCA-002).</w:t>
      </w:r>
    </w:p>
    <w:p>
      <w:pPr>
        <w:spacing w:after="120" w:line="288" w:lineRule="auto"/>
      </w:pPr>
      <w:r>
        <w:rPr>
          <w:rFonts w:ascii="Arial" w:hAnsi="Arial"/>
          <w:b/>
          <w:i w:val="0"/>
          <w:sz w:val="21"/>
        </w:rPr>
        <w:t>Acceptance Criteria:</w:t>
      </w:r>
      <w:r>
        <w:rPr>
          <w:rFonts w:ascii="Arial" w:hAnsi="Arial"/>
          <w:b w:val="0"/>
          <w:i w:val="0"/>
          <w:sz w:val="21"/>
        </w:rPr>
        <w:t xml:space="preserve"> Matches DS-OPS-001/002's acceptance criteria; every listed security-sensitive action produces a correlated audit entry once its underlying feature exists.</w:t>
      </w:r>
    </w:p>
    <w:p>
      <w:pPr>
        <w:spacing w:after="120" w:line="288" w:lineRule="auto"/>
      </w:pPr>
      <w:r>
        <w:rPr>
          <w:rFonts w:ascii="Arial" w:hAnsi="Arial"/>
          <w:b/>
          <w:i w:val="0"/>
          <w:sz w:val="21"/>
        </w:rPr>
        <w:t>Testing:</w:t>
      </w:r>
      <w:r>
        <w:rPr>
          <w:rFonts w:ascii="Arial" w:hAnsi="Arial"/>
          <w:b w:val="0"/>
          <w:i w:val="0"/>
          <w:sz w:val="21"/>
        </w:rPr>
        <w:t xml:space="preserve"> Audit-content audit per listed security-sensitive action category, including a secret-redaction check (shared with DS-OPS-001/002's own test).</w:t>
      </w:r>
    </w:p>
    <w:p>
      <w:pPr>
        <w:pStyle w:val="Heading2"/>
        <w:spacing w:before="360" w:after="160"/>
        <w:pBdr>
          <w:bottom w:val="single" w:sz="8" w:space="4" w:color="C8A45D"/>
        </w:pBdr>
      </w:pPr>
      <w:r>
        <w:rPr>
          <w:rFonts w:ascii="Arial" w:hAnsi="Arial"/>
          <w:b w:val="0"/>
          <w:i w:val="0"/>
          <w:color w:val="17181C"/>
          <w:sz w:val="34"/>
        </w:rPr>
        <w:t>DS-SCA-021 — Independent Review and Development Agent Security Constraints</w:t>
      </w:r>
    </w:p>
    <w:p>
      <w:pPr>
        <w:spacing w:after="120" w:line="288" w:lineRule="auto"/>
      </w:pPr>
      <w:r>
        <w:rPr>
          <w:rFonts w:ascii="Arial" w:hAnsi="Arial"/>
          <w:b/>
          <w:i w:val="0"/>
          <w:sz w:val="21"/>
        </w:rPr>
        <w:t>Release Classification:</w:t>
      </w:r>
      <w:r>
        <w:rPr>
          <w:rFonts w:ascii="Arial" w:hAnsi="Arial"/>
          <w:b w:val="0"/>
          <w:i w:val="0"/>
          <w:sz w:val="21"/>
        </w:rPr>
        <w:t xml:space="preserve"> Committed / MVP (process-level)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"Independent Review," "Automated Tooling Security"</w:t>
      </w:r>
    </w:p>
    <w:p>
      <w:pPr>
        <w:spacing w:after="120" w:line="288" w:lineRule="auto"/>
      </w:pPr>
      <w:r>
        <w:rPr>
          <w:rFonts w:ascii="Arial" w:hAnsi="Arial"/>
          <w:b/>
          <w:i w:val="0"/>
          <w:sz w:val="21"/>
        </w:rPr>
        <w:t>Description:</w:t>
      </w:r>
      <w:r>
        <w:rPr>
          <w:rFonts w:ascii="Arial" w:hAnsi="Arial"/>
          <w:b w:val="0"/>
          <w:i w:val="0"/>
          <w:sz w:val="21"/>
        </w:rPr>
        <w:t xml:space="preserve"> No single agent — human or AI — both implements and solely approves security-critical code (DS-008 §4 definition: Risk Engine, broker execution, kill switch, duplicate-order protection, broker reconciliation, authentication, authorization, secret handling). Development agents must follow the repository's governing documents (</w:t>
      </w:r>
      <w:r>
        <w:rPr>
          <w:rFonts w:ascii="Consolas" w:hAnsi="Consolas"/>
          <w:b w:val="0"/>
          <w:i w:val="0"/>
          <w:sz w:val="20"/>
        </w:rPr>
        <w:t>PROJECT_SPEC.md</w:t>
      </w:r>
      <w:r>
        <w:rPr>
          <w:rFonts w:ascii="Arial" w:hAnsi="Arial"/>
          <w:b w:val="0"/>
          <w:i w:val="0"/>
          <w:sz w:val="21"/>
        </w:rPr>
        <w:t xml:space="preserve">, </w:t>
      </w:r>
      <w:r>
        <w:rPr>
          <w:rFonts w:ascii="Consolas" w:hAnsi="Consolas"/>
          <w:b w:val="0"/>
          <w:i w:val="0"/>
          <w:sz w:val="20"/>
        </w:rPr>
        <w:t>ARCHITECTURE.md</w:t>
      </w:r>
      <w:r>
        <w:rPr>
          <w:rFonts w:ascii="Arial" w:hAnsi="Arial"/>
          <w:b w:val="0"/>
          <w:i w:val="0"/>
          <w:sz w:val="21"/>
        </w:rPr>
        <w:t xml:space="preserve">, </w:t>
      </w:r>
      <w:r>
        <w:rPr>
          <w:rFonts w:ascii="Consolas" w:hAnsi="Consolas"/>
          <w:b w:val="0"/>
          <w:i w:val="0"/>
          <w:sz w:val="20"/>
        </w:rPr>
        <w:t>ROADMAP.md</w:t>
      </w:r>
      <w:r>
        <w:rPr>
          <w:rFonts w:ascii="Arial" w:hAnsi="Arial"/>
          <w:b w:val="0"/>
          <w:i w:val="0"/>
          <w:sz w:val="21"/>
        </w:rPr>
        <w:t xml:space="preserve">, </w:t>
      </w:r>
      <w:r>
        <w:rPr>
          <w:rFonts w:ascii="Consolas" w:hAnsi="Consolas"/>
          <w:b w:val="0"/>
          <w:i w:val="0"/>
          <w:sz w:val="20"/>
        </w:rPr>
        <w:t>AGENTS.md</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and must not commit secrets, disable security checks, enable live trading without explicit approval, expose services publicly by default, install unnecessary dependencies, or make destructive system changes without approval.</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merge touching security-critical code is approved solely by the same agent/author that authored it.</w:t>
      </w:r>
    </w:p>
    <w:p>
      <w:pPr>
        <w:pStyle w:val="ListBullet"/>
        <w:spacing w:after="60"/>
      </w:pPr>
      <w:r>
        <w:rPr>
          <w:rFonts w:ascii="Arial" w:hAnsi="Arial"/>
          <w:b w:val="0"/>
          <w:i w:val="0"/>
          <w:sz w:val="21"/>
        </w:rPr>
        <w:t xml:space="preserve">No development-agent action in this repository's own history violates a listed constraint (self-referential: this Codex's own separation between Author/Repair Agent and independent auditor, per </w:t>
      </w:r>
      <w:r>
        <w:rPr>
          <w:rFonts w:ascii="Consolas" w:hAnsi="Consolas"/>
          <w:b w:val="0"/>
          <w:i w:val="0"/>
          <w:sz w:val="20"/>
        </w:rPr>
        <w:t>.ai-workflow/AGENT_PROTOCOL.md</w:t>
      </w:r>
      <w:r>
        <w:rPr>
          <w:rFonts w:ascii="Arial" w:hAnsi="Arial"/>
          <w:b w:val="0"/>
          <w:i w:val="0"/>
          <w:sz w:val="21"/>
        </w:rPr>
        <w:t>, is the process instantiation of this exact requirement for documentation changes, and the same principle extends to code).</w:t>
      </w:r>
    </w:p>
    <w:p>
      <w:pPr>
        <w:spacing w:after="120" w:line="288" w:lineRule="auto"/>
      </w:pPr>
      <w:r>
        <w:rPr>
          <w:rFonts w:ascii="Arial" w:hAnsi="Arial"/>
          <w:b/>
          <w:i w:val="0"/>
          <w:sz w:val="21"/>
        </w:rPr>
        <w:t>Testing:</w:t>
      </w:r>
      <w:r>
        <w:rPr>
          <w:rFonts w:ascii="Arial" w:hAnsi="Arial"/>
          <w:b w:val="0"/>
          <w:i w:val="0"/>
          <w:sz w:val="21"/>
        </w:rPr>
        <w:t xml:space="preserve"> Code-review process audit confirming independent-approval evidence for security-critical merges.</w:t>
      </w:r>
    </w:p>
    <w:p>
      <w:pPr>
        <w:pStyle w:val="Heading2"/>
        <w:spacing w:before="360" w:after="160"/>
        <w:pBdr>
          <w:bottom w:val="single" w:sz="8" w:space="4" w:color="C8A45D"/>
        </w:pBdr>
      </w:pPr>
      <w:r>
        <w:rPr>
          <w:rFonts w:ascii="Arial" w:hAnsi="Arial"/>
          <w:b w:val="0"/>
          <w:i w:val="0"/>
          <w:color w:val="17181C"/>
          <w:sz w:val="34"/>
        </w:rPr>
        <w:t>DS-SCA-022 — Security Review Gate Before Live Trading</w:t>
      </w:r>
    </w:p>
    <w:p>
      <w:pPr>
        <w:spacing w:after="120" w:line="288" w:lineRule="auto"/>
      </w:pPr>
      <w:r>
        <w:rPr>
          <w:rFonts w:ascii="Arial" w:hAnsi="Arial"/>
          <w:b/>
          <w:i w:val="0"/>
          <w:sz w:val="21"/>
        </w:rPr>
        <w:t>Release Classification:</w:t>
      </w:r>
      <w:r>
        <w:rPr>
          <w:rFonts w:ascii="Arial" w:hAnsi="Arial"/>
          <w:b w:val="0"/>
          <w:i w:val="0"/>
          <w:sz w:val="21"/>
        </w:rPr>
        <w:t xml:space="preserve"> Committed / MVP (governance boundary); Planned (implementation, Phase 13) | </w:t>
      </w:r>
      <w:r>
        <w:rPr>
          <w:rFonts w:ascii="Arial" w:hAnsi="Arial"/>
          <w:b/>
          <w:i w:val="0"/>
          <w:sz w:val="21"/>
        </w:rPr>
        <w:t>Governing Source:</w:t>
      </w:r>
      <w:r>
        <w:rPr>
          <w:rFonts w:ascii="Arial" w:hAnsi="Arial"/>
          <w:b w:val="0"/>
          <w:i w:val="0"/>
          <w:sz w:val="21"/>
        </w:rPr>
        <w:t xml:space="preserve"> DS-EXE-007 (Committed); </w:t>
      </w:r>
      <w:r>
        <w:rPr>
          <w:rFonts w:ascii="Consolas" w:hAnsi="Consolas"/>
          <w:b w:val="0"/>
          <w:i w:val="0"/>
          <w:sz w:val="20"/>
        </w:rPr>
        <w:t>SECURITY_RULES.md</w:t>
      </w:r>
      <w:r>
        <w:rPr>
          <w:rFonts w:ascii="Arial" w:hAnsi="Arial"/>
          <w:b w:val="0"/>
          <w:i w:val="0"/>
          <w:sz w:val="21"/>
        </w:rPr>
        <w:t xml:space="preserve"> "Security Review Before Live Trading"</w:t>
      </w:r>
    </w:p>
    <w:p>
      <w:pPr>
        <w:spacing w:after="120" w:line="288" w:lineRule="auto"/>
      </w:pPr>
      <w:r>
        <w:rPr>
          <w:rFonts w:ascii="Arial" w:hAnsi="Arial"/>
          <w:b/>
          <w:i w:val="0"/>
          <w:sz w:val="21"/>
        </w:rPr>
        <w:t>Description:</w:t>
      </w:r>
      <w:r>
        <w:rPr>
          <w:rFonts w:ascii="Arial" w:hAnsi="Arial"/>
          <w:b w:val="0"/>
          <w:i w:val="0"/>
          <w:sz w:val="21"/>
        </w:rPr>
        <w:t xml:space="preserve"> This requirement states the security-specific content of the independent security review DS-EXE-007's live-trading gate already requires, without redefining that gate: authentication, authorization, secrets, broker credentials, broker permissions, Risk Engine, execution engine, emergency controls, reconciliation, logging, deployment, mobile controls, and network exposure are each reviewed before live trading is enabled.</w:t>
      </w:r>
    </w:p>
    <w:p>
      <w:pPr>
        <w:spacing w:after="120" w:line="288" w:lineRule="auto"/>
      </w:pPr>
      <w:r>
        <w:rPr>
          <w:rFonts w:ascii="Arial" w:hAnsi="Arial"/>
          <w:b/>
          <w:i w:val="0"/>
          <w:sz w:val="21"/>
        </w:rPr>
        <w:t>Acceptance Criteria:</w:t>
      </w:r>
      <w:r>
        <w:rPr>
          <w:rFonts w:ascii="Arial" w:hAnsi="Arial"/>
          <w:b w:val="0"/>
          <w:i w:val="0"/>
          <w:sz w:val="21"/>
        </w:rPr>
        <w:t xml:space="preserve"> Matches DS-EXE-007's acceptance criteria; the review checklist above is the security-specific detail behind DS-EXE-007's "independent security review has passed" prerequisite.</w:t>
      </w:r>
    </w:p>
    <w:p>
      <w:pPr>
        <w:spacing w:after="120" w:line="288" w:lineRule="auto"/>
      </w:pPr>
      <w:r>
        <w:rPr>
          <w:rFonts w:ascii="Arial" w:hAnsi="Arial"/>
          <w:b/>
          <w:i w:val="0"/>
          <w:sz w:val="21"/>
        </w:rPr>
        <w:t>Testing:</w:t>
      </w:r>
      <w:r>
        <w:rPr>
          <w:rFonts w:ascii="Arial" w:hAnsi="Arial"/>
          <w:b w:val="0"/>
          <w:i w:val="0"/>
          <w:sz w:val="21"/>
        </w:rPr>
        <w:t xml:space="preserve"> Requirements/governance review now (shared with DS-EXE-007's own test); full security review execution deferred to Phase 13.</w:t>
      </w:r>
    </w:p>
    <w:p>
      <w:pPr>
        <w:pStyle w:val="Heading1"/>
        <w:spacing w:before="480" w:after="240"/>
        <w:pBdr>
          <w:bottom w:val="single" w:sz="16" w:space="4" w:color="C8A45D"/>
        </w:pBdr>
      </w:pPr>
      <w:r>
        <w:rPr>
          <w:rFonts w:ascii="Arial" w:hAnsi="Arial"/>
          <w:b w:val="0"/>
          <w:i w:val="0"/>
          <w:color w:val="0B0B0D"/>
          <w:sz w:val="44"/>
        </w:rPr>
        <w:t>13a. Missing Security Architecture Contracts (added in the DS-008-H1/H2/H3 repair)</w:t>
      </w:r>
    </w:p>
    <w:p>
      <w:pPr>
        <w:spacing w:after="120" w:line="288" w:lineRule="auto"/>
      </w:pPr>
      <w:r>
        <w:rPr>
          <w:rFonts w:ascii="Arial" w:hAnsi="Arial"/>
          <w:b w:val="0"/>
          <w:i w:val="0"/>
          <w:sz w:val="21"/>
        </w:rPr>
        <w:t>The following close completeness gaps identified by independent audit: DS-SCA-001's threat model referenced a scope without an actionable asset/actor/scenario catalog (H1); DS-SCA-020 defined redaction but not audit-log trustworthiness/tamper-resistance (H2); and no requirement defined the security-incident lifecycle (H3).</w:t>
      </w:r>
    </w:p>
    <w:p>
      <w:pPr>
        <w:pStyle w:val="Heading2"/>
        <w:spacing w:before="360" w:after="160"/>
        <w:pBdr>
          <w:bottom w:val="single" w:sz="8" w:space="4" w:color="C8A45D"/>
        </w:pBdr>
      </w:pPr>
      <w:r>
        <w:rPr>
          <w:rFonts w:ascii="Arial" w:hAnsi="Arial"/>
          <w:b w:val="0"/>
          <w:i w:val="0"/>
          <w:color w:val="17181C"/>
          <w:sz w:val="34"/>
        </w:rPr>
        <w:t>DS-SCA-023 — Protected Assets, Threat Actors, and Trust Boundaries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"Purpose"; DS-SCA-001</w:t>
      </w:r>
    </w:p>
    <w:p>
      <w:pPr>
        <w:spacing w:after="120" w:line="288" w:lineRule="auto"/>
      </w:pPr>
      <w:r>
        <w:rPr>
          <w:rFonts w:ascii="Arial" w:hAnsi="Arial"/>
          <w:b/>
          <w:i w:val="0"/>
          <w:sz w:val="21"/>
        </w:rPr>
        <w:t>Description:</w:t>
      </w:r>
      <w:r>
        <w:rPr>
          <w:rFonts w:ascii="Arial" w:hAnsi="Arial"/>
          <w:b w:val="0"/>
          <w:i w:val="0"/>
          <w:sz w:val="21"/>
        </w:rPr>
        <w:t xml:space="preserve"> This requirement enumerates, as a fixed architectural catalog, the assets, actors, and trust boundaries DS-SCA-001's threat model covers, making it actionable rather than a scope statement alone.</w:t>
      </w:r>
    </w:p>
    <w:p>
      <w:pPr>
        <w:spacing w:after="120" w:line="288" w:lineRule="auto"/>
      </w:pPr>
      <w:r>
        <w:rPr>
          <w:rFonts w:ascii="Arial" w:hAnsi="Arial"/>
          <w:b/>
          <w:i w:val="0"/>
          <w:sz w:val="21"/>
        </w:rPr>
        <w:t>Protected assets:</w:t>
      </w:r>
      <w:r>
        <w:rPr>
          <w:rFonts w:ascii="Arial" w:hAnsi="Arial"/>
          <w:b w:val="0"/>
          <w:i w:val="0"/>
          <w:sz w:val="21"/>
        </w:rPr>
        <w:t xml:space="preserve"> user identity/session data (DS-SCA-004/005); broker credentials and integration secrets (DS-SCA-002/003/013); financial/portfolio data (DS-DAT-001, DS-SCA-010); trading permissions and execution authority (DS-SCA-005/012); Risk Engine and validation authority (DS-RSK-001, DS-SCA-012); audit evidence (DS-SCA-020, DS-SCA-025); model inputs/outputs and retrieved evidence (DS-PRD-002, DS-SCA-008); local configuration and application integrity (DS-SCA-018/019).</w:t>
      </w:r>
    </w:p>
    <w:p>
      <w:pPr>
        <w:spacing w:after="120" w:line="288" w:lineRule="auto"/>
      </w:pPr>
      <w:r>
        <w:rPr>
          <w:rFonts w:ascii="Arial" w:hAnsi="Arial"/>
          <w:b/>
          <w:i w:val="0"/>
          <w:sz w:val="21"/>
        </w:rPr>
        <w:t>Threat actors:</w:t>
      </w:r>
      <w:r>
        <w:rPr>
          <w:rFonts w:ascii="Arial" w:hAnsi="Arial"/>
          <w:b w:val="0"/>
          <w:i w:val="0"/>
          <w:sz w:val="21"/>
        </w:rPr>
        <w:t xml:space="preserve"> unauthenticated remote attacker; malicious or compromised authenticated user/session; malware or compromised local process; compromised dependency/update channel; compromised external provider/broker integration; insider or over-privileged process; prompt/data-injection source (market data, AI output, imported files — where applicable).</w:t>
      </w:r>
    </w:p>
    <w:p>
      <w:pPr>
        <w:spacing w:after="120" w:line="288" w:lineRule="auto"/>
      </w:pPr>
      <w:r>
        <w:rPr>
          <w:rFonts w:ascii="Arial" w:hAnsi="Arial"/>
          <w:b/>
          <w:i w:val="0"/>
          <w:sz w:val="21"/>
        </w:rPr>
        <w:t>Trust boundaries:</w:t>
      </w:r>
      <w:r>
        <w:rPr>
          <w:rFonts w:ascii="Arial" w:hAnsi="Arial"/>
          <w:b w:val="0"/>
          <w:i w:val="0"/>
          <w:sz w:val="21"/>
        </w:rPr>
        <w:t xml:space="preserve"> desktop client ↔ backend/service layer (DS-ARC-001, DS-SCA-006); backend ↔ database (DS-SCA-010); backend ↔ broker/provider adapters (DS-ARC-006, DS-EXE-006); Sage/model runtime ↔ deterministic services (DS-PRD-004, DS-SCA-008); local storage ↔ application process (DS-SCA-002); update mechanism ↔ installed application (DS-SCA-019); paper-trading ↔ live-trading boundary (DS-EXE-007, DS-SCA-022).</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listed asset has at least one governing DS-SCA/DS-002 requirement cited.</w:t>
      </w:r>
    </w:p>
    <w:p>
      <w:pPr>
        <w:pStyle w:val="ListBullet"/>
        <w:spacing w:after="60"/>
      </w:pPr>
      <w:r>
        <w:rPr>
          <w:rFonts w:ascii="Arial" w:hAnsi="Arial"/>
          <w:b w:val="0"/>
          <w:i w:val="0"/>
          <w:sz w:val="21"/>
        </w:rPr>
        <w:t>Every trust boundary is enforced by a backend-side check (DS-SCA-006), never a client-side-only control.</w:t>
      </w:r>
    </w:p>
    <w:p>
      <w:pPr>
        <w:pStyle w:val="ListBullet"/>
        <w:spacing w:after="60"/>
      </w:pPr>
      <w:r>
        <w:rPr>
          <w:rFonts w:ascii="Arial" w:hAnsi="Arial"/>
          <w:b w:val="0"/>
          <w:i w:val="0"/>
          <w:sz w:val="21"/>
        </w:rPr>
        <w:t>This catalog is reviewed and updated whenever a new asset, actor class, or trust boundary is introduced elsewhere in the Codex.</w:t>
      </w:r>
    </w:p>
    <w:p>
      <w:pPr>
        <w:spacing w:after="120" w:line="288" w:lineRule="auto"/>
      </w:pPr>
      <w:r>
        <w:rPr>
          <w:rFonts w:ascii="Arial" w:hAnsi="Arial"/>
          <w:b/>
          <w:i w:val="0"/>
          <w:sz w:val="21"/>
        </w:rPr>
        <w:t>Testing:</w:t>
      </w:r>
      <w:r>
        <w:rPr>
          <w:rFonts w:ascii="Arial" w:hAnsi="Arial"/>
          <w:b w:val="0"/>
          <w:i w:val="0"/>
          <w:sz w:val="21"/>
        </w:rPr>
        <w:t xml:space="preserve"> Design/architecture-review checklist confirming every new feature introducing an asset, actor, or trust boundary is added to this catalog before merge.</w:t>
      </w:r>
    </w:p>
    <w:p>
      <w:pPr>
        <w:pStyle w:val="Heading2"/>
        <w:spacing w:before="360" w:after="160"/>
        <w:pBdr>
          <w:bottom w:val="single" w:sz="8" w:space="4" w:color="C8A45D"/>
        </w:pBdr>
      </w:pPr>
      <w:r>
        <w:rPr>
          <w:rFonts w:ascii="Arial" w:hAnsi="Arial"/>
          <w:b w:val="0"/>
          <w:i w:val="0"/>
          <w:color w:val="17181C"/>
          <w:sz w:val="34"/>
        </w:rPr>
        <w:t>DS-SCA-024 — Material Threat Scenarios and Controls</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DS-SCA-023; </w:t>
      </w:r>
      <w:r>
        <w:rPr>
          <w:rFonts w:ascii="Consolas" w:hAnsi="Consolas"/>
          <w:b w:val="0"/>
          <w:i w:val="0"/>
          <w:sz w:val="20"/>
        </w:rPr>
        <w:t>SECURITY_RULES.md</w:t>
      </w:r>
      <w:r>
        <w:rPr>
          <w:rFonts w:ascii="Arial" w:hAnsi="Arial"/>
          <w:b w:val="0"/>
          <w:i w:val="0"/>
          <w:sz w:val="21"/>
        </w:rPr>
        <w:t xml:space="preserve"> (cited per scenario)</w:t>
      </w:r>
    </w:p>
    <w:p>
      <w:pPr>
        <w:spacing w:after="120" w:line="288" w:lineRule="auto"/>
      </w:pPr>
      <w:r>
        <w:rPr>
          <w:rFonts w:ascii="Arial" w:hAnsi="Arial"/>
          <w:b/>
          <w:i w:val="0"/>
          <w:sz w:val="21"/>
        </w:rPr>
        <w:t>Description:</w:t>
      </w:r>
      <w:r>
        <w:rPr>
          <w:rFonts w:ascii="Arial" w:hAnsi="Arial"/>
          <w:b w:val="0"/>
          <w:i w:val="0"/>
          <w:sz w:val="21"/>
        </w:rPr>
        <w:t xml:space="preserve"> The following material threat scenarios instantiate DS-SCA-023's assets/actors/boundaries into concrete, testable architectural requirements. Each scenario states the asset at risk, entry point, threat/action, required control, expected fail-safe/fail-closed behavior, residual risk/disposition, and governing reference. This table is architectural — it does not prescribe implementation-specific tooling.</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170"/>
        <w:gridCol w:w="1170"/>
        <w:gridCol w:w="1170"/>
        <w:gridCol w:w="1170"/>
        <w:gridCol w:w="1170"/>
        <w:gridCol w:w="1170"/>
        <w:gridCol w:w="1170"/>
        <w:gridCol w:w="1170"/>
      </w:tblGrid>
      <w:tr>
        <w:tc>
          <w:tcPr>
            <w:tcW w:type="dxa" w:w="1170"/>
            <w:shd w:val="clear" w:color="auto" w:fill="17181C"/>
          </w:tcPr>
          <w:p>
            <w:r>
              <w:rPr>
                <w:rFonts w:ascii="Arial" w:hAnsi="Arial"/>
                <w:b/>
                <w:color w:val="F4F2EC"/>
                <w:sz w:val="19"/>
              </w:rPr>
              <w:t>#</w:t>
            </w:r>
          </w:p>
        </w:tc>
        <w:tc>
          <w:tcPr>
            <w:tcW w:type="dxa" w:w="1170"/>
            <w:shd w:val="clear" w:color="auto" w:fill="17181C"/>
          </w:tcPr>
          <w:p>
            <w:r>
              <w:rPr>
                <w:rFonts w:ascii="Arial" w:hAnsi="Arial"/>
                <w:b/>
                <w:color w:val="F4F2EC"/>
                <w:sz w:val="19"/>
              </w:rPr>
              <w:t>Asset at Risk</w:t>
            </w:r>
          </w:p>
        </w:tc>
        <w:tc>
          <w:tcPr>
            <w:tcW w:type="dxa" w:w="1170"/>
            <w:shd w:val="clear" w:color="auto" w:fill="17181C"/>
          </w:tcPr>
          <w:p>
            <w:r>
              <w:rPr>
                <w:rFonts w:ascii="Arial" w:hAnsi="Arial"/>
                <w:b/>
                <w:color w:val="F4F2EC"/>
                <w:sz w:val="19"/>
              </w:rPr>
              <w:t>Entry Point</w:t>
            </w:r>
          </w:p>
        </w:tc>
        <w:tc>
          <w:tcPr>
            <w:tcW w:type="dxa" w:w="1170"/>
            <w:shd w:val="clear" w:color="auto" w:fill="17181C"/>
          </w:tcPr>
          <w:p>
            <w:r>
              <w:rPr>
                <w:rFonts w:ascii="Arial" w:hAnsi="Arial"/>
                <w:b/>
                <w:color w:val="F4F2EC"/>
                <w:sz w:val="19"/>
              </w:rPr>
              <w:t>Threat / Action</w:t>
            </w:r>
          </w:p>
        </w:tc>
        <w:tc>
          <w:tcPr>
            <w:tcW w:type="dxa" w:w="1170"/>
            <w:shd w:val="clear" w:color="auto" w:fill="17181C"/>
          </w:tcPr>
          <w:p>
            <w:r>
              <w:rPr>
                <w:rFonts w:ascii="Arial" w:hAnsi="Arial"/>
                <w:b/>
                <w:color w:val="F4F2EC"/>
                <w:sz w:val="19"/>
              </w:rPr>
              <w:t>Required Control</w:t>
            </w:r>
          </w:p>
        </w:tc>
        <w:tc>
          <w:tcPr>
            <w:tcW w:type="dxa" w:w="1170"/>
            <w:shd w:val="clear" w:color="auto" w:fill="17181C"/>
          </w:tcPr>
          <w:p>
            <w:r>
              <w:rPr>
                <w:rFonts w:ascii="Arial" w:hAnsi="Arial"/>
                <w:b/>
                <w:color w:val="F4F2EC"/>
                <w:sz w:val="19"/>
              </w:rPr>
              <w:t>Fail-Safe / Fail-Closed Behavior</w:t>
            </w:r>
          </w:p>
        </w:tc>
        <w:tc>
          <w:tcPr>
            <w:tcW w:type="dxa" w:w="1170"/>
            <w:shd w:val="clear" w:color="auto" w:fill="17181C"/>
          </w:tcPr>
          <w:p>
            <w:r>
              <w:rPr>
                <w:rFonts w:ascii="Arial" w:hAnsi="Arial"/>
                <w:b/>
                <w:color w:val="F4F2EC"/>
                <w:sz w:val="19"/>
              </w:rPr>
              <w:t>Residual Risk / Disposition</w:t>
            </w:r>
          </w:p>
        </w:tc>
        <w:tc>
          <w:tcPr>
            <w:tcW w:type="dxa" w:w="1170"/>
            <w:shd w:val="clear" w:color="auto" w:fill="17181C"/>
          </w:tcPr>
          <w:p>
            <w:r>
              <w:rPr>
                <w:rFonts w:ascii="Arial" w:hAnsi="Arial"/>
                <w:b/>
                <w:color w:val="F4F2EC"/>
                <w:sz w:val="19"/>
              </w:rPr>
              <w:t>Governing Reference</w:t>
            </w:r>
          </w:p>
        </w:tc>
      </w:tr>
      <w:tr>
        <w:tc>
          <w:tcPr>
            <w:tcW w:type="dxa" w:w="1170"/>
          </w:tcPr>
          <w:p>
            <w:pPr>
              <w:spacing w:after="60"/>
            </w:pPr>
            <w:r>
              <w:rPr>
                <w:rFonts w:ascii="Arial" w:hAnsi="Arial"/>
                <w:b w:val="0"/>
                <w:i w:val="0"/>
                <w:sz w:val="15"/>
              </w:rPr>
              <w:t>1</w:t>
            </w:r>
          </w:p>
        </w:tc>
        <w:tc>
          <w:tcPr>
            <w:tcW w:type="dxa" w:w="1170"/>
          </w:tcPr>
          <w:p>
            <w:pPr>
              <w:spacing w:after="60"/>
            </w:pPr>
            <w:r>
              <w:rPr>
                <w:rFonts w:ascii="Arial" w:hAnsi="Arial"/>
                <w:b w:val="0"/>
                <w:i w:val="0"/>
                <w:sz w:val="15"/>
              </w:rPr>
              <w:t>Session/identity data</w:t>
            </w:r>
          </w:p>
        </w:tc>
        <w:tc>
          <w:tcPr>
            <w:tcW w:type="dxa" w:w="1170"/>
          </w:tcPr>
          <w:p>
            <w:pPr>
              <w:spacing w:after="60"/>
            </w:pPr>
            <w:r>
              <w:rPr>
                <w:rFonts w:ascii="Arial" w:hAnsi="Arial"/>
                <w:b w:val="0"/>
                <w:i w:val="0"/>
                <w:sz w:val="15"/>
              </w:rPr>
              <w:t>Public API surface</w:t>
            </w:r>
          </w:p>
        </w:tc>
        <w:tc>
          <w:tcPr>
            <w:tcW w:type="dxa" w:w="1170"/>
          </w:tcPr>
          <w:p>
            <w:pPr>
              <w:spacing w:after="60"/>
            </w:pPr>
            <w:r>
              <w:rPr>
                <w:rFonts w:ascii="Arial" w:hAnsi="Arial"/>
                <w:b w:val="0"/>
                <w:i w:val="0"/>
                <w:sz w:val="15"/>
              </w:rPr>
              <w:t>Unauthenticated remote attacker attempts to reach a non-public endpoint</w:t>
            </w:r>
          </w:p>
        </w:tc>
        <w:tc>
          <w:tcPr>
            <w:tcW w:type="dxa" w:w="1170"/>
          </w:tcPr>
          <w:p>
            <w:pPr>
              <w:spacing w:after="60"/>
            </w:pPr>
            <w:r>
              <w:rPr>
                <w:rFonts w:ascii="Arial" w:hAnsi="Arial"/>
                <w:b w:val="0"/>
                <w:i w:val="0"/>
                <w:sz w:val="15"/>
              </w:rPr>
              <w:t>Authentication required on every non-public endpoint</w:t>
            </w:r>
          </w:p>
        </w:tc>
        <w:tc>
          <w:tcPr>
            <w:tcW w:type="dxa" w:w="1170"/>
          </w:tcPr>
          <w:p>
            <w:pPr>
              <w:spacing w:after="60"/>
            </w:pPr>
            <w:r>
              <w:rPr>
                <w:rFonts w:ascii="Arial" w:hAnsi="Arial"/>
                <w:b w:val="0"/>
                <w:i w:val="0"/>
                <w:sz w:val="15"/>
              </w:rPr>
              <w:t>Reject with 401; no partial access</w:t>
            </w:r>
          </w:p>
        </w:tc>
        <w:tc>
          <w:tcPr>
            <w:tcW w:type="dxa" w:w="1170"/>
          </w:tcPr>
          <w:p>
            <w:pPr>
              <w:spacing w:after="60"/>
            </w:pPr>
            <w:r>
              <w:rPr>
                <w:rFonts w:ascii="Arial" w:hAnsi="Arial"/>
                <w:b w:val="0"/>
                <w:i w:val="0"/>
                <w:sz w:val="15"/>
              </w:rPr>
              <w:t>Low — accepted, standard auth boundary</w:t>
            </w:r>
          </w:p>
        </w:tc>
        <w:tc>
          <w:tcPr>
            <w:tcW w:type="dxa" w:w="1170"/>
          </w:tcPr>
          <w:p>
            <w:pPr>
              <w:spacing w:after="60"/>
            </w:pPr>
            <w:r>
              <w:rPr>
                <w:rFonts w:ascii="Arial" w:hAnsi="Arial"/>
                <w:b w:val="0"/>
                <w:i w:val="0"/>
                <w:sz w:val="15"/>
              </w:rPr>
              <w:t>DS-SCA-005</w:t>
            </w:r>
          </w:p>
        </w:tc>
      </w:tr>
      <w:tr>
        <w:tc>
          <w:tcPr>
            <w:tcW w:type="dxa" w:w="1170"/>
          </w:tcPr>
          <w:p>
            <w:pPr>
              <w:spacing w:after="60"/>
            </w:pPr>
            <w:r>
              <w:rPr>
                <w:rFonts w:ascii="Arial" w:hAnsi="Arial"/>
                <w:b w:val="0"/>
                <w:i w:val="0"/>
                <w:sz w:val="15"/>
              </w:rPr>
              <w:t>2</w:t>
            </w:r>
          </w:p>
        </w:tc>
        <w:tc>
          <w:tcPr>
            <w:tcW w:type="dxa" w:w="1170"/>
          </w:tcPr>
          <w:p>
            <w:pPr>
              <w:spacing w:after="60"/>
            </w:pPr>
            <w:r>
              <w:rPr>
                <w:rFonts w:ascii="Arial" w:hAnsi="Arial"/>
                <w:b w:val="0"/>
                <w:i w:val="0"/>
                <w:sz w:val="15"/>
              </w:rPr>
              <w:t>Session/identity data</w:t>
            </w:r>
          </w:p>
        </w:tc>
        <w:tc>
          <w:tcPr>
            <w:tcW w:type="dxa" w:w="1170"/>
          </w:tcPr>
          <w:p>
            <w:pPr>
              <w:spacing w:after="60"/>
            </w:pPr>
            <w:r>
              <w:rPr>
                <w:rFonts w:ascii="Arial" w:hAnsi="Arial"/>
                <w:b w:val="0"/>
                <w:i w:val="0"/>
                <w:sz w:val="15"/>
              </w:rPr>
              <w:t>Stolen/leaked session credential</w:t>
            </w:r>
          </w:p>
        </w:tc>
        <w:tc>
          <w:tcPr>
            <w:tcW w:type="dxa" w:w="1170"/>
          </w:tcPr>
          <w:p>
            <w:pPr>
              <w:spacing w:after="60"/>
            </w:pPr>
            <w:r>
              <w:rPr>
                <w:rFonts w:ascii="Arial" w:hAnsi="Arial"/>
                <w:b w:val="0"/>
                <w:i w:val="0"/>
                <w:sz w:val="15"/>
              </w:rPr>
              <w:t>Compromised authenticated session reused by an attacker</w:t>
            </w:r>
          </w:p>
        </w:tc>
        <w:tc>
          <w:tcPr>
            <w:tcW w:type="dxa" w:w="1170"/>
          </w:tcPr>
          <w:p>
            <w:pPr>
              <w:spacing w:after="60"/>
            </w:pPr>
            <w:r>
              <w:rPr>
                <w:rFonts w:ascii="Arial" w:hAnsi="Arial"/>
                <w:b w:val="0"/>
                <w:i w:val="0"/>
                <w:sz w:val="15"/>
              </w:rPr>
              <w:t>Session lifecycle (expiration, revocation, device visibility)</w:t>
            </w:r>
          </w:p>
        </w:tc>
        <w:tc>
          <w:tcPr>
            <w:tcW w:type="dxa" w:w="1170"/>
          </w:tcPr>
          <w:p>
            <w:pPr>
              <w:spacing w:after="60"/>
            </w:pPr>
            <w:r>
              <w:rPr>
                <w:rFonts w:ascii="Arial" w:hAnsi="Arial"/>
                <w:b w:val="0"/>
                <w:i w:val="0"/>
                <w:sz w:val="15"/>
              </w:rPr>
              <w:t>Revoked/expired session rejected regardless of client-side state</w:t>
            </w:r>
          </w:p>
        </w:tc>
        <w:tc>
          <w:tcPr>
            <w:tcW w:type="dxa" w:w="1170"/>
          </w:tcPr>
          <w:p>
            <w:pPr>
              <w:spacing w:after="60"/>
            </w:pPr>
            <w:r>
              <w:rPr>
                <w:rFonts w:ascii="Arial" w:hAnsi="Arial"/>
                <w:b w:val="0"/>
                <w:i w:val="0"/>
                <w:sz w:val="15"/>
              </w:rPr>
              <w:t>Low — mitigated by DS-SCA-004; residual window bounded by expiration</w:t>
            </w:r>
          </w:p>
        </w:tc>
        <w:tc>
          <w:tcPr>
            <w:tcW w:type="dxa" w:w="1170"/>
          </w:tcPr>
          <w:p>
            <w:pPr>
              <w:spacing w:after="60"/>
            </w:pPr>
            <w:r>
              <w:rPr>
                <w:rFonts w:ascii="Arial" w:hAnsi="Arial"/>
                <w:b w:val="0"/>
                <w:i w:val="0"/>
                <w:sz w:val="15"/>
              </w:rPr>
              <w:t>DS-SCA-004</w:t>
            </w:r>
          </w:p>
        </w:tc>
      </w:tr>
      <w:tr>
        <w:tc>
          <w:tcPr>
            <w:tcW w:type="dxa" w:w="1170"/>
          </w:tcPr>
          <w:p>
            <w:pPr>
              <w:spacing w:after="60"/>
            </w:pPr>
            <w:r>
              <w:rPr>
                <w:rFonts w:ascii="Arial" w:hAnsi="Arial"/>
                <w:b w:val="0"/>
                <w:i w:val="0"/>
                <w:sz w:val="15"/>
              </w:rPr>
              <w:t>3</w:t>
            </w:r>
          </w:p>
        </w:tc>
        <w:tc>
          <w:tcPr>
            <w:tcW w:type="dxa" w:w="1170"/>
          </w:tcPr>
          <w:p>
            <w:pPr>
              <w:spacing w:after="60"/>
            </w:pPr>
            <w:r>
              <w:rPr>
                <w:rFonts w:ascii="Arial" w:hAnsi="Arial"/>
                <w:b w:val="0"/>
                <w:i w:val="0"/>
                <w:sz w:val="15"/>
              </w:rPr>
              <w:t>Broker credentials</w:t>
            </w:r>
          </w:p>
        </w:tc>
        <w:tc>
          <w:tcPr>
            <w:tcW w:type="dxa" w:w="1170"/>
          </w:tcPr>
          <w:p>
            <w:pPr>
              <w:spacing w:after="60"/>
            </w:pPr>
            <w:r>
              <w:rPr>
                <w:rFonts w:ascii="Arial" w:hAnsi="Arial"/>
                <w:b w:val="0"/>
                <w:i w:val="0"/>
                <w:sz w:val="15"/>
              </w:rPr>
              <w:t>Credential storage or transit</w:t>
            </w:r>
          </w:p>
        </w:tc>
        <w:tc>
          <w:tcPr>
            <w:tcW w:type="dxa" w:w="1170"/>
          </w:tcPr>
          <w:p>
            <w:pPr>
              <w:spacing w:after="60"/>
            </w:pPr>
            <w:r>
              <w:rPr>
                <w:rFonts w:ascii="Arial" w:hAnsi="Arial"/>
                <w:b w:val="0"/>
                <w:i w:val="0"/>
                <w:sz w:val="15"/>
              </w:rPr>
              <w:t>Malware/compromised local process attempts to read stored broker secrets</w:t>
            </w:r>
          </w:p>
        </w:tc>
        <w:tc>
          <w:tcPr>
            <w:tcW w:type="dxa" w:w="1170"/>
          </w:tcPr>
          <w:p>
            <w:pPr>
              <w:spacing w:after="60"/>
            </w:pPr>
            <w:r>
              <w:rPr>
                <w:rFonts w:ascii="Arial" w:hAnsi="Arial"/>
                <w:b w:val="0"/>
                <w:i w:val="0"/>
                <w:sz w:val="15"/>
              </w:rPr>
              <w:t>OS-appropriate secure storage; never plaintext; never logged</w:t>
            </w:r>
          </w:p>
        </w:tc>
        <w:tc>
          <w:tcPr>
            <w:tcW w:type="dxa" w:w="1170"/>
          </w:tcPr>
          <w:p>
            <w:pPr>
              <w:spacing w:after="60"/>
            </w:pPr>
            <w:r>
              <w:rPr>
                <w:rFonts w:ascii="Arial" w:hAnsi="Arial"/>
                <w:b w:val="0"/>
                <w:i w:val="0"/>
                <w:sz w:val="15"/>
              </w:rPr>
              <w:t>Read attempt outside the secure-storage API fails; no plaintext fallback exists</w:t>
            </w:r>
          </w:p>
        </w:tc>
        <w:tc>
          <w:tcPr>
            <w:tcW w:type="dxa" w:w="1170"/>
          </w:tcPr>
          <w:p>
            <w:pPr>
              <w:spacing w:after="60"/>
            </w:pPr>
            <w:r>
              <w:rPr>
                <w:rFonts w:ascii="Arial" w:hAnsi="Arial"/>
                <w:b w:val="0"/>
                <w:i w:val="0"/>
                <w:sz w:val="15"/>
              </w:rPr>
              <w:t>Low — bounded by OS credential-store guarantees</w:t>
            </w:r>
          </w:p>
        </w:tc>
        <w:tc>
          <w:tcPr>
            <w:tcW w:type="dxa" w:w="1170"/>
          </w:tcPr>
          <w:p>
            <w:pPr>
              <w:spacing w:after="60"/>
            </w:pPr>
            <w:r>
              <w:rPr>
                <w:rFonts w:ascii="Arial" w:hAnsi="Arial"/>
                <w:b w:val="0"/>
                <w:i w:val="0"/>
                <w:sz w:val="15"/>
              </w:rPr>
              <w:t>DS-SCA-002/003/013</w:t>
            </w:r>
          </w:p>
        </w:tc>
      </w:tr>
      <w:tr>
        <w:tc>
          <w:tcPr>
            <w:tcW w:type="dxa" w:w="1170"/>
          </w:tcPr>
          <w:p>
            <w:pPr>
              <w:spacing w:after="60"/>
            </w:pPr>
            <w:r>
              <w:rPr>
                <w:rFonts w:ascii="Arial" w:hAnsi="Arial"/>
                <w:b w:val="0"/>
                <w:i w:val="0"/>
                <w:sz w:val="15"/>
              </w:rPr>
              <w:t>4</w:t>
            </w:r>
          </w:p>
        </w:tc>
        <w:tc>
          <w:tcPr>
            <w:tcW w:type="dxa" w:w="1170"/>
          </w:tcPr>
          <w:p>
            <w:pPr>
              <w:spacing w:after="60"/>
            </w:pPr>
            <w:r>
              <w:rPr>
                <w:rFonts w:ascii="Arial" w:hAnsi="Arial"/>
                <w:b w:val="0"/>
                <w:i w:val="0"/>
                <w:sz w:val="15"/>
              </w:rPr>
              <w:t>Trading/execution authority</w:t>
            </w:r>
          </w:p>
        </w:tc>
        <w:tc>
          <w:tcPr>
            <w:tcW w:type="dxa" w:w="1170"/>
          </w:tcPr>
          <w:p>
            <w:pPr>
              <w:spacing w:after="60"/>
            </w:pPr>
            <w:r>
              <w:rPr>
                <w:rFonts w:ascii="Arial" w:hAnsi="Arial"/>
                <w:b w:val="0"/>
                <w:i w:val="0"/>
                <w:sz w:val="15"/>
              </w:rPr>
              <w:t>API request to an execution-adjacent endpoint</w:t>
            </w:r>
          </w:p>
        </w:tc>
        <w:tc>
          <w:tcPr>
            <w:tcW w:type="dxa" w:w="1170"/>
          </w:tcPr>
          <w:p>
            <w:pPr>
              <w:spacing w:after="60"/>
            </w:pPr>
            <w:r>
              <w:rPr>
                <w:rFonts w:ascii="Arial" w:hAnsi="Arial"/>
                <w:b w:val="0"/>
                <w:i w:val="0"/>
                <w:sz w:val="15"/>
              </w:rPr>
              <w:t>Compromised session or malicious client attempts to bypass the TradeValidationPipeline</w:t>
            </w:r>
          </w:p>
        </w:tc>
        <w:tc>
          <w:tcPr>
            <w:tcW w:type="dxa" w:w="1170"/>
          </w:tcPr>
          <w:p>
            <w:pPr>
              <w:spacing w:after="60"/>
            </w:pPr>
            <w:r>
              <w:rPr>
                <w:rFonts w:ascii="Arial" w:hAnsi="Arial"/>
                <w:b w:val="0"/>
                <w:i w:val="0"/>
                <w:sz w:val="15"/>
              </w:rPr>
              <w:t>Backend-enforced, unconditional pipeline boundary (no endpoint may skip a stage)</w:t>
            </w:r>
          </w:p>
        </w:tc>
        <w:tc>
          <w:tcPr>
            <w:tcW w:type="dxa" w:w="1170"/>
          </w:tcPr>
          <w:p>
            <w:pPr>
              <w:spacing w:after="60"/>
            </w:pPr>
            <w:r>
              <w:rPr>
                <w:rFonts w:ascii="Arial" w:hAnsi="Arial"/>
                <w:b w:val="0"/>
                <w:i w:val="0"/>
                <w:sz w:val="15"/>
              </w:rPr>
              <w:t>Request rejected before reaching the Broker Adapter; attempt logged</w:t>
            </w:r>
          </w:p>
        </w:tc>
        <w:tc>
          <w:tcPr>
            <w:tcW w:type="dxa" w:w="1170"/>
          </w:tcPr>
          <w:p>
            <w:pPr>
              <w:spacing w:after="60"/>
            </w:pPr>
            <w:r>
              <w:rPr>
                <w:rFonts w:ascii="Arial" w:hAnsi="Arial"/>
                <w:b w:val="0"/>
                <w:i w:val="0"/>
                <w:sz w:val="15"/>
              </w:rPr>
              <w:t>Low — governance boundary is Committed and reviewed on every new endpoint</w:t>
            </w:r>
          </w:p>
        </w:tc>
        <w:tc>
          <w:tcPr>
            <w:tcW w:type="dxa" w:w="1170"/>
          </w:tcPr>
          <w:p>
            <w:pPr>
              <w:spacing w:after="60"/>
            </w:pPr>
            <w:r>
              <w:rPr>
                <w:rFonts w:ascii="Arial" w:hAnsi="Arial"/>
                <w:b w:val="0"/>
                <w:i w:val="0"/>
                <w:sz w:val="15"/>
              </w:rPr>
              <w:t>DS-SCA-012, DS-EXE-001, DS-API-EXE-001</w:t>
            </w:r>
          </w:p>
        </w:tc>
      </w:tr>
      <w:tr>
        <w:tc>
          <w:tcPr>
            <w:tcW w:type="dxa" w:w="1170"/>
          </w:tcPr>
          <w:p>
            <w:pPr>
              <w:spacing w:after="60"/>
            </w:pPr>
            <w:r>
              <w:rPr>
                <w:rFonts w:ascii="Arial" w:hAnsi="Arial"/>
                <w:b w:val="0"/>
                <w:i w:val="0"/>
                <w:sz w:val="15"/>
              </w:rPr>
              <w:t>5</w:t>
            </w:r>
          </w:p>
        </w:tc>
        <w:tc>
          <w:tcPr>
            <w:tcW w:type="dxa" w:w="1170"/>
          </w:tcPr>
          <w:p>
            <w:pPr>
              <w:spacing w:after="60"/>
            </w:pPr>
            <w:r>
              <w:rPr>
                <w:rFonts w:ascii="Arial" w:hAnsi="Arial"/>
                <w:b w:val="0"/>
                <w:i w:val="0"/>
                <w:sz w:val="15"/>
              </w:rPr>
              <w:t>Risk Engine authority</w:t>
            </w:r>
          </w:p>
        </w:tc>
        <w:tc>
          <w:tcPr>
            <w:tcW w:type="dxa" w:w="1170"/>
          </w:tcPr>
          <w:p>
            <w:pPr>
              <w:spacing w:after="60"/>
            </w:pPr>
            <w:r>
              <w:rPr>
                <w:rFonts w:ascii="Arial" w:hAnsi="Arial"/>
                <w:b w:val="0"/>
                <w:i w:val="0"/>
                <w:sz w:val="15"/>
              </w:rPr>
              <w:t>Sage-issued instruction or narrated workaround</w:t>
            </w:r>
          </w:p>
        </w:tc>
        <w:tc>
          <w:tcPr>
            <w:tcW w:type="dxa" w:w="1170"/>
          </w:tcPr>
          <w:p>
            <w:pPr>
              <w:spacing w:after="60"/>
            </w:pPr>
            <w:r>
              <w:rPr>
                <w:rFonts w:ascii="Arial" w:hAnsi="Arial"/>
                <w:b w:val="0"/>
                <w:i w:val="0"/>
                <w:sz w:val="15"/>
              </w:rPr>
              <w:t>Attempt to have Sage or any caller override a Risk Engine determination</w:t>
            </w:r>
          </w:p>
        </w:tc>
        <w:tc>
          <w:tcPr>
            <w:tcW w:type="dxa" w:w="1170"/>
          </w:tcPr>
          <w:p>
            <w:pPr>
              <w:spacing w:after="60"/>
            </w:pPr>
            <w:r>
              <w:rPr>
                <w:rFonts w:ascii="Arial" w:hAnsi="Arial"/>
                <w:b w:val="0"/>
                <w:i w:val="0"/>
                <w:sz w:val="15"/>
              </w:rPr>
              <w:t>Risk Engine authority independent of all callers; fail-safe on unavailability</w:t>
            </w:r>
          </w:p>
        </w:tc>
        <w:tc>
          <w:tcPr>
            <w:tcW w:type="dxa" w:w="1170"/>
          </w:tcPr>
          <w:p>
            <w:pPr>
              <w:spacing w:after="60"/>
            </w:pPr>
            <w:r>
              <w:rPr>
                <w:rFonts w:ascii="Arial" w:hAnsi="Arial"/>
                <w:b w:val="0"/>
                <w:i w:val="0"/>
                <w:sz w:val="15"/>
              </w:rPr>
              <w:t>Determination is not overridden; unavailability blocks rather than allows</w:t>
            </w:r>
          </w:p>
        </w:tc>
        <w:tc>
          <w:tcPr>
            <w:tcW w:type="dxa" w:w="1170"/>
          </w:tcPr>
          <w:p>
            <w:pPr>
              <w:spacing w:after="60"/>
            </w:pPr>
            <w:r>
              <w:rPr>
                <w:rFonts w:ascii="Arial" w:hAnsi="Arial"/>
                <w:b w:val="0"/>
                <w:i w:val="0"/>
                <w:sz w:val="15"/>
              </w:rPr>
              <w:t>Low — adversarial-tested per DS-QA-006</w:t>
            </w:r>
          </w:p>
        </w:tc>
        <w:tc>
          <w:tcPr>
            <w:tcW w:type="dxa" w:w="1170"/>
          </w:tcPr>
          <w:p>
            <w:pPr>
              <w:spacing w:after="60"/>
            </w:pPr>
            <w:r>
              <w:rPr>
                <w:rFonts w:ascii="Arial" w:hAnsi="Arial"/>
                <w:b w:val="0"/>
                <w:i w:val="0"/>
                <w:sz w:val="15"/>
              </w:rPr>
              <w:t>DS-RSK-001, DS-SCA-015</w:t>
            </w:r>
          </w:p>
        </w:tc>
      </w:tr>
      <w:tr>
        <w:tc>
          <w:tcPr>
            <w:tcW w:type="dxa" w:w="1170"/>
          </w:tcPr>
          <w:p>
            <w:pPr>
              <w:spacing w:after="60"/>
            </w:pPr>
            <w:r>
              <w:rPr>
                <w:rFonts w:ascii="Arial" w:hAnsi="Arial"/>
                <w:b w:val="0"/>
                <w:i w:val="0"/>
                <w:sz w:val="15"/>
              </w:rPr>
              <w:t>6</w:t>
            </w:r>
          </w:p>
        </w:tc>
        <w:tc>
          <w:tcPr>
            <w:tcW w:type="dxa" w:w="1170"/>
          </w:tcPr>
          <w:p>
            <w:pPr>
              <w:spacing w:after="60"/>
            </w:pPr>
            <w:r>
              <w:rPr>
                <w:rFonts w:ascii="Arial" w:hAnsi="Arial"/>
                <w:b w:val="0"/>
                <w:i w:val="0"/>
                <w:sz w:val="15"/>
              </w:rPr>
              <w:t>Audit evidence</w:t>
            </w:r>
          </w:p>
        </w:tc>
        <w:tc>
          <w:tcPr>
            <w:tcW w:type="dxa" w:w="1170"/>
          </w:tcPr>
          <w:p>
            <w:pPr>
              <w:spacing w:after="60"/>
            </w:pPr>
            <w:r>
              <w:rPr>
                <w:rFonts w:ascii="Arial" w:hAnsi="Arial"/>
                <w:b w:val="0"/>
                <w:i w:val="0"/>
                <w:sz w:val="15"/>
              </w:rPr>
              <w:t>Direct database/file access</w:t>
            </w:r>
          </w:p>
        </w:tc>
        <w:tc>
          <w:tcPr>
            <w:tcW w:type="dxa" w:w="1170"/>
          </w:tcPr>
          <w:p>
            <w:pPr>
              <w:spacing w:after="60"/>
            </w:pPr>
            <w:r>
              <w:rPr>
                <w:rFonts w:ascii="Arial" w:hAnsi="Arial"/>
                <w:b w:val="0"/>
                <w:i w:val="0"/>
                <w:sz w:val="15"/>
              </w:rPr>
              <w:t>Insider or compromised process attempts to truncate, rewrite, or selectively delete audit records</w:t>
            </w:r>
          </w:p>
        </w:tc>
        <w:tc>
          <w:tcPr>
            <w:tcW w:type="dxa" w:w="1170"/>
          </w:tcPr>
          <w:p>
            <w:pPr>
              <w:spacing w:after="60"/>
            </w:pPr>
            <w:r>
              <w:rPr>
                <w:rFonts w:ascii="Arial" w:hAnsi="Arial"/>
                <w:b w:val="0"/>
                <w:i w:val="0"/>
                <w:sz w:val="15"/>
              </w:rPr>
              <w:t>Append-only/tamper-evident audit architecture</w:t>
            </w:r>
          </w:p>
        </w:tc>
        <w:tc>
          <w:tcPr>
            <w:tcW w:type="dxa" w:w="1170"/>
          </w:tcPr>
          <w:p>
            <w:pPr>
              <w:spacing w:after="60"/>
            </w:pPr>
            <w:r>
              <w:rPr>
                <w:rFonts w:ascii="Arial" w:hAnsi="Arial"/>
                <w:b w:val="0"/>
                <w:i w:val="0"/>
                <w:sz w:val="15"/>
              </w:rPr>
              <w:t>Write path rejects modification of existing records; deletion outside retention policy is blocked</w:t>
            </w:r>
          </w:p>
        </w:tc>
        <w:tc>
          <w:tcPr>
            <w:tcW w:type="dxa" w:w="1170"/>
          </w:tcPr>
          <w:p>
            <w:pPr>
              <w:spacing w:after="60"/>
            </w:pPr>
            <w:r>
              <w:rPr>
                <w:rFonts w:ascii="Arial" w:hAnsi="Arial"/>
                <w:b w:val="0"/>
                <w:i w:val="0"/>
                <w:sz w:val="15"/>
              </w:rPr>
              <w:t>Low-Medium — depends on underlying storage guarantees at implementation time</w:t>
            </w:r>
          </w:p>
        </w:tc>
        <w:tc>
          <w:tcPr>
            <w:tcW w:type="dxa" w:w="1170"/>
          </w:tcPr>
          <w:p>
            <w:pPr>
              <w:spacing w:after="60"/>
            </w:pPr>
            <w:r>
              <w:rPr>
                <w:rFonts w:ascii="Arial" w:hAnsi="Arial"/>
                <w:b w:val="0"/>
                <w:i w:val="0"/>
                <w:sz w:val="15"/>
              </w:rPr>
              <w:t>DS-SCA-025</w:t>
            </w:r>
          </w:p>
        </w:tc>
      </w:tr>
      <w:tr>
        <w:tc>
          <w:tcPr>
            <w:tcW w:type="dxa" w:w="1170"/>
          </w:tcPr>
          <w:p>
            <w:pPr>
              <w:spacing w:after="60"/>
            </w:pPr>
            <w:r>
              <w:rPr>
                <w:rFonts w:ascii="Arial" w:hAnsi="Arial"/>
                <w:b w:val="0"/>
                <w:i w:val="0"/>
                <w:sz w:val="15"/>
              </w:rPr>
              <w:t>7</w:t>
            </w:r>
          </w:p>
        </w:tc>
        <w:tc>
          <w:tcPr>
            <w:tcW w:type="dxa" w:w="1170"/>
          </w:tcPr>
          <w:p>
            <w:pPr>
              <w:spacing w:after="60"/>
            </w:pPr>
            <w:r>
              <w:rPr>
                <w:rFonts w:ascii="Arial" w:hAnsi="Arial"/>
                <w:b w:val="0"/>
                <w:i w:val="0"/>
                <w:sz w:val="15"/>
              </w:rPr>
              <w:t>Model inputs/outputs</w:t>
            </w:r>
          </w:p>
        </w:tc>
        <w:tc>
          <w:tcPr>
            <w:tcW w:type="dxa" w:w="1170"/>
          </w:tcPr>
          <w:p>
            <w:pPr>
              <w:spacing w:after="60"/>
            </w:pPr>
            <w:r>
              <w:rPr>
                <w:rFonts w:ascii="Arial" w:hAnsi="Arial"/>
                <w:b w:val="0"/>
                <w:i w:val="0"/>
                <w:sz w:val="15"/>
              </w:rPr>
              <w:t>AI provider response</w:t>
            </w:r>
          </w:p>
        </w:tc>
        <w:tc>
          <w:tcPr>
            <w:tcW w:type="dxa" w:w="1170"/>
          </w:tcPr>
          <w:p>
            <w:pPr>
              <w:spacing w:after="60"/>
            </w:pPr>
            <w:r>
              <w:rPr>
                <w:rFonts w:ascii="Arial" w:hAnsi="Arial"/>
                <w:b w:val="0"/>
                <w:i w:val="0"/>
                <w:sz w:val="15"/>
              </w:rPr>
              <w:t>AI output attempts to trigger a disallowed action (shell command, risk override, credential change)</w:t>
            </w:r>
          </w:p>
        </w:tc>
        <w:tc>
          <w:tcPr>
            <w:tcW w:type="dxa" w:w="1170"/>
          </w:tcPr>
          <w:p>
            <w:pPr>
              <w:spacing w:after="60"/>
            </w:pPr>
            <w:r>
              <w:rPr>
                <w:rFonts w:ascii="Arial" w:hAnsi="Arial"/>
                <w:b w:val="0"/>
                <w:i w:val="0"/>
                <w:sz w:val="15"/>
              </w:rPr>
              <w:t>AI output validation, fail-closed</w:t>
            </w:r>
          </w:p>
        </w:tc>
        <w:tc>
          <w:tcPr>
            <w:tcW w:type="dxa" w:w="1170"/>
          </w:tcPr>
          <w:p>
            <w:pPr>
              <w:spacing w:after="60"/>
            </w:pPr>
            <w:r>
              <w:rPr>
                <w:rFonts w:ascii="Arial" w:hAnsi="Arial"/>
                <w:b w:val="0"/>
                <w:i w:val="0"/>
                <w:sz w:val="15"/>
              </w:rPr>
              <w:t>Output rejected before reaching any sensitive code path</w:t>
            </w:r>
          </w:p>
        </w:tc>
        <w:tc>
          <w:tcPr>
            <w:tcW w:type="dxa" w:w="1170"/>
          </w:tcPr>
          <w:p>
            <w:pPr>
              <w:spacing w:after="60"/>
            </w:pPr>
            <w:r>
              <w:rPr>
                <w:rFonts w:ascii="Arial" w:hAnsi="Arial"/>
                <w:b w:val="0"/>
                <w:i w:val="0"/>
                <w:sz w:val="15"/>
              </w:rPr>
              <w:t>Low — adversarial-tested per DS-QA-008</w:t>
            </w:r>
          </w:p>
        </w:tc>
        <w:tc>
          <w:tcPr>
            <w:tcW w:type="dxa" w:w="1170"/>
          </w:tcPr>
          <w:p>
            <w:pPr>
              <w:spacing w:after="60"/>
            </w:pPr>
            <w:r>
              <w:rPr>
                <w:rFonts w:ascii="Arial" w:hAnsi="Arial"/>
                <w:b w:val="0"/>
                <w:i w:val="0"/>
                <w:sz w:val="15"/>
              </w:rPr>
              <w:t>DS-SCA-008</w:t>
            </w:r>
          </w:p>
        </w:tc>
      </w:tr>
      <w:tr>
        <w:tc>
          <w:tcPr>
            <w:tcW w:type="dxa" w:w="1170"/>
          </w:tcPr>
          <w:p>
            <w:pPr>
              <w:spacing w:after="60"/>
            </w:pPr>
            <w:r>
              <w:rPr>
                <w:rFonts w:ascii="Arial" w:hAnsi="Arial"/>
                <w:b w:val="0"/>
                <w:i w:val="0"/>
                <w:sz w:val="15"/>
              </w:rPr>
              <w:t>8</w:t>
            </w:r>
          </w:p>
        </w:tc>
        <w:tc>
          <w:tcPr>
            <w:tcW w:type="dxa" w:w="1170"/>
          </w:tcPr>
          <w:p>
            <w:pPr>
              <w:spacing w:after="60"/>
            </w:pPr>
            <w:r>
              <w:rPr>
                <w:rFonts w:ascii="Arial" w:hAnsi="Arial"/>
                <w:b w:val="0"/>
                <w:i w:val="0"/>
                <w:sz w:val="15"/>
              </w:rPr>
              <w:t>Application integrity</w:t>
            </w:r>
          </w:p>
        </w:tc>
        <w:tc>
          <w:tcPr>
            <w:tcW w:type="dxa" w:w="1170"/>
          </w:tcPr>
          <w:p>
            <w:pPr>
              <w:spacing w:after="60"/>
            </w:pPr>
            <w:r>
              <w:rPr>
                <w:rFonts w:ascii="Arial" w:hAnsi="Arial"/>
                <w:b w:val="0"/>
                <w:i w:val="0"/>
                <w:sz w:val="15"/>
              </w:rPr>
              <w:t>Update/distribution channel</w:t>
            </w:r>
          </w:p>
        </w:tc>
        <w:tc>
          <w:tcPr>
            <w:tcW w:type="dxa" w:w="1170"/>
          </w:tcPr>
          <w:p>
            <w:pPr>
              <w:spacing w:after="60"/>
            </w:pPr>
            <w:r>
              <w:rPr>
                <w:rFonts w:ascii="Arial" w:hAnsi="Arial"/>
                <w:b w:val="0"/>
                <w:i w:val="0"/>
                <w:sz w:val="15"/>
              </w:rPr>
              <w:t>Compromised dependency or update channel delivers a tampered build</w:t>
            </w:r>
          </w:p>
        </w:tc>
        <w:tc>
          <w:tcPr>
            <w:tcW w:type="dxa" w:w="1170"/>
          </w:tcPr>
          <w:p>
            <w:pPr>
              <w:spacing w:after="60"/>
            </w:pPr>
            <w:r>
              <w:rPr>
                <w:rFonts w:ascii="Arial" w:hAnsi="Arial"/>
                <w:b w:val="0"/>
                <w:i w:val="0"/>
                <w:sz w:val="15"/>
              </w:rPr>
              <w:t>Signed/integrity-verified updates over secure transport</w:t>
            </w:r>
          </w:p>
        </w:tc>
        <w:tc>
          <w:tcPr>
            <w:tcW w:type="dxa" w:w="1170"/>
          </w:tcPr>
          <w:p>
            <w:pPr>
              <w:spacing w:after="60"/>
            </w:pPr>
            <w:r>
              <w:rPr>
                <w:rFonts w:ascii="Arial" w:hAnsi="Arial"/>
                <w:b w:val="0"/>
                <w:i w:val="0"/>
                <w:sz w:val="15"/>
              </w:rPr>
              <w:t>Update failing verification is rejected, not installed with a warning</w:t>
            </w:r>
          </w:p>
        </w:tc>
        <w:tc>
          <w:tcPr>
            <w:tcW w:type="dxa" w:w="1170"/>
          </w:tcPr>
          <w:p>
            <w:pPr>
              <w:spacing w:after="60"/>
            </w:pPr>
            <w:r>
              <w:rPr>
                <w:rFonts w:ascii="Arial" w:hAnsi="Arial"/>
                <w:b w:val="0"/>
                <w:i w:val="0"/>
                <w:sz w:val="15"/>
              </w:rPr>
              <w:t>Medium — residual risk until an update mechanism is selected (DS-SCA-019, Appendix A)</w:t>
            </w:r>
          </w:p>
        </w:tc>
        <w:tc>
          <w:tcPr>
            <w:tcW w:type="dxa" w:w="1170"/>
          </w:tcPr>
          <w:p>
            <w:pPr>
              <w:spacing w:after="60"/>
            </w:pPr>
            <w:r>
              <w:rPr>
                <w:rFonts w:ascii="Arial" w:hAnsi="Arial"/>
                <w:b w:val="0"/>
                <w:i w:val="0"/>
                <w:sz w:val="15"/>
              </w:rPr>
              <w:t>DS-SCA-019</w:t>
            </w:r>
          </w:p>
        </w:tc>
      </w:tr>
      <w:tr>
        <w:tc>
          <w:tcPr>
            <w:tcW w:type="dxa" w:w="1170"/>
          </w:tcPr>
          <w:p>
            <w:pPr>
              <w:spacing w:after="60"/>
            </w:pPr>
            <w:r>
              <w:rPr>
                <w:rFonts w:ascii="Arial" w:hAnsi="Arial"/>
                <w:b w:val="0"/>
                <w:i w:val="0"/>
                <w:sz w:val="15"/>
              </w:rPr>
              <w:t>9</w:t>
            </w:r>
          </w:p>
        </w:tc>
        <w:tc>
          <w:tcPr>
            <w:tcW w:type="dxa" w:w="1170"/>
          </w:tcPr>
          <w:p>
            <w:pPr>
              <w:spacing w:after="60"/>
            </w:pPr>
            <w:r>
              <w:rPr>
                <w:rFonts w:ascii="Arial" w:hAnsi="Arial"/>
                <w:b w:val="0"/>
                <w:i w:val="0"/>
                <w:sz w:val="15"/>
              </w:rPr>
              <w:t>Broker/portfolio data</w:t>
            </w:r>
          </w:p>
        </w:tc>
        <w:tc>
          <w:tcPr>
            <w:tcW w:type="dxa" w:w="1170"/>
          </w:tcPr>
          <w:p>
            <w:pPr>
              <w:spacing w:after="60"/>
            </w:pPr>
            <w:r>
              <w:rPr>
                <w:rFonts w:ascii="Arial" w:hAnsi="Arial"/>
                <w:b w:val="0"/>
                <w:i w:val="0"/>
                <w:sz w:val="15"/>
              </w:rPr>
              <w:t>Broker adapter response</w:t>
            </w:r>
          </w:p>
        </w:tc>
        <w:tc>
          <w:tcPr>
            <w:tcW w:type="dxa" w:w="1170"/>
          </w:tcPr>
          <w:p>
            <w:pPr>
              <w:spacing w:after="60"/>
            </w:pPr>
            <w:r>
              <w:rPr>
                <w:rFonts w:ascii="Arial" w:hAnsi="Arial"/>
                <w:b w:val="0"/>
                <w:i w:val="0"/>
                <w:sz w:val="15"/>
              </w:rPr>
              <w:t>Compromised or malfunctioning external broker/provider integration returns inconsistent state</w:t>
            </w:r>
          </w:p>
        </w:tc>
        <w:tc>
          <w:tcPr>
            <w:tcW w:type="dxa" w:w="1170"/>
          </w:tcPr>
          <w:p>
            <w:pPr>
              <w:spacing w:after="60"/>
            </w:pPr>
            <w:r>
              <w:rPr>
                <w:rFonts w:ascii="Arial" w:hAnsi="Arial"/>
                <w:b w:val="0"/>
                <w:i w:val="0"/>
                <w:sz w:val="15"/>
              </w:rPr>
              <w:t>Broker reconciliation; provider abstraction isolates a single provider's failure</w:t>
            </w:r>
          </w:p>
        </w:tc>
        <w:tc>
          <w:tcPr>
            <w:tcW w:type="dxa" w:w="1170"/>
          </w:tcPr>
          <w:p>
            <w:pPr>
              <w:spacing w:after="60"/>
            </w:pPr>
            <w:r>
              <w:rPr>
                <w:rFonts w:ascii="Arial" w:hAnsi="Arial"/>
                <w:b w:val="0"/>
                <w:i w:val="0"/>
                <w:sz w:val="15"/>
              </w:rPr>
              <w:t>Reconciliation failure pauses new trading, alerts, and logs; a failing provider does not corrupt internal state</w:t>
            </w:r>
          </w:p>
        </w:tc>
        <w:tc>
          <w:tcPr>
            <w:tcW w:type="dxa" w:w="1170"/>
          </w:tcPr>
          <w:p>
            <w:pPr>
              <w:spacing w:after="60"/>
            </w:pPr>
            <w:r>
              <w:rPr>
                <w:rFonts w:ascii="Arial" w:hAnsi="Arial"/>
                <w:b w:val="0"/>
                <w:i w:val="0"/>
                <w:sz w:val="15"/>
              </w:rPr>
              <w:t>Medium — depends on provider reliability; mitigated, not eliminated</w:t>
            </w:r>
          </w:p>
        </w:tc>
        <w:tc>
          <w:tcPr>
            <w:tcW w:type="dxa" w:w="1170"/>
          </w:tcPr>
          <w:p>
            <w:pPr>
              <w:spacing w:after="60"/>
            </w:pPr>
            <w:r>
              <w:rPr>
                <w:rFonts w:ascii="Arial" w:hAnsi="Arial"/>
                <w:b w:val="0"/>
                <w:i w:val="0"/>
                <w:sz w:val="15"/>
              </w:rPr>
              <w:t>DS-SCA-014, DS-ARC-006</w:t>
            </w:r>
          </w:p>
        </w:tc>
      </w:tr>
      <w:tr>
        <w:tc>
          <w:tcPr>
            <w:tcW w:type="dxa" w:w="1170"/>
          </w:tcPr>
          <w:p>
            <w:pPr>
              <w:spacing w:after="60"/>
            </w:pPr>
            <w:r>
              <w:rPr>
                <w:rFonts w:ascii="Arial" w:hAnsi="Arial"/>
                <w:b w:val="0"/>
                <w:i w:val="0"/>
                <w:sz w:val="15"/>
              </w:rPr>
              <w:t>10</w:t>
            </w:r>
          </w:p>
        </w:tc>
        <w:tc>
          <w:tcPr>
            <w:tcW w:type="dxa" w:w="1170"/>
          </w:tcPr>
          <w:p>
            <w:pPr>
              <w:spacing w:after="60"/>
            </w:pPr>
            <w:r>
              <w:rPr>
                <w:rFonts w:ascii="Arial" w:hAnsi="Arial"/>
                <w:b w:val="0"/>
                <w:i w:val="0"/>
                <w:sz w:val="15"/>
              </w:rPr>
              <w:t>Live-trading authority</w:t>
            </w:r>
          </w:p>
        </w:tc>
        <w:tc>
          <w:tcPr>
            <w:tcW w:type="dxa" w:w="1170"/>
          </w:tcPr>
          <w:p>
            <w:pPr>
              <w:spacing w:after="60"/>
            </w:pPr>
            <w:r>
              <w:rPr>
                <w:rFonts w:ascii="Arial" w:hAnsi="Arial"/>
                <w:b w:val="0"/>
                <w:i w:val="0"/>
                <w:sz w:val="15"/>
              </w:rPr>
              <w:t>Strong-auth-gated action</w:t>
            </w:r>
          </w:p>
        </w:tc>
        <w:tc>
          <w:tcPr>
            <w:tcW w:type="dxa" w:w="1170"/>
          </w:tcPr>
          <w:p>
            <w:pPr>
              <w:spacing w:after="60"/>
            </w:pPr>
            <w:r>
              <w:rPr>
                <w:rFonts w:ascii="Arial" w:hAnsi="Arial"/>
                <w:b w:val="0"/>
                <w:i w:val="0"/>
                <w:sz w:val="15"/>
              </w:rPr>
              <w:t>Attempt to enable live trading or perform a high-risk action without strong authentication</w:t>
            </w:r>
          </w:p>
        </w:tc>
        <w:tc>
          <w:tcPr>
            <w:tcW w:type="dxa" w:w="1170"/>
          </w:tcPr>
          <w:p>
            <w:pPr>
              <w:spacing w:after="60"/>
            </w:pPr>
            <w:r>
              <w:rPr>
                <w:rFonts w:ascii="Arial" w:hAnsi="Arial"/>
                <w:b w:val="0"/>
                <w:i w:val="0"/>
                <w:sz w:val="15"/>
              </w:rPr>
              <w:t>Strong authentication required for every listed high-risk action</w:t>
            </w:r>
          </w:p>
        </w:tc>
        <w:tc>
          <w:tcPr>
            <w:tcW w:type="dxa" w:w="1170"/>
          </w:tcPr>
          <w:p>
            <w:pPr>
              <w:spacing w:after="60"/>
            </w:pPr>
            <w:r>
              <w:rPr>
                <w:rFonts w:ascii="Arial" w:hAnsi="Arial"/>
                <w:b w:val="0"/>
                <w:i w:val="0"/>
                <w:sz w:val="15"/>
              </w:rPr>
              <w:t>Action blocked without the strong-auth tier, regardless of session validity</w:t>
            </w:r>
          </w:p>
        </w:tc>
        <w:tc>
          <w:tcPr>
            <w:tcW w:type="dxa" w:w="1170"/>
          </w:tcPr>
          <w:p>
            <w:pPr>
              <w:spacing w:after="60"/>
            </w:pPr>
            <w:r>
              <w:rPr>
                <w:rFonts w:ascii="Arial" w:hAnsi="Arial"/>
                <w:b w:val="0"/>
                <w:i w:val="0"/>
                <w:sz w:val="15"/>
              </w:rPr>
              <w:t>Low — governance boundary fixed now</w:t>
            </w:r>
          </w:p>
        </w:tc>
        <w:tc>
          <w:tcPr>
            <w:tcW w:type="dxa" w:w="1170"/>
          </w:tcPr>
          <w:p>
            <w:pPr>
              <w:spacing w:after="60"/>
            </w:pPr>
            <w:r>
              <w:rPr>
                <w:rFonts w:ascii="Arial" w:hAnsi="Arial"/>
                <w:b w:val="0"/>
                <w:i w:val="0"/>
                <w:sz w:val="15"/>
              </w:rPr>
              <w:t>DS-SCA-007, DS-SCA-022</w:t>
            </w:r>
          </w:p>
        </w:tc>
      </w:tr>
    </w:tbl>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scenario's Required Control has a corresponding DS-SCA/DS-QA testable requirement.</w:t>
      </w:r>
    </w:p>
    <w:p>
      <w:pPr>
        <w:pStyle w:val="ListBullet"/>
        <w:spacing w:after="60"/>
      </w:pPr>
      <w:r>
        <w:rPr>
          <w:rFonts w:ascii="Arial" w:hAnsi="Arial"/>
          <w:b w:val="0"/>
          <w:i w:val="0"/>
          <w:sz w:val="21"/>
        </w:rPr>
        <w:t>A new material threat scenario discovered during implementation is added to this table, not handled as an undocumented ad hoc fix.</w:t>
      </w:r>
    </w:p>
    <w:p>
      <w:pPr>
        <w:pStyle w:val="ListBullet"/>
        <w:spacing w:after="60"/>
      </w:pPr>
      <w:r>
        <w:rPr>
          <w:rFonts w:ascii="Arial" w:hAnsi="Arial"/>
          <w:b w:val="0"/>
          <w:i w:val="0"/>
          <w:sz w:val="21"/>
        </w:rPr>
        <w:t>No scenario's Residual Risk/Disposition is left blank — an unmitigated risk is explicitly acknowledged, not silently omitted.</w:t>
      </w:r>
    </w:p>
    <w:p>
      <w:pPr>
        <w:spacing w:after="120" w:line="288" w:lineRule="auto"/>
      </w:pPr>
      <w:r>
        <w:rPr>
          <w:rFonts w:ascii="Arial" w:hAnsi="Arial"/>
          <w:b/>
          <w:i w:val="0"/>
          <w:sz w:val="21"/>
        </w:rPr>
        <w:t>Testing:</w:t>
      </w:r>
      <w:r>
        <w:rPr>
          <w:rFonts w:ascii="Arial" w:hAnsi="Arial"/>
          <w:b w:val="0"/>
          <w:i w:val="0"/>
          <w:sz w:val="21"/>
        </w:rPr>
        <w:t xml:space="preserve"> Scenario-to-test traceability audit: each row's Required Control maps to at least one test in </w:t>
      </w:r>
      <w:r>
        <w:rPr>
          <w:rFonts w:ascii="Consolas" w:hAnsi="Consolas"/>
          <w:b w:val="0"/>
          <w:i w:val="0"/>
          <w:sz w:val="20"/>
        </w:rPr>
        <w:t>docs/traceability/TRACEABILITY_MATRIX.csv</w:t>
      </w:r>
      <w:r>
        <w:rPr>
          <w:rFonts w:ascii="Arial" w:hAnsi="Arial"/>
          <w:b w:val="0"/>
          <w:i w:val="0"/>
          <w:sz w:val="21"/>
        </w:rPr>
        <w:t xml:space="preserve"> or this Codex's DS-QA test set (DS-QA-013).</w:t>
      </w:r>
    </w:p>
    <w:p>
      <w:pPr>
        <w:pStyle w:val="Heading2"/>
        <w:spacing w:before="360" w:after="160"/>
        <w:pBdr>
          <w:bottom w:val="single" w:sz="8" w:space="4" w:color="C8A45D"/>
        </w:pBdr>
      </w:pPr>
      <w:r>
        <w:rPr>
          <w:rFonts w:ascii="Arial" w:hAnsi="Arial"/>
          <w:b w:val="0"/>
          <w:i w:val="0"/>
          <w:color w:val="17181C"/>
          <w:sz w:val="34"/>
        </w:rPr>
        <w:t>DS-SCA-025 — Audit-Log Integrity and Protection Architecture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DS-OPS-001, DS-OPS-002 (both Committed); DS-SCA-020; DS-API-OPS-001 (DS-006, Committed)</w:t>
      </w:r>
    </w:p>
    <w:p>
      <w:pPr>
        <w:spacing w:after="120" w:line="288" w:lineRule="auto"/>
      </w:pPr>
      <w:r>
        <w:rPr>
          <w:rFonts w:ascii="Arial" w:hAnsi="Arial"/>
          <w:b/>
          <w:i w:val="0"/>
          <w:sz w:val="21"/>
        </w:rPr>
        <w:t>Description:</w:t>
      </w:r>
      <w:r>
        <w:rPr>
          <w:rFonts w:ascii="Arial" w:hAnsi="Arial"/>
          <w:b w:val="0"/>
          <w:i w:val="0"/>
          <w:sz w:val="21"/>
        </w:rPr>
        <w:t xml:space="preserve"> This requirement defines the trustworthiness architecture for audit records DS-SCA-020/DS-OPS-002 require, beyond redaction alone. Audit records are append-only (or an equivalent tamper-evident mechanism): once written, an existing record is never modified or deleted by normal application code paths; a correction is recorded as a new, linked entry, never an edit to the original. Authorized writers are limited to the backend components that generate the audited event (never a client, never a direct database write from outside the audit-write path). Authorized readers are limited to the permission groups DS-SCA-005 defines (at minimum, administrative settings); reads of the audit log are themselves logged where the audit surface is security-sensitive (</w:t>
      </w:r>
      <w:r>
        <w:rPr>
          <w:rFonts w:ascii="Consolas" w:hAnsi="Consolas"/>
          <w:b w:val="0"/>
          <w:i w:val="0"/>
          <w:sz w:val="20"/>
        </w:rPr>
        <w:t>GET /audit-log</w:t>
      </w:r>
      <w:r>
        <w:rPr>
          <w:rFonts w:ascii="Arial" w:hAnsi="Arial"/>
          <w:b w:val="0"/>
          <w:i w:val="0"/>
          <w:sz w:val="21"/>
        </w:rPr>
        <w:t>, DS-API-OPS-001). Every record carries a timestamp and a deterministic ordering (e.g., a monotonically increasing sequence or an equivalent), and, where applicable, a correlation/request/session identifier sufficient to reconstruct a sequence of events (DS-OPS-002). Secrets and sensitive data are redacted at write time (DS-SCA-002) and defense-in-depth-checked at read time (DS-API-OPS-001). Retention and archival boundaries are documented and distinct from general application log retention (DS-OPS-002). If audit persistence itself becomes unavailable, the triggering action fails closed for security-sensitive actions (DS-SCA-001/015) rather than proceeding unaudited. This requirement does not mandate a specific storage vendor or cryptographic product; it is satisfiable by an append-only table pattern, a write-once log, or an equivalent mechanism chosen at implementation time. This requirement defines write-path and access-boundary architecture only; the deterministic behavior that actually detects direct storage corruption, truncation, reordering, or selective deletion is defined separately in DS-SCA-027.</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No code path modifies or deletes an existing audit record; a correction is a new, linked record.</w:t>
      </w:r>
    </w:p>
    <w:p>
      <w:pPr>
        <w:pStyle w:val="ListBullet"/>
        <w:spacing w:after="60"/>
      </w:pPr>
      <w:r>
        <w:rPr>
          <w:rFonts w:ascii="Arial" w:hAnsi="Arial"/>
          <w:b w:val="0"/>
          <w:i w:val="0"/>
          <w:sz w:val="21"/>
        </w:rPr>
        <w:t>No component outside the defined audit-write path can write to the audit log.</w:t>
      </w:r>
    </w:p>
    <w:p>
      <w:pPr>
        <w:pStyle w:val="ListBullet"/>
        <w:spacing w:after="60"/>
      </w:pPr>
      <w:r>
        <w:rPr>
          <w:rFonts w:ascii="Arial" w:hAnsi="Arial"/>
          <w:b w:val="0"/>
          <w:i w:val="0"/>
          <w:sz w:val="21"/>
        </w:rPr>
        <w:t>Audit-log reads by a permission group other than the defined authorized readers are rejected (DS-SCA-005/006).</w:t>
      </w:r>
    </w:p>
    <w:p>
      <w:pPr>
        <w:pStyle w:val="ListBullet"/>
        <w:spacing w:after="60"/>
      </w:pPr>
      <w:r>
        <w:rPr>
          <w:rFonts w:ascii="Arial" w:hAnsi="Arial"/>
          <w:b w:val="0"/>
          <w:i w:val="0"/>
          <w:sz w:val="21"/>
        </w:rPr>
        <w:t>A security-sensitive action that cannot be audited (audit persistence unavailable) does not proceed (fail-closed).</w:t>
      </w:r>
    </w:p>
    <w:p>
      <w:pPr>
        <w:pStyle w:val="ListBullet"/>
        <w:spacing w:after="60"/>
      </w:pPr>
      <w:r>
        <w:rPr>
          <w:rFonts w:ascii="Arial" w:hAnsi="Arial"/>
          <w:b w:val="0"/>
          <w:i w:val="0"/>
          <w:sz w:val="21"/>
        </w:rPr>
        <w:t>Retention/archival boundaries are documented and distinct from general log retention.</w:t>
      </w:r>
    </w:p>
    <w:p>
      <w:pPr>
        <w:spacing w:after="120" w:line="288" w:lineRule="auto"/>
      </w:pPr>
      <w:r>
        <w:rPr>
          <w:rFonts w:ascii="Arial" w:hAnsi="Arial"/>
          <w:b/>
          <w:i w:val="0"/>
          <w:sz w:val="21"/>
        </w:rPr>
        <w:t>Testing:</w:t>
      </w:r>
      <w:r>
        <w:rPr>
          <w:rFonts w:ascii="Arial" w:hAnsi="Arial"/>
          <w:b w:val="0"/>
          <w:i w:val="0"/>
          <w:sz w:val="21"/>
        </w:rPr>
        <w:t xml:space="preserve"> Tamper-attempt adversarial test (attempt to modify/delete an existing audit record via every available code path, confirm rejection); unauthorized-read rejection test; fail-closed-on-audit-unavailability test for a security-sensitive action; retention-boundary audit.</w:t>
      </w:r>
    </w:p>
    <w:p>
      <w:pPr>
        <w:pStyle w:val="Heading2"/>
        <w:spacing w:before="360" w:after="160"/>
        <w:pBdr>
          <w:bottom w:val="single" w:sz="8" w:space="4" w:color="C8A45D"/>
        </w:pBdr>
      </w:pPr>
      <w:r>
        <w:rPr>
          <w:rFonts w:ascii="Arial" w:hAnsi="Arial"/>
          <w:b w:val="0"/>
          <w:i w:val="0"/>
          <w:color w:val="17181C"/>
          <w:sz w:val="34"/>
        </w:rPr>
        <w:t>DS-SCA-026 — Security Incident Response Lifecycle</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w:t>
      </w:r>
      <w:r>
        <w:rPr>
          <w:rFonts w:ascii="Consolas" w:hAnsi="Consolas"/>
          <w:b w:val="0"/>
          <w:i w:val="0"/>
          <w:sz w:val="20"/>
        </w:rPr>
        <w:t>SECURITY_RULES.md</w:t>
      </w:r>
      <w:r>
        <w:rPr>
          <w:rFonts w:ascii="Arial" w:hAnsi="Arial"/>
          <w:b w:val="0"/>
          <w:i w:val="0"/>
          <w:sz w:val="21"/>
        </w:rPr>
        <w:t xml:space="preserve"> "Fail Closed," "Emergency Controls," "Broker Reconciliation," "Independent Review"; DS-SCA-001, DS-SCA-015, DS-SCA-016, DS-SCA-020</w:t>
      </w:r>
    </w:p>
    <w:p>
      <w:pPr>
        <w:spacing w:after="120" w:line="288" w:lineRule="auto"/>
      </w:pPr>
      <w:r>
        <w:rPr>
          <w:rFonts w:ascii="Arial" w:hAnsi="Arial"/>
          <w:b/>
          <w:i w:val="0"/>
          <w:sz w:val="21"/>
        </w:rPr>
        <w:t>Description:</w:t>
      </w:r>
      <w:r>
        <w:rPr>
          <w:rFonts w:ascii="Arial" w:hAnsi="Arial"/>
          <w:b w:val="0"/>
          <w:i w:val="0"/>
          <w:sz w:val="21"/>
        </w:rPr>
        <w:t xml:space="preserve"> DarkSage's security-incident lifecycle covers, at minimum: (1) </w:t>
      </w:r>
      <w:r>
        <w:rPr>
          <w:rFonts w:ascii="Arial" w:hAnsi="Arial"/>
          <w:b/>
          <w:i w:val="0"/>
          <w:sz w:val="21"/>
        </w:rPr>
        <w:t>Detection</w:t>
      </w:r>
      <w:r>
        <w:rPr>
          <w:rFonts w:ascii="Arial" w:hAnsi="Arial"/>
          <w:b w:val="0"/>
          <w:i w:val="0"/>
          <w:sz w:val="21"/>
        </w:rPr>
        <w:t xml:space="preserve"> — a security-relevant anomaly is identified (audit-log monitoring, reconciliation failure, authentication anomaly, or user report); (2) </w:t>
      </w:r>
      <w:r>
        <w:rPr>
          <w:rFonts w:ascii="Arial" w:hAnsi="Arial"/>
          <w:b/>
          <w:i w:val="0"/>
          <w:sz w:val="21"/>
        </w:rPr>
        <w:t>Classification/severity</w:t>
      </w:r>
      <w:r>
        <w:rPr>
          <w:rFonts w:ascii="Arial" w:hAnsi="Arial"/>
          <w:b w:val="0"/>
          <w:i w:val="0"/>
          <w:sz w:val="21"/>
        </w:rPr>
        <w:t xml:space="preserve"> — the incident is assigned a severity per DS-QA-019's defect-severity scale, extended to incidents (a Critical incident implies an active or imminent safety/financial/security breach); (3) </w:t>
      </w:r>
      <w:r>
        <w:rPr>
          <w:rFonts w:ascii="Arial" w:hAnsi="Arial"/>
          <w:b/>
          <w:i w:val="0"/>
          <w:sz w:val="21"/>
        </w:rPr>
        <w:t>Containment</w:t>
      </w:r>
      <w:r>
        <w:rPr>
          <w:rFonts w:ascii="Arial" w:hAnsi="Arial"/>
          <w:b w:val="0"/>
          <w:i w:val="0"/>
          <w:sz w:val="21"/>
        </w:rPr>
        <w:t xml:space="preserve"> — the affected capability is isolated (e.g., the affected session, integration, or trading pathway is paused) without unnecessarily disabling unaffected capability; (4) </w:t>
      </w:r>
      <w:r>
        <w:rPr>
          <w:rFonts w:ascii="Arial" w:hAnsi="Arial"/>
          <w:b/>
          <w:i w:val="0"/>
          <w:sz w:val="21"/>
        </w:rPr>
        <w:t>Session and credential revocation</w:t>
      </w:r>
      <w:r>
        <w:rPr>
          <w:rFonts w:ascii="Arial" w:hAnsi="Arial"/>
          <w:b w:val="0"/>
          <w:i w:val="0"/>
          <w:sz w:val="21"/>
        </w:rPr>
        <w:t xml:space="preserve"> — affected sessions (DS-SCA-004) and credentials (DS-SCA-002/003/013) are revoked/rotated; (5) </w:t>
      </w:r>
      <w:r>
        <w:rPr>
          <w:rFonts w:ascii="Arial" w:hAnsi="Arial"/>
          <w:b/>
          <w:i w:val="0"/>
          <w:sz w:val="21"/>
        </w:rPr>
        <w:t>Trading disablement or fail-closed controls</w:t>
      </w:r>
      <w:r>
        <w:rPr>
          <w:rFonts w:ascii="Arial" w:hAnsi="Arial"/>
          <w:b w:val="0"/>
          <w:i w:val="0"/>
          <w:sz w:val="21"/>
        </w:rPr>
        <w:t xml:space="preserve"> — where the incident is trading-relevant, Emergency Stop/Flatten (DS-SCA-016) or an equivalent fail-closed control (DS-SCA-015) is applied; (6) </w:t>
      </w:r>
      <w:r>
        <w:rPr>
          <w:rFonts w:ascii="Arial" w:hAnsi="Arial"/>
          <w:b/>
          <w:i w:val="0"/>
          <w:sz w:val="21"/>
        </w:rPr>
        <w:t>User notification</w:t>
      </w:r>
      <w:r>
        <w:rPr>
          <w:rFonts w:ascii="Arial" w:hAnsi="Arial"/>
          <w:b w:val="0"/>
          <w:i w:val="0"/>
          <w:sz w:val="21"/>
        </w:rPr>
        <w:t xml:space="preserve"> — the user is notified when the incident affects their account, data, or trading state, consistent with DS-OPS-003's understandable-communication standard; (7) </w:t>
      </w:r>
      <w:r>
        <w:rPr>
          <w:rFonts w:ascii="Arial" w:hAnsi="Arial"/>
          <w:b/>
          <w:i w:val="0"/>
          <w:sz w:val="21"/>
        </w:rPr>
        <w:t>Evidence preservation</w:t>
      </w:r>
      <w:r>
        <w:rPr>
          <w:rFonts w:ascii="Arial" w:hAnsi="Arial"/>
          <w:b w:val="0"/>
          <w:i w:val="0"/>
          <w:sz w:val="21"/>
        </w:rPr>
        <w:t xml:space="preserve"> — audit records relevant to the incident (DS-SCA-025) are preserved and never pruned by a retention policy during an active investigation; (8) </w:t>
      </w:r>
      <w:r>
        <w:rPr>
          <w:rFonts w:ascii="Arial" w:hAnsi="Arial"/>
          <w:b/>
          <w:i w:val="0"/>
          <w:sz w:val="21"/>
        </w:rPr>
        <w:t>Recovery/remediation</w:t>
      </w:r>
      <w:r>
        <w:rPr>
          <w:rFonts w:ascii="Arial" w:hAnsi="Arial"/>
          <w:b w:val="0"/>
          <w:i w:val="0"/>
          <w:sz w:val="21"/>
        </w:rPr>
        <w:t xml:space="preserve"> — the underlying cause is addressed before affected capability is restored; (9) </w:t>
      </w:r>
      <w:r>
        <w:rPr>
          <w:rFonts w:ascii="Arial" w:hAnsi="Arial"/>
          <w:b/>
          <w:i w:val="0"/>
          <w:sz w:val="21"/>
        </w:rPr>
        <w:t>Validation before re-enabling</w:t>
      </w:r>
      <w:r>
        <w:rPr>
          <w:rFonts w:ascii="Arial" w:hAnsi="Arial"/>
          <w:b w:val="0"/>
          <w:i w:val="0"/>
          <w:sz w:val="21"/>
        </w:rPr>
        <w:t xml:space="preserve"> — affected capability is validated (re-tested per the relevant DS-QA category) before being re-enabled, and live-trading capability specifically requires the same independent-review standard as DS-SCA-022's pre-live-trading gate before restoration; (10) </w:t>
      </w:r>
      <w:r>
        <w:rPr>
          <w:rFonts w:ascii="Arial" w:hAnsi="Arial"/>
          <w:b/>
          <w:i w:val="0"/>
          <w:sz w:val="21"/>
        </w:rPr>
        <w:t>Post-incident review and audit record</w:t>
      </w:r>
      <w:r>
        <w:rPr>
          <w:rFonts w:ascii="Arial" w:hAnsi="Arial"/>
          <w:b w:val="0"/>
          <w:i w:val="0"/>
          <w:sz w:val="21"/>
        </w:rPr>
        <w:t xml:space="preserve"> — a post-incident review is recorded, referencing the preserved evidence, and closes the incident.</w:t>
      </w:r>
    </w:p>
    <w:p>
      <w:pPr>
        <w:spacing w:after="120" w:line="288" w:lineRule="auto"/>
      </w:pPr>
      <w:r>
        <w:rPr>
          <w:rFonts w:ascii="Arial" w:hAnsi="Arial"/>
          <w:b w:val="0"/>
          <w:i w:val="0"/>
          <w:sz w:val="21"/>
        </w:rPr>
        <w:t>This lifecycle explicitly addresses: a compromised session (steps 3–4); compromised broker credentials (steps 3–4); suspected unauthorized trade activity (steps 3, 5, 7); a compromised update/dependency path (steps 3, 5, 8–9, cross-referencing DS-SCA-019); an audit-log integrity failure (steps 1, 7, detected and escalated per DS-SCA-027's verification contract, cross-referencing DS-SCA-025 — an integrity failure is itself Critical per DS-QA-019); malicious or corrupted external data/integration (steps 3, 5, 8, cross-referencing DS-SCA-014); and local-device compromise where detectable (steps 3–4, 6).</w:t>
      </w:r>
    </w:p>
    <w:p>
      <w:pPr>
        <w:spacing w:after="120" w:line="288" w:lineRule="auto"/>
      </w:pPr>
      <w:r>
        <w:rPr>
          <w:rFonts w:ascii="Arial" w:hAnsi="Arial"/>
          <w:b w:val="0"/>
          <w:i w:val="0"/>
          <w:sz w:val="21"/>
        </w:rPr>
        <w:t>Owner/user authority is preserved throughout: no automated process disables the user's own account access as a side effect of incident response without notification per step 6, and re-enabling live-trading capability specifically requires the stronger validation step 9 describes — never an automated, unattended restoration. This requirement does not define operational staffing, on-call rotation, or legal/regulatory response policy; those remain out of scope (§14 Non-Goals).</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listed incident type maps to at least the steps cited above; no incident type is handled ad hoc outside this lifecycle.</w:t>
      </w:r>
    </w:p>
    <w:p>
      <w:pPr>
        <w:pStyle w:val="ListBullet"/>
        <w:spacing w:after="60"/>
      </w:pPr>
      <w:r>
        <w:rPr>
          <w:rFonts w:ascii="Arial" w:hAnsi="Arial"/>
          <w:b w:val="0"/>
          <w:i w:val="0"/>
          <w:sz w:val="21"/>
        </w:rPr>
        <w:t>Step 5 (trading disablement) is reachable independent of the code path that caused the incident, per DS-SCA-016's independent-reachability principle.</w:t>
      </w:r>
    </w:p>
    <w:p>
      <w:pPr>
        <w:pStyle w:val="ListBullet"/>
        <w:spacing w:after="60"/>
      </w:pPr>
      <w:r>
        <w:rPr>
          <w:rFonts w:ascii="Arial" w:hAnsi="Arial"/>
          <w:b w:val="0"/>
          <w:i w:val="0"/>
          <w:sz w:val="21"/>
        </w:rPr>
        <w:t>Step 9 (validation before re-enabling) is never skipped for a live-trading-relevant incident, regardless of severity classification.</w:t>
      </w:r>
    </w:p>
    <w:p>
      <w:pPr>
        <w:pStyle w:val="ListBullet"/>
        <w:spacing w:after="60"/>
      </w:pPr>
      <w:r>
        <w:rPr>
          <w:rFonts w:ascii="Arial" w:hAnsi="Arial"/>
          <w:b w:val="0"/>
          <w:i w:val="0"/>
          <w:sz w:val="21"/>
        </w:rPr>
        <w:t>Step 7 (evidence preservation) overrides normal retention policy for the duration of an active investigation.</w:t>
      </w:r>
    </w:p>
    <w:p>
      <w:pPr>
        <w:spacing w:after="120" w:line="288" w:lineRule="auto"/>
      </w:pPr>
      <w:r>
        <w:rPr>
          <w:rFonts w:ascii="Arial" w:hAnsi="Arial"/>
          <w:b/>
          <w:i w:val="0"/>
          <w:sz w:val="21"/>
        </w:rPr>
        <w:t>Testing:</w:t>
      </w:r>
      <w:r>
        <w:rPr>
          <w:rFonts w:ascii="Arial" w:hAnsi="Arial"/>
          <w:b w:val="0"/>
          <w:i w:val="0"/>
          <w:sz w:val="21"/>
        </w:rPr>
        <w:t xml:space="preserve"> Tabletop/simulated-incident walkthrough per listed incident type, confirming each applicable lifecycle step occurs in order; live-trading re-enablement test confirming step 9's validation gate cannot be bypassed.</w:t>
      </w:r>
    </w:p>
    <w:p>
      <w:pPr>
        <w:pStyle w:val="Heading2"/>
        <w:spacing w:before="360" w:after="160"/>
        <w:pBdr>
          <w:bottom w:val="single" w:sz="8" w:space="4" w:color="C8A45D"/>
        </w:pBdr>
      </w:pPr>
      <w:r>
        <w:rPr>
          <w:rFonts w:ascii="Arial" w:hAnsi="Arial"/>
          <w:b w:val="0"/>
          <w:i w:val="0"/>
          <w:color w:val="17181C"/>
          <w:sz w:val="34"/>
        </w:rPr>
        <w:t>DS-SCA-027 — Audit-Log Integrity Verification Contract</w:t>
      </w:r>
    </w:p>
    <w:p>
      <w:pPr>
        <w:spacing w:after="120" w:line="288" w:lineRule="auto"/>
      </w:pPr>
      <w:r>
        <w:rPr>
          <w:rFonts w:ascii="Arial" w:hAnsi="Arial"/>
          <w:b/>
          <w:i w:val="0"/>
          <w:sz w:val="21"/>
        </w:rPr>
        <w:t>Release Classification:</w:t>
      </w:r>
      <w:r>
        <w:rPr>
          <w:rFonts w:ascii="Arial" w:hAnsi="Arial"/>
          <w:b w:val="0"/>
          <w:i w:val="0"/>
          <w:sz w:val="21"/>
        </w:rPr>
        <w:t xml:space="preserve"> Committed / MVP | </w:t>
      </w:r>
      <w:r>
        <w:rPr>
          <w:rFonts w:ascii="Arial" w:hAnsi="Arial"/>
          <w:b/>
          <w:i w:val="0"/>
          <w:sz w:val="21"/>
        </w:rPr>
        <w:t>Governing Source:</w:t>
      </w:r>
      <w:r>
        <w:rPr>
          <w:rFonts w:ascii="Arial" w:hAnsi="Arial"/>
          <w:b w:val="0"/>
          <w:i w:val="0"/>
          <w:sz w:val="21"/>
        </w:rPr>
        <w:t xml:space="preserve"> DS-SCA-025 (Committed, this document); </w:t>
      </w:r>
      <w:r>
        <w:rPr>
          <w:rFonts w:ascii="Consolas" w:hAnsi="Consolas"/>
          <w:b w:val="0"/>
          <w:i w:val="0"/>
          <w:sz w:val="20"/>
        </w:rPr>
        <w:t>SECURITY_RULES.md</w:t>
      </w:r>
      <w:r>
        <w:rPr>
          <w:rFonts w:ascii="Arial" w:hAnsi="Arial"/>
          <w:b w:val="0"/>
          <w:i w:val="0"/>
          <w:sz w:val="21"/>
        </w:rPr>
        <w:t xml:space="preserve"> "Fail Closed," "Logging"</w:t>
      </w:r>
    </w:p>
    <w:p>
      <w:pPr>
        <w:spacing w:after="120" w:line="288" w:lineRule="auto"/>
      </w:pPr>
      <w:r>
        <w:rPr>
          <w:rFonts w:ascii="Arial" w:hAnsi="Arial"/>
          <w:b/>
          <w:i w:val="0"/>
          <w:sz w:val="21"/>
        </w:rPr>
        <w:t>Description:</w:t>
      </w:r>
      <w:r>
        <w:rPr>
          <w:rFonts w:ascii="Arial" w:hAnsi="Arial"/>
          <w:b w:val="0"/>
          <w:i w:val="0"/>
          <w:sz w:val="21"/>
        </w:rPr>
        <w:t xml:space="preserve"> This requirement defines the deterministic integrity-verification behavior DS-SCA-025's append-only/tamper-evident architecture requires to actually detect corruption, not merely to declare an intent — added in the DS-008-H2 repair to close that gap. The protected record set is every AuditLogEntry (DS-DB-020) written under DS-SCA-025's authorized-writer path, verified as a sequence (or an equivalent ordered set) rather than record-by-record in isolation, so a gap, reordering, or unauthorized insertion is detectable, not only an individual record's own tampering.</w:t>
      </w:r>
    </w:p>
    <w:p>
      <w:pPr>
        <w:spacing w:after="120" w:line="288" w:lineRule="auto"/>
      </w:pPr>
      <w:r>
        <w:rPr>
          <w:rFonts w:ascii="Arial" w:hAnsi="Arial"/>
          <w:b/>
          <w:i w:val="0"/>
          <w:sz w:val="21"/>
        </w:rPr>
        <w:t>Integrity evidence:</w:t>
      </w:r>
      <w:r>
        <w:rPr>
          <w:rFonts w:ascii="Arial" w:hAnsi="Arial"/>
          <w:b w:val="0"/>
          <w:i w:val="0"/>
          <w:sz w:val="21"/>
        </w:rPr>
        <w:t xml:space="preserve"> each record (or a periodic checkpoint over a range of records) carries deterministic evidence sufficient to detect: record modification (content no longer matches what was verifiably written); record reordering (sequence/ordering evidence no longer matches the expected order); truncation (an expected suffix of the sequence is missing); selective deletion (a gap appears in the sequence/chain where a record should exist); and unauthorized insertion (a record exists that does not chain from/attach to the prior verified state). This is satisfiable by a cryptographically verifiable hash chain, an authenticated record structure, periodic signed checkpoints, or an equivalent deterministic mechanism — the exact mechanism is a DS-004/implementation decision, not fixed here.</w:t>
      </w:r>
    </w:p>
    <w:p>
      <w:pPr>
        <w:spacing w:after="120" w:line="288" w:lineRule="auto"/>
      </w:pPr>
      <w:r>
        <w:rPr>
          <w:rFonts w:ascii="Arial" w:hAnsi="Arial"/>
          <w:b/>
          <w:i w:val="0"/>
          <w:sz w:val="21"/>
        </w:rPr>
        <w:t>Verification triggers:</w:t>
      </w:r>
      <w:r>
        <w:rPr>
          <w:rFonts w:ascii="Arial" w:hAnsi="Arial"/>
          <w:b w:val="0"/>
          <w:i w:val="0"/>
          <w:sz w:val="21"/>
        </w:rPr>
        <w:t xml:space="preserve"> integrity verification runs, at minimum: (a) on application/backend service startup, before the audit log is treated as trustworthy for that session; (b) before any security-sensitive audit review (e.g., before </w:t>
      </w:r>
      <w:r>
        <w:rPr>
          <w:rFonts w:ascii="Consolas" w:hAnsi="Consolas"/>
          <w:b w:val="0"/>
          <w:i w:val="0"/>
          <w:sz w:val="20"/>
        </w:rPr>
        <w:t>GET /audit-log</w:t>
      </w:r>
      <w:r>
        <w:rPr>
          <w:rFonts w:ascii="Arial" w:hAnsi="Arial"/>
          <w:b w:val="0"/>
          <w:i w:val="0"/>
          <w:sz w:val="21"/>
        </w:rPr>
        <w:t xml:space="preserve"> returns results for an administrative review, or before DS-SCA-026's Evidence Preservation step relies on the log); (c) on a scheduled/background cadence; and (d) immediately after any detected storage or persistence fault (e.g., an unclean shutdown, a database-consistency error, a disk-level fault) affecting the audit store.</w:t>
      </w:r>
    </w:p>
    <w:p>
      <w:pPr>
        <w:spacing w:after="120" w:line="288" w:lineRule="auto"/>
      </w:pPr>
      <w:r>
        <w:rPr>
          <w:rFonts w:ascii="Arial" w:hAnsi="Arial"/>
          <w:b/>
          <w:i w:val="0"/>
          <w:sz w:val="21"/>
        </w:rPr>
        <w:t>Verification result states:</w:t>
      </w:r>
      <w:r>
        <w:rPr>
          <w:rFonts w:ascii="Arial" w:hAnsi="Arial"/>
          <w:b w:val="0"/>
          <w:i w:val="0"/>
          <w:sz w:val="21"/>
        </w:rPr>
        <w:t xml:space="preserve"> each run produces one of: </w:t>
      </w:r>
      <w:r>
        <w:rPr>
          <w:rFonts w:ascii="Arial" w:hAnsi="Arial"/>
          <w:b/>
          <w:i w:val="0"/>
          <w:sz w:val="21"/>
        </w:rPr>
        <w:t>Verified</w:t>
      </w:r>
      <w:r>
        <w:rPr>
          <w:rFonts w:ascii="Arial" w:hAnsi="Arial"/>
          <w:b w:val="0"/>
          <w:i w:val="0"/>
          <w:sz w:val="21"/>
        </w:rPr>
        <w:t xml:space="preserve"> (no integrity violation detected); </w:t>
      </w:r>
      <w:r>
        <w:rPr>
          <w:rFonts w:ascii="Arial" w:hAnsi="Arial"/>
          <w:b/>
          <w:i w:val="0"/>
          <w:sz w:val="21"/>
        </w:rPr>
        <w:t>Violation Detected</w:t>
      </w:r>
      <w:r>
        <w:rPr>
          <w:rFonts w:ascii="Arial" w:hAnsi="Arial"/>
          <w:b w:val="0"/>
          <w:i w:val="0"/>
          <w:sz w:val="21"/>
        </w:rPr>
        <w:t xml:space="preserve"> (a specific modification/reordering/truncation/deletion/insertion was identified, with its location in the sequence); or </w:t>
      </w:r>
      <w:r>
        <w:rPr>
          <w:rFonts w:ascii="Arial" w:hAnsi="Arial"/>
          <w:b/>
          <w:i w:val="0"/>
          <w:sz w:val="21"/>
        </w:rPr>
        <w:t>Verification Inconclusive</w:t>
      </w:r>
      <w:r>
        <w:rPr>
          <w:rFonts w:ascii="Arial" w:hAnsi="Arial"/>
          <w:b w:val="0"/>
          <w:i w:val="0"/>
          <w:sz w:val="21"/>
        </w:rPr>
        <w:t xml:space="preserve"> (the check itself could not complete, e.g., due to a concurrent fault) — Inconclusive is never silently treated as Verified.</w:t>
      </w:r>
    </w:p>
    <w:p>
      <w:pPr>
        <w:spacing w:after="120" w:line="288" w:lineRule="auto"/>
      </w:pPr>
      <w:r>
        <w:rPr>
          <w:rFonts w:ascii="Arial" w:hAnsi="Arial"/>
          <w:b/>
          <w:i w:val="0"/>
          <w:sz w:val="21"/>
        </w:rPr>
        <w:t>Failure handling and escalation:</w:t>
      </w:r>
      <w:r>
        <w:rPr>
          <w:rFonts w:ascii="Arial" w:hAnsi="Arial"/>
          <w:b w:val="0"/>
          <w:i w:val="0"/>
          <w:sz w:val="21"/>
        </w:rPr>
        <w:t xml:space="preserve"> a Violation Detected or Verification Inconclusive result triggers DS-SCA-026's Security Incident Response Lifecycle at Detection, classified at minimum High severity (Critical if the violation affects records relevant to an active investigation or live-trading authority) per DS-QA-019's severity scale, and is itself recorded as a new, forward-linked audit event — never a rewrite of the compromised range.</w:t>
      </w:r>
    </w:p>
    <w:p>
      <w:pPr>
        <w:spacing w:after="120" w:line="288" w:lineRule="auto"/>
      </w:pPr>
      <w:r>
        <w:rPr>
          <w:rFonts w:ascii="Arial" w:hAnsi="Arial"/>
          <w:b/>
          <w:i w:val="0"/>
          <w:sz w:val="21"/>
        </w:rPr>
        <w:t>Fail-closed behavior:</w:t>
      </w:r>
      <w:r>
        <w:rPr>
          <w:rFonts w:ascii="Arial" w:hAnsi="Arial"/>
          <w:b w:val="0"/>
          <w:i w:val="0"/>
          <w:sz w:val="21"/>
        </w:rPr>
        <w:t xml:space="preserve"> while a Violation Detected or Verification Inconclusive state is unresolved, any security-sensitive or trading-relevant operation whose authorization trail (DS-SCA-012) would depend on audit trustworthiness fails closed, consistent with DS-SCA-001/015/025 — the system does not proceed as though the audit log were trustworthy merely because the underlying feature would otherwise succeed.</w:t>
      </w:r>
    </w:p>
    <w:p>
      <w:pPr>
        <w:spacing w:after="120" w:line="288" w:lineRule="auto"/>
      </w:pPr>
      <w:r>
        <w:rPr>
          <w:rFonts w:ascii="Arial" w:hAnsi="Arial"/>
          <w:b/>
          <w:i w:val="0"/>
          <w:sz w:val="21"/>
        </w:rPr>
        <w:t>Evidence preservation and repair boundaries:</w:t>
      </w:r>
      <w:r>
        <w:rPr>
          <w:rFonts w:ascii="Arial" w:hAnsi="Arial"/>
          <w:b w:val="0"/>
          <w:i w:val="0"/>
          <w:sz w:val="21"/>
        </w:rPr>
        <w:t xml:space="preserve"> the compromised range (and its surrounding verified context) is preserved unmodified for investigation (DS-SCA-026 step 7). Repair/recovery may append new, clearly-marked records restoring forward integrity from the last known-good checkpoint, but shall never silently rebuild, rewrite, or replace the compromised range to make verification pass again without the violation first being escalated and recorded. Silently "fixing" a verification failure by regenerating history is explicitly prohibited.</w:t>
      </w:r>
    </w:p>
    <w:p>
      <w:pPr>
        <w:spacing w:after="120" w:line="288" w:lineRule="auto"/>
      </w:pPr>
      <w:r>
        <w:rPr>
          <w:rFonts w:ascii="Arial" w:hAnsi="Arial"/>
          <w:b/>
          <w:i w:val="0"/>
          <w:sz w:val="21"/>
        </w:rPr>
        <w:t>Acceptance Criteria:</w:t>
      </w:r>
    </w:p>
    <w:p>
      <w:pPr>
        <w:pStyle w:val="ListBullet"/>
        <w:spacing w:after="60"/>
      </w:pPr>
      <w:r>
        <w:rPr>
          <w:rFonts w:ascii="Arial" w:hAnsi="Arial"/>
          <w:b w:val="0"/>
          <w:i w:val="0"/>
          <w:sz w:val="21"/>
        </w:rPr>
        <w:t>Every listed detection category (modification, reordering, truncation, selective deletion, unauthorized insertion) is independently demonstrable via an adversarial test that directly manipulates the underlying storage, not only via an API-level modification attempt (which DS-SCA-025 already covers).</w:t>
      </w:r>
    </w:p>
    <w:p>
      <w:pPr>
        <w:pStyle w:val="ListBullet"/>
        <w:spacing w:after="60"/>
      </w:pPr>
      <w:r>
        <w:rPr>
          <w:rFonts w:ascii="Arial" w:hAnsi="Arial"/>
          <w:b w:val="0"/>
          <w:i w:val="0"/>
          <w:sz w:val="21"/>
        </w:rPr>
        <w:t>Verification runs at every listed trigger point; a missing trigger (e.g., no startup verification) is itself a defect against this requirement.</w:t>
      </w:r>
    </w:p>
    <w:p>
      <w:pPr>
        <w:pStyle w:val="ListBullet"/>
        <w:spacing w:after="60"/>
      </w:pPr>
      <w:r>
        <w:rPr>
          <w:rFonts w:ascii="Arial" w:hAnsi="Arial"/>
          <w:b w:val="0"/>
          <w:i w:val="0"/>
          <w:sz w:val="21"/>
        </w:rPr>
        <w:t>A Violation Detected or Inconclusive result never resolves silently to Verified without an explicit, recorded remediation step.</w:t>
      </w:r>
    </w:p>
    <w:p>
      <w:pPr>
        <w:pStyle w:val="ListBullet"/>
        <w:spacing w:after="60"/>
      </w:pPr>
      <w:r>
        <w:rPr>
          <w:rFonts w:ascii="Arial" w:hAnsi="Arial"/>
          <w:b w:val="0"/>
          <w:i w:val="0"/>
          <w:sz w:val="21"/>
        </w:rPr>
        <w:t>No code path rewrites or regenerates a compromised range to suppress a verification failure without first escalating per DS-SCA-026.</w:t>
      </w:r>
    </w:p>
    <w:p>
      <w:pPr>
        <w:pStyle w:val="ListBullet"/>
        <w:spacing w:after="60"/>
      </w:pPr>
      <w:r>
        <w:rPr>
          <w:rFonts w:ascii="Arial" w:hAnsi="Arial"/>
          <w:b w:val="0"/>
          <w:i w:val="0"/>
          <w:sz w:val="21"/>
        </w:rPr>
        <w:t>This requirement mandates no specific vendor or cryptographic product; a hash-chain, authenticated structure, or signed-checkpoint mechanism (or equivalent) each satisfy it.</w:t>
      </w:r>
    </w:p>
    <w:p>
      <w:pPr>
        <w:spacing w:after="120" w:line="288" w:lineRule="auto"/>
      </w:pPr>
      <w:r>
        <w:rPr>
          <w:rFonts w:ascii="Arial" w:hAnsi="Arial"/>
          <w:b/>
          <w:i w:val="0"/>
          <w:sz w:val="21"/>
        </w:rPr>
        <w:t>Testing:</w:t>
      </w:r>
      <w:r>
        <w:rPr>
          <w:rFonts w:ascii="Arial" w:hAnsi="Arial"/>
          <w:b w:val="0"/>
          <w:i w:val="0"/>
          <w:sz w:val="21"/>
        </w:rPr>
        <w:t xml:space="preserve"> Direct-storage-corruption adversarial test (bypassing the API to modify/delete/reorder/insert records directly) confirming detection at the next verification trigger; startup-verification test; pre-review-verification test; scheduled-verification test; post-fault-verification test; fail-closed test confirming a security-sensitive/trading-relevant operation is blocked while a violation is unresolved; evidence-preservation test confirming the compromised range is not altered during investigation; anti-silent-rebuild test confirming no code path regenerates history to pass verification without escalation.</w:t>
      </w:r>
    </w:p>
    <w:p>
      <w:pPr>
        <w:pStyle w:val="Heading1"/>
        <w:spacing w:before="480" w:after="240"/>
        <w:pBdr>
          <w:bottom w:val="single" w:sz="16" w:space="4" w:color="C8A45D"/>
        </w:pBdr>
      </w:pPr>
      <w:r>
        <w:rPr>
          <w:rFonts w:ascii="Arial" w:hAnsi="Arial"/>
          <w:b w:val="0"/>
          <w:i w:val="0"/>
          <w:color w:val="0B0B0D"/>
          <w:sz w:val="44"/>
        </w:rPr>
        <w:t>14. Non-Goals</w:t>
      </w:r>
    </w:p>
    <w:p>
      <w:pPr>
        <w:spacing w:after="120" w:line="288" w:lineRule="auto"/>
      </w:pPr>
      <w:r>
        <w:rPr>
          <w:rFonts w:ascii="Arial" w:hAnsi="Arial"/>
          <w:b w:val="0"/>
          <w:i w:val="0"/>
          <w:sz w:val="21"/>
        </w:rPr>
        <w:t xml:space="preserve">DS-008 does not: redesign any DS-004 architectural boundary or DS-006 API contract; select a specific authentication token mechanism (DS-006 Appendix A Open Question #2 remains open); commit live-trading timing beyond </w:t>
      </w:r>
      <w:r>
        <w:rPr>
          <w:rFonts w:ascii="Consolas" w:hAnsi="Consolas"/>
          <w:b w:val="0"/>
          <w:i w:val="0"/>
          <w:sz w:val="20"/>
        </w:rPr>
        <w:t>ROADMAP.md</w:t>
      </w:r>
      <w:r>
        <w:rPr>
          <w:rFonts w:ascii="Arial" w:hAnsi="Arial"/>
          <w:b w:val="0"/>
          <w:i w:val="0"/>
          <w:sz w:val="21"/>
        </w:rPr>
        <w:t xml:space="preserve"> Phase 13/DS-EXE-007; weaken DS-001 §14's local-first-where-practical or privacy-by-design principles; introduce a new credential/identity architecture beyond the session lifecycle DS-006 already defines; or define operational staffing, on-call rotation, or legal/regulatory incident-response policy (DS-SCA-026 states the technical/architectural lifecycle only).</w:t>
      </w:r>
    </w:p>
    <w:p>
      <w:pPr>
        <w:pStyle w:val="Heading1"/>
        <w:spacing w:before="480" w:after="240"/>
        <w:pBdr>
          <w:bottom w:val="single" w:sz="16" w:space="4" w:color="C8A45D"/>
        </w:pBdr>
      </w:pPr>
      <w:r>
        <w:rPr>
          <w:rFonts w:ascii="Arial" w:hAnsi="Arial"/>
          <w:b w:val="0"/>
          <w:i w:val="0"/>
          <w:color w:val="0B0B0D"/>
          <w:sz w:val="44"/>
        </w:rPr>
        <w:t>15. Dependencies</w:t>
      </w:r>
    </w:p>
    <w:p>
      <w:pPr>
        <w:pStyle w:val="ListBullet"/>
        <w:spacing w:after="60"/>
      </w:pPr>
      <w:r>
        <w:rPr>
          <w:rFonts w:ascii="Arial" w:hAnsi="Arial"/>
          <w:b w:val="0"/>
          <w:i w:val="0"/>
          <w:sz w:val="21"/>
        </w:rPr>
        <w:t>DS-001</w:t>
      </w:r>
      <w:r>
        <w:rPr>
          <w:rFonts w:ascii="Arial" w:hAnsi="Arial"/>
          <w:b w:val="0"/>
          <w:i w:val="0"/>
          <w:sz w:val="21"/>
        </w:rPr>
        <w:t xml:space="preserve">, </w:t>
      </w:r>
      <w:r>
        <w:rPr>
          <w:rFonts w:ascii="Arial" w:hAnsi="Arial"/>
          <w:b w:val="0"/>
          <w:i w:val="0"/>
          <w:sz w:val="21"/>
        </w:rPr>
        <w:t>DS-002</w:t>
      </w:r>
      <w:r>
        <w:rPr>
          <w:rFonts w:ascii="Arial" w:hAnsi="Arial"/>
          <w:b w:val="0"/>
          <w:i w:val="0"/>
          <w:sz w:val="21"/>
        </w:rPr>
        <w:t xml:space="preserve"> (DS-SEC, DS-RSK, DS-EXE, DS-OPS, DS-DAT families), </w:t>
      </w:r>
      <w:r>
        <w:rPr>
          <w:rFonts w:ascii="Arial" w:hAnsi="Arial"/>
          <w:b w:val="0"/>
          <w:i w:val="0"/>
          <w:sz w:val="21"/>
        </w:rPr>
        <w:t>DS-004</w:t>
      </w:r>
      <w:r>
        <w:rPr>
          <w:rFonts w:ascii="Arial" w:hAnsi="Arial"/>
          <w:b w:val="0"/>
          <w:i w:val="0"/>
          <w:sz w:val="21"/>
        </w:rPr>
        <w:t xml:space="preserve">, </w:t>
      </w:r>
      <w:r>
        <w:rPr>
          <w:rFonts w:ascii="Arial" w:hAnsi="Arial"/>
          <w:b w:val="0"/>
          <w:i w:val="0"/>
          <w:sz w:val="21"/>
        </w:rPr>
        <w:t>DS-006</w:t>
      </w:r>
    </w:p>
    <w:p>
      <w:pPr>
        <w:pStyle w:val="ListBullet"/>
        <w:spacing w:after="60"/>
      </w:pP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w:t>
      </w:r>
      <w:r>
        <w:rPr>
          <w:rFonts w:ascii="Consolas" w:hAnsi="Consolas"/>
          <w:b w:val="0"/>
          <w:i w:val="0"/>
          <w:sz w:val="20"/>
        </w:rPr>
        <w:t>AGENTS.md</w:t>
      </w:r>
    </w:p>
    <w:p>
      <w:pPr>
        <w:pStyle w:val="ListBullet"/>
        <w:spacing w:after="60"/>
      </w:pPr>
      <w:r>
        <w:rPr>
          <w:rFonts w:ascii="Consolas" w:hAnsi="Consolas"/>
          <w:b w:val="0"/>
          <w:i w:val="0"/>
          <w:sz w:val="20"/>
        </w:rPr>
        <w:t>.ai-workflow/AGENT_PROTOCOL.md</w:t>
      </w:r>
      <w:r>
        <w:rPr>
          <w:rFonts w:ascii="Arial" w:hAnsi="Arial"/>
          <w:b w:val="0"/>
          <w:i w:val="0"/>
          <w:sz w:val="21"/>
        </w:rPr>
        <w:t xml:space="preserve"> (process precedent for DS-SCA-021)</w:t>
      </w:r>
    </w:p>
    <w:p>
      <w:pPr>
        <w:pStyle w:val="Heading1"/>
        <w:spacing w:before="480" w:after="240"/>
        <w:pBdr>
          <w:bottom w:val="single" w:sz="16" w:space="4" w:color="C8A45D"/>
        </w:pBdr>
      </w:pPr>
      <w:r>
        <w:rPr>
          <w:rFonts w:ascii="Arial" w:hAnsi="Arial"/>
          <w:b w:val="0"/>
          <w:i w:val="0"/>
          <w:color w:val="0B0B0D"/>
          <w:sz w:val="44"/>
        </w:rPr>
        <w:t>16. Risks and Constraints</w:t>
      </w:r>
    </w:p>
    <w:p>
      <w:pPr>
        <w:pStyle w:val="ListBullet"/>
        <w:spacing w:after="60"/>
      </w:pPr>
      <w:r>
        <w:rPr>
          <w:rFonts w:ascii="Arial" w:hAnsi="Arial"/>
          <w:b/>
          <w:i w:val="0"/>
          <w:sz w:val="21"/>
        </w:rPr>
        <w:t>Governance-boundary-now / implementation-later pattern:</w:t>
      </w:r>
      <w:r>
        <w:rPr>
          <w:rFonts w:ascii="Arial" w:hAnsi="Arial"/>
          <w:b w:val="0"/>
          <w:i w:val="0"/>
          <w:sz w:val="21"/>
        </w:rPr>
        <w:t xml:space="preserve"> several requirements (DS-SCA-007, DS-SCA-012, DS-SCA-022) fix a Committed constraint on future Planned implementation, exactly mirroring DS-EXE-001/DS-API-EXE-001's established pattern, to avoid inventing unsupported Committed implementation scope while still closing the governance gap now.</w:t>
      </w:r>
    </w:p>
    <w:p>
      <w:pPr>
        <w:pStyle w:val="ListBullet"/>
        <w:spacing w:after="60"/>
      </w:pPr>
      <w:r>
        <w:rPr>
          <w:rFonts w:ascii="Arial" w:hAnsi="Arial"/>
          <w:b/>
          <w:i w:val="0"/>
          <w:sz w:val="21"/>
        </w:rPr>
        <w:t>Update-integrity grounding gap:</w:t>
      </w:r>
      <w:r>
        <w:rPr>
          <w:rFonts w:ascii="Arial" w:hAnsi="Arial"/>
          <w:b w:val="0"/>
          <w:i w:val="0"/>
          <w:sz w:val="21"/>
        </w:rPr>
        <w:t xml:space="preserve"> DS-SCA-019 has no direct DS-002/DS-004 requirement backing its Planned classification beyond general </w:t>
      </w:r>
      <w:r>
        <w:rPr>
          <w:rFonts w:ascii="Consolas" w:hAnsi="Consolas"/>
          <w:b w:val="0"/>
          <w:i w:val="0"/>
          <w:sz w:val="20"/>
        </w:rPr>
        <w:t>SECURITY_RULES.md</w:t>
      </w:r>
      <w:r>
        <w:rPr>
          <w:rFonts w:ascii="Arial" w:hAnsi="Arial"/>
          <w:b w:val="0"/>
          <w:i w:val="0"/>
          <w:sz w:val="21"/>
        </w:rPr>
        <w:t xml:space="preserve"> principle — recorded in Appendix A rather than silently treated as fully grounded.</w:t>
      </w:r>
    </w:p>
    <w:p>
      <w:pPr>
        <w:pStyle w:val="ListBullet"/>
        <w:spacing w:after="60"/>
      </w:pPr>
      <w:r>
        <w:rPr>
          <w:rFonts w:ascii="Arial" w:hAnsi="Arial"/>
          <w:b/>
          <w:i w:val="0"/>
          <w:sz w:val="21"/>
        </w:rPr>
        <w:t>Classification discipline:</w:t>
      </w:r>
      <w:r>
        <w:rPr>
          <w:rFonts w:ascii="Arial" w:hAnsi="Arial"/>
          <w:b w:val="0"/>
          <w:i w:val="0"/>
          <w:sz w:val="21"/>
        </w:rPr>
        <w:t xml:space="preserve"> no requirement in this document promotes a Planned upstream item (DS-EXE-003 through 006, DS-ARC-021/022/024, DS-INT-003) to Committed; Committed requirements here trace only to already-Committed DS-002/DS-004/DS-006 sources or restate them without expanding scope.</w:t>
      </w:r>
    </w:p>
    <w:p>
      <w:pPr>
        <w:pStyle w:val="Heading1"/>
        <w:spacing w:before="480" w:after="240"/>
        <w:pBdr>
          <w:bottom w:val="single" w:sz="16" w:space="4" w:color="C8A45D"/>
        </w:pBdr>
      </w:pPr>
      <w:r>
        <w:rPr>
          <w:rFonts w:ascii="Arial" w:hAnsi="Arial"/>
          <w:b w:val="0"/>
          <w:i w:val="0"/>
          <w:color w:val="0B0B0D"/>
          <w:sz w:val="44"/>
        </w:rPr>
        <w:t>17. Verification Approach</w:t>
      </w:r>
    </w:p>
    <w:p>
      <w:pPr>
        <w:spacing w:after="120" w:line="288" w:lineRule="auto"/>
      </w:pPr>
      <w:r>
        <w:rPr>
          <w:rFonts w:ascii="Arial" w:hAnsi="Arial"/>
          <w:b w:val="0"/>
          <w:i w:val="0"/>
          <w:sz w:val="21"/>
        </w:rPr>
        <w:t xml:space="preserve">Each </w:t>
      </w:r>
      <w:r>
        <w:rPr>
          <w:rFonts w:ascii="Consolas" w:hAnsi="Consolas"/>
          <w:b w:val="0"/>
          <w:i w:val="0"/>
          <w:sz w:val="20"/>
        </w:rPr>
        <w:t>DS-SCA-NNN</w:t>
      </w:r>
      <w:r>
        <w:rPr>
          <w:rFonts w:ascii="Arial" w:hAnsi="Arial"/>
          <w:b w:val="0"/>
          <w:i w:val="0"/>
          <w:sz w:val="21"/>
        </w:rPr>
        <w:t xml:space="preserve"> requirement states its own Testing. Document-level verification (unique-ID check, cross-reference consistency against DS-002/DS-004/DS-006/</w:t>
      </w:r>
      <w:r>
        <w:rPr>
          <w:rFonts w:ascii="Consolas" w:hAnsi="Consolas"/>
          <w:b w:val="0"/>
          <w:i w:val="0"/>
          <w:sz w:val="20"/>
        </w:rPr>
        <w:t>SECURITY_RULES.md</w:t>
      </w:r>
      <w:r>
        <w:rPr>
          <w:rFonts w:ascii="Arial" w:hAnsi="Arial"/>
          <w:b w:val="0"/>
          <w:i w:val="0"/>
          <w:sz w:val="21"/>
        </w:rPr>
        <w:t xml:space="preserve">, no Committed requirement depending on a Planned-only capability) recorded in </w:t>
      </w:r>
      <w:r>
        <w:rPr>
          <w:rFonts w:ascii="Consolas" w:hAnsi="Consolas"/>
          <w:b w:val="0"/>
          <w:i w:val="0"/>
          <w:sz w:val="20"/>
        </w:rPr>
        <w:t>.ai-workflow/HANDOFF.md</w:t>
      </w:r>
      <w:r>
        <w:rPr>
          <w:rFonts w:ascii="Arial" w:hAnsi="Arial"/>
          <w:b w:val="0"/>
          <w:i w:val="0"/>
          <w:sz w:val="21"/>
        </w:rPr>
        <w:t>.</w:t>
      </w:r>
    </w:p>
    <w:p>
      <w:pPr>
        <w:pStyle w:val="Heading1"/>
        <w:spacing w:before="480" w:after="240"/>
        <w:pBdr>
          <w:bottom w:val="single" w:sz="16" w:space="4" w:color="C8A45D"/>
        </w:pBdr>
      </w:pPr>
      <w:r>
        <w:rPr>
          <w:rFonts w:ascii="Arial" w:hAnsi="Arial"/>
          <w:b w:val="0"/>
          <w:i w:val="0"/>
          <w:color w:val="0B0B0D"/>
          <w:sz w:val="44"/>
        </w:rPr>
        <w:t>18. References</w:t>
      </w:r>
    </w:p>
    <w:p>
      <w:pPr>
        <w:pStyle w:val="ListBullet"/>
        <w:spacing w:after="60"/>
      </w:pPr>
      <w:r>
        <w:rPr>
          <w:rFonts w:ascii="Consolas" w:hAnsi="Consolas"/>
          <w:b w:val="0"/>
          <w:i w:val="0"/>
          <w:sz w:val="20"/>
        </w:rPr>
        <w:t>SECURITY_RULES.md</w:t>
      </w:r>
      <w:r>
        <w:rPr>
          <w:rFonts w:ascii="Arial" w:hAnsi="Arial"/>
          <w:b w:val="0"/>
          <w:i w:val="0"/>
          <w:sz w:val="21"/>
        </w:rPr>
        <w:t xml:space="preserve">, </w:t>
      </w:r>
      <w:r>
        <w:rPr>
          <w:rFonts w:ascii="Consolas" w:hAnsi="Consolas"/>
          <w:b w:val="0"/>
          <w:i w:val="0"/>
          <w:sz w:val="20"/>
        </w:rPr>
        <w:t>TRADING_RULES.md</w:t>
      </w:r>
      <w:r>
        <w:rPr>
          <w:rFonts w:ascii="Arial" w:hAnsi="Arial"/>
          <w:b w:val="0"/>
          <w:i w:val="0"/>
          <w:sz w:val="21"/>
        </w:rPr>
        <w:t xml:space="preserve">, </w:t>
      </w:r>
      <w:r>
        <w:rPr>
          <w:rFonts w:ascii="Consolas" w:hAnsi="Consolas"/>
          <w:b w:val="0"/>
          <w:i w:val="0"/>
          <w:sz w:val="20"/>
        </w:rPr>
        <w:t>AGENTS.md</w:t>
      </w:r>
    </w:p>
    <w:p>
      <w:pPr>
        <w:pStyle w:val="ListBullet"/>
        <w:spacing w:after="60"/>
      </w:pPr>
      <w:r>
        <w:rPr>
          <w:rFonts w:ascii="Consolas" w:hAnsi="Consolas"/>
          <w:b w:val="0"/>
          <w:i w:val="0"/>
          <w:sz w:val="20"/>
        </w:rPr>
        <w:t>docs/codex/Volume-02-Product/requirements/DS-SEC-Security-and-Privacy.md</w:t>
      </w:r>
      <w:r>
        <w:rPr>
          <w:rFonts w:ascii="Arial" w:hAnsi="Arial"/>
          <w:b w:val="0"/>
          <w:i w:val="0"/>
          <w:sz w:val="21"/>
        </w:rPr>
        <w:t xml:space="preserve">, </w:t>
      </w:r>
      <w:r>
        <w:rPr>
          <w:rFonts w:ascii="Consolas" w:hAnsi="Consolas"/>
          <w:b w:val="0"/>
          <w:i w:val="0"/>
          <w:sz w:val="20"/>
        </w:rPr>
        <w:t>DS-RSK-Risk.md</w:t>
      </w:r>
      <w:r>
        <w:rPr>
          <w:rFonts w:ascii="Arial" w:hAnsi="Arial"/>
          <w:b w:val="0"/>
          <w:i w:val="0"/>
          <w:sz w:val="21"/>
        </w:rPr>
        <w:t xml:space="preserve">, </w:t>
      </w:r>
      <w:r>
        <w:rPr>
          <w:rFonts w:ascii="Consolas" w:hAnsi="Consolas"/>
          <w:b w:val="0"/>
          <w:i w:val="0"/>
          <w:sz w:val="20"/>
        </w:rPr>
        <w:t>DS-EXE-Execution-and-Broker.md</w:t>
      </w:r>
      <w:r>
        <w:rPr>
          <w:rFonts w:ascii="Arial" w:hAnsi="Arial"/>
          <w:b w:val="0"/>
          <w:i w:val="0"/>
          <w:sz w:val="21"/>
        </w:rPr>
        <w:t xml:space="preserve">, </w:t>
      </w:r>
      <w:r>
        <w:rPr>
          <w:rFonts w:ascii="Consolas" w:hAnsi="Consolas"/>
          <w:b w:val="0"/>
          <w:i w:val="0"/>
          <w:sz w:val="20"/>
        </w:rPr>
        <w:t>DS-OPS-Operations.md</w:t>
      </w:r>
      <w:r>
        <w:rPr>
          <w:rFonts w:ascii="Arial" w:hAnsi="Arial"/>
          <w:b w:val="0"/>
          <w:i w:val="0"/>
          <w:sz w:val="21"/>
        </w:rPr>
        <w:t xml:space="preserve">, </w:t>
      </w:r>
      <w:r>
        <w:rPr>
          <w:rFonts w:ascii="Consolas" w:hAnsi="Consolas"/>
          <w:b w:val="0"/>
          <w:i w:val="0"/>
          <w:sz w:val="20"/>
        </w:rPr>
        <w:t>DS-DAT-Data-Management.md</w:t>
      </w:r>
    </w:p>
    <w:p>
      <w:pPr>
        <w:pStyle w:val="ListBullet"/>
        <w:spacing w:after="60"/>
      </w:pPr>
      <w:r>
        <w:rPr>
          <w:rFonts w:ascii="Consolas" w:hAnsi="Consolas"/>
          <w:b w:val="0"/>
          <w:i w:val="0"/>
          <w:sz w:val="20"/>
        </w:rPr>
        <w:t>docs/codex/Volume-04-Architecture/DS-004-Technical-Architecture.md</w:t>
      </w:r>
    </w:p>
    <w:p>
      <w:pPr>
        <w:pStyle w:val="ListBullet"/>
        <w:spacing w:after="60"/>
      </w:pPr>
      <w:r>
        <w:rPr>
          <w:rFonts w:ascii="Consolas" w:hAnsi="Consolas"/>
          <w:b w:val="0"/>
          <w:i w:val="0"/>
          <w:sz w:val="20"/>
        </w:rPr>
        <w:t>docs/codex/Volume-06-API/DS-006-API-Specification.md</w:t>
      </w:r>
    </w:p>
    <w:p>
      <w:pPr>
        <w:pStyle w:val="ListBullet"/>
        <w:spacing w:after="60"/>
      </w:pPr>
      <w:r>
        <w:rPr>
          <w:rFonts w:ascii="Consolas" w:hAnsi="Consolas"/>
          <w:b w:val="0"/>
          <w:i w:val="0"/>
          <w:sz w:val="20"/>
        </w:rPr>
        <w:t>docs/secret-scanning.md</w:t>
      </w:r>
    </w:p>
    <w:p>
      <w:pPr>
        <w:pStyle w:val="Heading1"/>
        <w:spacing w:before="480" w:after="240"/>
        <w:pBdr>
          <w:bottom w:val="single" w:sz="16" w:space="4" w:color="C8A45D"/>
        </w:pBdr>
      </w:pPr>
      <w:r>
        <w:rPr>
          <w:rFonts w:ascii="Arial" w:hAnsi="Arial"/>
          <w:b w:val="0"/>
          <w:i w:val="0"/>
          <w:color w:val="0B0B0D"/>
          <w:sz w:val="44"/>
        </w:rPr>
        <w:t>Appendix A — Open Questions</w:t>
      </w:r>
    </w:p>
    <w:p>
      <w:pPr>
        <w:pStyle w:val="ListNumber"/>
        <w:spacing w:after="60"/>
      </w:pPr>
      <w:r>
        <w:rPr>
          <w:rFonts w:ascii="Arial" w:hAnsi="Arial"/>
          <w:b/>
          <w:i w:val="0"/>
          <w:sz w:val="21"/>
        </w:rPr>
        <w:t>Authentication token mechanism</w:t>
      </w:r>
      <w:r>
        <w:rPr>
          <w:rFonts w:ascii="Arial" w:hAnsi="Arial"/>
          <w:b w:val="0"/>
          <w:i w:val="0"/>
          <w:sz w:val="21"/>
        </w:rPr>
        <w:t xml:space="preserve"> — unchanged from DS-006 Appendix A #2; DS-SCA-004/005 remain mechanism-agnostic pending that decision.</w:t>
      </w:r>
    </w:p>
    <w:p>
      <w:pPr>
        <w:pStyle w:val="ListNumber"/>
        <w:spacing w:after="60"/>
      </w:pPr>
      <w:r>
        <w:rPr>
          <w:rFonts w:ascii="Arial" w:hAnsi="Arial"/>
          <w:b/>
          <w:i w:val="0"/>
          <w:sz w:val="21"/>
        </w:rPr>
        <w:t>Application update/distribution mechanism</w:t>
      </w:r>
      <w:r>
        <w:rPr>
          <w:rFonts w:ascii="Arial" w:hAnsi="Arial"/>
          <w:b w:val="0"/>
          <w:i w:val="0"/>
          <w:sz w:val="21"/>
        </w:rPr>
        <w:t xml:space="preserve"> — no DS-002/DS-004 requirement currently commits a specific mechanism (Electron auto-updater vs. manual installer distribution); DS-SCA-019 states the security obligation that applies once one is chosen. Recommend a future DS-004/DS-011 addition to formalize the mechanism itself.</w:t>
      </w:r>
    </w:p>
    <w:p>
      <w:pPr>
        <w:pStyle w:val="ListNumber"/>
        <w:spacing w:after="60"/>
      </w:pPr>
      <w:r>
        <w:rPr>
          <w:rFonts w:ascii="Arial" w:hAnsi="Arial"/>
          <w:b/>
          <w:i w:val="0"/>
          <w:sz w:val="21"/>
        </w:rPr>
        <w:t>Governance-confirmation carryover</w:t>
      </w:r>
      <w:r>
        <w:rPr>
          <w:rFonts w:ascii="Arial" w:hAnsi="Arial"/>
          <w:b w:val="0"/>
          <w:i w:val="0"/>
          <w:sz w:val="21"/>
        </w:rPr>
        <w:t xml:space="preserve"> — the standing </w:t>
      </w:r>
      <w:r>
        <w:rPr>
          <w:rFonts w:ascii="Consolas" w:hAnsi="Consolas"/>
          <w:b w:val="0"/>
          <w:i w:val="0"/>
          <w:sz w:val="20"/>
        </w:rPr>
        <w:t>BLOCKERS.md</w:t>
      </w:r>
      <w:r>
        <w:rPr>
          <w:rFonts w:ascii="Arial" w:hAnsi="Arial"/>
          <w:b w:val="0"/>
          <w:i w:val="0"/>
          <w:sz w:val="21"/>
        </w:rPr>
        <w:t xml:space="preserve"> items (</w:t>
      </w:r>
      <w:r>
        <w:rPr>
          <w:rFonts w:ascii="Consolas" w:hAnsi="Consolas"/>
          <w:b w:val="0"/>
          <w:i w:val="0"/>
          <w:sz w:val="20"/>
        </w:rPr>
        <w:t>ROADMAP.md</w:t>
      </w:r>
      <w:r>
        <w:rPr>
          <w:rFonts w:ascii="Arial" w:hAnsi="Arial"/>
          <w:b w:val="0"/>
          <w:i w:val="0"/>
          <w:sz w:val="21"/>
        </w:rPr>
        <w:t xml:space="preserve"> phase boundaries as Codex release-scope authority; phase-mapping precision) apply identically to this document's Release Classification scheme and are not re-litigated here.</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v0.2.2 — Draft  |  Classification: Internal</w:t>
    </w:r>
  </w:p>
  <w:p>
    <w:pPr>
      <w:jc w:val="center"/>
    </w:pPr>
    <w:r>
      <w:rPr>
        <w:rFonts w:ascii="Consolas" w:hAnsi="Consolas"/>
        <w:color w:val="A7ABB3"/>
        <w:sz w:val="14"/>
      </w:rPr>
      <w:t>Generated from DS-008 v0.2.2 — baseline 34a65818d48f596122281075e18c6e5f36ec93b5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DS-008 — Security Architecture</w:t>
    </w:r>
    <w:r>
      <w:tab/>
    </w:r>
    <w:r>
      <w:rPr>
        <w:rFonts w:ascii="Consolas" w:hAnsi="Consolas"/>
        <w:b/>
        <w:color w:val="C8A45D"/>
        <w:sz w:val="17"/>
      </w:rPr>
      <w:t>DS-008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