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9360"/>
      </w:tblGrid>
      <w:tr>
        <w:trPr>
          <w:trHeight w:val="12240" w:hRule="exact"/>
        </w:trPr>
        <w:tc>
          <w:tcPr>
            <w:tcW w:type="dxa" w:w="9360"/>
            <w:shd w:val="clear" w:color="auto" w:fill="0B0B0D"/>
          </w:tcPr>
          <w:p>
            <w:pPr>
              <w:spacing w:after="0"/>
            </w:pPr>
            <w:r/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E0BE72"/>
                <w:sz w:val="80"/>
              </w:rPr>
              <w:t>DarkSage</w:t>
            </w:r>
          </w:p>
          <w:p>
            <w:pPr>
              <w:spacing w:before="0" w:after="36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36"/>
              </w:rPr>
              <w:t>Idea Parking Lot</w:t>
            </w:r>
          </w:p>
          <w:p>
            <w:pPr>
              <w:spacing w:before="0" w:after="8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A7ABB3"/>
                <w:sz w:val="24"/>
              </w:rPr>
              <w:t>Version 0.2.1 — Draft</w:t>
            </w:r>
          </w:p>
          <w:p>
            <w:pPr>
              <w:spacing w:before="0" w:after="8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A7ABB3"/>
                <w:sz w:val="22"/>
              </w:rPr>
              <w:t>Owner: TheSinnerMan</w:t>
            </w:r>
          </w:p>
          <w:p>
            <w:pPr>
              <w:spacing w:before="0" w:after="48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A7ABB3"/>
                <w:sz w:val="22"/>
              </w:rPr>
              <w:t>Classification: Internal</w:t>
            </w:r>
          </w:p>
          <w:p>
            <w:pPr>
              <w:spacing w:before="0" w:after="720"/>
              <w:jc w:val="center"/>
            </w:pPr>
            <w:r>
              <w:rPr>
                <w:rFonts w:ascii="Arial" w:hAnsi="Arial"/>
                <w:b w:val="0"/>
                <w:i/>
                <w:color w:val="C8A45D"/>
                <w:sz w:val="28"/>
              </w:rPr>
              <w:t>Wisdom Over Noise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 w:val="0"/>
                <w:i w:val="0"/>
                <w:color w:val="A7ABB3"/>
                <w:sz w:val="18"/>
              </w:rPr>
              <w:t>Source repository: LightSwornPVP/DarkSage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 w:val="0"/>
                <w:i w:val="0"/>
                <w:color w:val="A7ABB3"/>
                <w:sz w:val="18"/>
              </w:rPr>
              <w:t>Source baseline commit: 34a65818d48f596122281075e18c6e5f36ec93b5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 w:val="0"/>
                <w:i w:val="0"/>
                <w:color w:val="A7ABB3"/>
                <w:sz w:val="18"/>
              </w:rPr>
              <w:t>Generation date: 2026-07-25T13:31:10-04:00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 w:val="0"/>
                <w:i w:val="0"/>
                <w:color w:val="A7ABB3"/>
                <w:sz w:val="18"/>
              </w:rPr>
              <w:t>Document ID: DS-014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800" w:right="1440" w:bottom="1800" w:left="1440" w:header="720" w:footer="720" w:gutter="0"/>
          <w:cols w:space="720"/>
          <w:docGrid w:linePitch="360"/>
        </w:sectPr>
      </w:pP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color w:val="0B0B0D"/>
          <w:sz w:val="44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A2D33"/>
          <w:left w:val="single" w:sz="4" w:space="0" w:color="2A2D33"/>
          <w:bottom w:val="single" w:sz="4" w:space="0" w:color="2A2D33"/>
          <w:right w:val="single" w:sz="4" w:space="0" w:color="2A2D33"/>
          <w:insideH w:val="single" w:sz="4" w:space="0" w:color="2A2D33"/>
          <w:insideV w:val="single" w:sz="4" w:space="0" w:color="2A2D33"/>
        </w:tblBorders>
        <w:tblLayout w:type="fixed"/>
      </w:tblPr>
      <w:tblGrid>
        <w:gridCol w:w="2592"/>
        <w:gridCol w:w="6480"/>
      </w:tblGrid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DS-014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Title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Idea Parking Lot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0.2.1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Status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Owner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TheSinnerMan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Classification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Internal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Repository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LightSwornPVP/DarkSage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Created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2026-07-24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Last Updated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2026-07-24</w:t>
            </w:r>
          </w:p>
        </w:tc>
      </w:tr>
    </w:tbl>
    <w:p>
      <w:pPr>
        <w:spacing w:after="120" w:line="288" w:lineRule="auto"/>
      </w:pPr>
      <w:r>
        <w:rPr>
          <w:rFonts w:ascii="Arial" w:hAnsi="Arial"/>
          <w:b w:val="0"/>
          <w:i w:val="0"/>
          <w:color w:val="A7ABB3"/>
          <w:sz w:val="17"/>
        </w:rPr>
        <w:t>Status lifecycle: Draft → Under Review → Approved → Superseded/Deprecated.</w:t>
      </w:r>
    </w:p>
    <w:p>
      <w:r>
        <w:br w:type="page"/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color w:val="0B0B0D"/>
          <w:sz w:val="44"/>
        </w:rPr>
        <w:t>Revision History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A2D33"/>
          <w:left w:val="single" w:sz="4" w:space="0" w:color="2A2D33"/>
          <w:bottom w:val="single" w:sz="4" w:space="0" w:color="2A2D33"/>
          <w:right w:val="single" w:sz="4" w:space="0" w:color="2A2D33"/>
          <w:insideH w:val="single" w:sz="4" w:space="0" w:color="2A2D33"/>
          <w:insideV w:val="single" w:sz="4" w:space="0" w:color="2A2D33"/>
        </w:tblBorders>
        <w:tblLayout w:type="fixed"/>
      </w:tblPr>
      <w:tblGrid>
        <w:gridCol w:w="1008"/>
        <w:gridCol w:w="1296"/>
        <w:gridCol w:w="2304"/>
        <w:gridCol w:w="4464"/>
      </w:tblGrid>
      <w:tr>
        <w:tc>
          <w:tcPr>
            <w:tcW w:type="dxa" w:w="1008"/>
            <w:shd w:val="clear" w:color="auto" w:fill="0B0B0D"/>
          </w:tcPr>
          <w:p>
            <w:r>
              <w:rPr>
                <w:rFonts w:ascii="Arial" w:hAnsi="Arial"/>
                <w:b/>
                <w:color w:val="E0BE72"/>
                <w:sz w:val="19"/>
              </w:rPr>
              <w:t>Version</w:t>
            </w:r>
          </w:p>
        </w:tc>
        <w:tc>
          <w:tcPr>
            <w:tcW w:type="dxa" w:w="1296"/>
            <w:shd w:val="clear" w:color="auto" w:fill="0B0B0D"/>
          </w:tcPr>
          <w:p>
            <w:r>
              <w:rPr>
                <w:rFonts w:ascii="Arial" w:hAnsi="Arial"/>
                <w:b/>
                <w:color w:val="E0BE72"/>
                <w:sz w:val="19"/>
              </w:rPr>
              <w:t>Date</w:t>
            </w:r>
          </w:p>
        </w:tc>
        <w:tc>
          <w:tcPr>
            <w:tcW w:type="dxa" w:w="2304"/>
            <w:shd w:val="clear" w:color="auto" w:fill="0B0B0D"/>
          </w:tcPr>
          <w:p>
            <w:r>
              <w:rPr>
                <w:rFonts w:ascii="Arial" w:hAnsi="Arial"/>
                <w:b/>
                <w:color w:val="E0BE72"/>
                <w:sz w:val="19"/>
              </w:rPr>
              <w:t>Author</w:t>
            </w:r>
          </w:p>
        </w:tc>
        <w:tc>
          <w:tcPr>
            <w:tcW w:type="dxa" w:w="4464"/>
            <w:shd w:val="clear" w:color="auto" w:fill="0B0B0D"/>
          </w:tcPr>
          <w:p>
            <w:r>
              <w:rPr>
                <w:rFonts w:ascii="Arial" w:hAnsi="Arial"/>
                <w:b/>
                <w:color w:val="E0BE72"/>
                <w:sz w:val="19"/>
              </w:rPr>
              <w:t>Summary</w:t>
            </w:r>
          </w:p>
        </w:tc>
      </w:tr>
      <w:tr>
        <w:tc>
          <w:tcPr>
            <w:tcW w:type="dxa" w:w="1008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0.1.0</w:t>
            </w:r>
          </w:p>
        </w:tc>
        <w:tc>
          <w:tcPr>
            <w:tcW w:type="dxa" w:w="1296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2026-07-24</w:t>
            </w:r>
          </w:p>
        </w:tc>
        <w:tc>
          <w:tcPr>
            <w:tcW w:type="dxa" w:w="230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TheSinnerMan</w:t>
            </w:r>
          </w:p>
        </w:tc>
        <w:tc>
          <w:tcPr>
            <w:tcW w:type="dxa" w:w="446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First controlled draft, authored as part of the final grouped batch (DS-013/DS-014). Establishes the idea-parking governance model (</w:t>
            </w:r>
            <w:r>
              <w:rPr>
                <w:rFonts w:ascii="Consolas" w:hAnsi="Consolas"/>
                <w:b w:val="0"/>
                <w:i w:val="0"/>
                <w:sz w:val="18"/>
              </w:rPr>
              <w:t>DS-IDG-NNN</w:t>
            </w:r>
            <w:r>
              <w:rPr>
                <w:rFonts w:ascii="Arial" w:hAnsi="Arial"/>
                <w:b w:val="0"/>
                <w:i w:val="0"/>
                <w:sz w:val="19"/>
              </w:rPr>
              <w:t>) and a structured catalog of 25 exploratory ideas (</w:t>
            </w:r>
            <w:r>
              <w:rPr>
                <w:rFonts w:ascii="Consolas" w:hAnsi="Consolas"/>
                <w:b w:val="0"/>
                <w:i w:val="0"/>
                <w:sz w:val="18"/>
              </w:rPr>
              <w:t>DS-IDEA-NNN</w:t>
            </w:r>
            <w:r>
              <w:rPr>
                <w:rFonts w:ascii="Arial" w:hAnsi="Arial"/>
                <w:b w:val="0"/>
                <w:i w:val="0"/>
                <w:sz w:val="19"/>
              </w:rPr>
              <w:t>) — research directions, architectural inspirations, and speculative concepts not yet mature enough for DS-013.</w:t>
            </w:r>
          </w:p>
        </w:tc>
      </w:tr>
      <w:tr>
        <w:tc>
          <w:tcPr>
            <w:tcW w:type="dxa" w:w="1008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0.2.0</w:t>
            </w:r>
          </w:p>
        </w:tc>
        <w:tc>
          <w:tcPr>
            <w:tcW w:type="dxa" w:w="1296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2026-07-24</w:t>
            </w:r>
          </w:p>
        </w:tc>
        <w:tc>
          <w:tcPr>
            <w:tcW w:type="dxa" w:w="230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TheSinnerMan</w:t>
            </w:r>
          </w:p>
        </w:tc>
        <w:tc>
          <w:tcPr>
            <w:tcW w:type="dxa" w:w="446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Targeted repair for independent-audit High finding H3 (third-party model privacy/security gates). </w:t>
            </w:r>
            <w:r>
              <w:rPr>
                <w:rFonts w:ascii="Consolas" w:hAnsi="Consolas"/>
                <w:b w:val="0"/>
                <w:i w:val="0"/>
                <w:sz w:val="18"/>
              </w:rPr>
              <w:t>DS-IDG-004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expanded from four gates (licensing, benchmark, compute, integration) to </w:t>
            </w:r>
            <w:r>
              <w:rPr>
                <w:rFonts w:ascii="Arial" w:hAnsi="Arial"/>
                <w:b/>
                <w:i w:val="0"/>
                <w:sz w:val="19"/>
              </w:rPr>
              <w:t>nine mandatory gates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: licensing, independent benchmarking, compute requirements, privacy, security (aligned with DS-008 in full), model-supply-chain risk, untrusted-artifact/weight handling, integration-boundary risk, and operational feasibility — no third-party model candidate may be promoted until all nine are satisfied and recorded. </w:t>
            </w:r>
            <w:r>
              <w:rPr>
                <w:rFonts w:ascii="Consolas" w:hAnsi="Consolas"/>
                <w:b w:val="0"/>
                <w:i w:val="0"/>
                <w:sz w:val="18"/>
              </w:rPr>
              <w:t>DS-IDEA-002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(Kronos), </w:t>
            </w:r>
            <w:r>
              <w:rPr>
                <w:rFonts w:ascii="Consolas" w:hAnsi="Consolas"/>
                <w:b w:val="0"/>
                <w:i w:val="0"/>
                <w:sz w:val="18"/>
              </w:rPr>
              <w:t>DS-IDEA-019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(Training Sage as a Dedicated Model), and </w:t>
            </w:r>
            <w:r>
              <w:rPr>
                <w:rFonts w:ascii="Consolas" w:hAnsi="Consolas"/>
                <w:b w:val="0"/>
                <w:i w:val="0"/>
                <w:sz w:val="18"/>
              </w:rPr>
              <w:t>DS-IDEA-020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(Distillation) updated to reference the full nine-gate requirement; Kronos remains treated strictly as a research reference, never a committed dependency.</w:t>
            </w:r>
          </w:p>
        </w:tc>
      </w:tr>
      <w:tr>
        <w:tc>
          <w:tcPr>
            <w:tcW w:type="dxa" w:w="1008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0.2.1</w:t>
            </w:r>
          </w:p>
        </w:tc>
        <w:tc>
          <w:tcPr>
            <w:tcW w:type="dxa" w:w="1296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2026-07-24</w:t>
            </w:r>
          </w:p>
        </w:tc>
        <w:tc>
          <w:tcPr>
            <w:tcW w:type="dxa" w:w="230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TheSinnerMan</w:t>
            </w:r>
          </w:p>
        </w:tc>
        <w:tc>
          <w:tcPr>
            <w:tcW w:type="dxa" w:w="446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Consolidated cleanup pass: </w:t>
            </w:r>
            <w:r>
              <w:rPr>
                <w:rFonts w:ascii="Consolas" w:hAnsi="Consolas"/>
                <w:b w:val="0"/>
                <w:i w:val="0"/>
                <w:sz w:val="18"/>
              </w:rPr>
              <w:t>DS-IDEA-018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no longer cites </w:t>
            </w:r>
            <w:r>
              <w:rPr>
                <w:rFonts w:ascii="Consolas" w:hAnsi="Consolas"/>
                <w:b w:val="0"/>
                <w:i w:val="0"/>
                <w:sz w:val="18"/>
              </w:rPr>
              <w:t>.ai-workflow/AGENT_PROTOCOL.md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directly as a Promotion Criteria destination or Related Feature/Volume — a public controlled document must not depend on a local-only workflow file for authority (DS-DEV-025). It now points to DS-010 process documentation or another public, committed process record instead; any local file implementing a resulting practice is explicitly described as non-authoritative operational convenience only. Appendix A Open Question #2 (DS-IDEA-018's process-vs-product classification) is unchanged and remains open.</w:t>
            </w:r>
          </w:p>
        </w:tc>
      </w:tr>
    </w:tbl>
    <w:p>
      <w:r>
        <w:br w:type="page"/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color w:val="0B0B0D"/>
          <w:sz w:val="44"/>
        </w:rPr>
        <w:t>Table of Contents</w:t>
      </w:r>
    </w:p>
    <w:p>
      <w:r>
        <w:rPr>
          <w:i/>
          <w:color w:val="A7ABB3"/>
          <w:sz w:val="17"/>
        </w:rPr>
        <w:t>This Table of Contents is a Word/LibreOffice field. If it appears empty, select it and press F9 (or right-click → Update Field) to populate it from this document's own headings.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t>Right-click and choose Update Field to generate the Table of Contents.</w:t>
      </w:r>
      <w:r>
        <w:fldChar w:fldCharType="end"/>
      </w:r>
    </w:p>
    <w:p>
      <w:r>
        <w:br w:type="page"/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1. Purpose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 xml:space="preserve">DS-014 is the controlled exploratory idea repository for DarkSage. It captures speculative ideas, research directions, architectural inspirations, model references, emerging technology, and ambitious long-term concepts that are not yet mature enough to track as a potential product capability in DS-013. </w:t>
      </w:r>
      <w:r>
        <w:rPr>
          <w:rFonts w:ascii="Arial" w:hAnsi="Arial"/>
          <w:b/>
          <w:i w:val="0"/>
          <w:sz w:val="21"/>
        </w:rPr>
        <w:t>All content in this document is non-committed</w:t>
      </w:r>
      <w:r>
        <w:rPr>
          <w:rFonts w:ascii="Arial" w:hAnsi="Arial"/>
          <w:b w:val="0"/>
          <w:i w:val="0"/>
          <w:sz w:val="21"/>
        </w:rPr>
        <w:t xml:space="preserve"> — no </w:t>
      </w:r>
      <w:r>
        <w:rPr>
          <w:rFonts w:ascii="Consolas" w:hAnsi="Consolas"/>
          <w:b w:val="0"/>
          <w:i w:val="0"/>
          <w:sz w:val="20"/>
        </w:rPr>
        <w:t>DS-IDEA-NNN</w:t>
      </w:r>
      <w:r>
        <w:rPr>
          <w:rFonts w:ascii="Arial" w:hAnsi="Arial"/>
          <w:b w:val="0"/>
          <w:i w:val="0"/>
          <w:sz w:val="21"/>
        </w:rPr>
        <w:t xml:space="preserve"> entry carries any Release Classification (Committed/MVP, Planned, Future/Exploratory), and none becomes product direction until it is formally promoted through Codex-Driven Development (DS-001 Constitution #12): first typically into a DS-013 backlog item once it is well-defined enough, and ultimately into a dedicated DS-002+ requirement or ADR.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2. Scope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This document governs: the idea status taxonomy (Exploratory, Under Active Research, Promoted, Archived/Not Pursuing); the promotion path from idea to DS-013 backlog item; the treatment rule for named external models/research references (including Kronos); and the structured catalog of currently known exploratory ideas.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DS-014 does not govern: productized candidate features well-defined enough to track as a potential product capability (DS-013 — see §5's boundary rule, DS-IDG-005); committed or Planned product requirements (DS-002 through DS-009); or architecture decisions (DS-012, ADR-001–004).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3. Audience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Product owners, engineering/research contributors, independent auditors, and future Codex authors evaluating exploratory directions.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4. Definitions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See DS-001 §24 and DS-002 §4. Additional terms: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A2D33"/>
          <w:left w:val="single" w:sz="4" w:space="0" w:color="2A2D33"/>
          <w:bottom w:val="single" w:sz="4" w:space="0" w:color="2A2D33"/>
          <w:right w:val="single" w:sz="4" w:space="0" w:color="2A2D33"/>
          <w:insideH w:val="single" w:sz="4" w:space="0" w:color="2A2D33"/>
          <w:insideV w:val="single" w:sz="4" w:space="0" w:color="2A2D33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Term</w:t>
            </w:r>
          </w:p>
        </w:tc>
        <w:tc>
          <w:tcPr>
            <w:tcW w:type="dxa" w:w="468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Meaning</w:t>
            </w:r>
          </w:p>
        </w:tc>
      </w:tr>
      <w:tr>
        <w:tc>
          <w:tcPr>
            <w:tcW w:type="dxa" w:w="468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Idea</w:t>
            </w:r>
          </w:p>
        </w:tc>
        <w:tc>
          <w:tcPr>
            <w:tcW w:type="dxa" w:w="468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A speculative, research-stage, or insufficiently-defined concept recorded for future consideration, carrying no product commitment of any kind</w:t>
            </w:r>
          </w:p>
        </w:tc>
      </w:tr>
      <w:tr>
        <w:tc>
          <w:tcPr>
            <w:tcW w:type="dxa" w:w="468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Research reference</w:t>
            </w:r>
          </w:p>
        </w:tc>
        <w:tc>
          <w:tcPr>
            <w:tcW w:type="dxa" w:w="468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A named external model, paper, technique, or project cited as architectural/research inspiration — explicitly not a dependency, requirement, or endorsement of superiority</w:t>
            </w:r>
          </w:p>
        </w:tc>
      </w:tr>
      <w:tr>
        <w:tc>
          <w:tcPr>
            <w:tcW w:type="dxa" w:w="468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Promotion (to DS-013)</w:t>
            </w:r>
          </w:p>
        </w:tc>
        <w:tc>
          <w:tcPr>
            <w:tcW w:type="dxa" w:w="468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The act of maturing an idea into a well-enough-defined candidate feature to be tracked as a DS-013 backlog item, per DS-013's own DS-BLG-003 promotion process for further advancement from there</w:t>
            </w:r>
          </w:p>
        </w:tc>
      </w:tr>
    </w:tbl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5. Idea Governance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DS-IDG-001 — Non-Committed Status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(governance)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DS-001 §11 (Constitution #12); DS-BLG-001 (DS-013, Committed)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All DS-014 content is non-committed and carries no Release Classification (Committed/MVP, Planned, Future/Exploratory) until formally promoted through Codex-Driven Development into a dedicated DS-013 backlog item, DS-002+ requirement, or ADR. This mirrors DS-BLG-001's identical rule for DS-013 — DS-014 sits one level further from commitment than DS-013 does.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 xml:space="preserve">No DS-001 through DS-013 requirement or backlog item cites a </w:t>
      </w:r>
      <w:r>
        <w:rPr>
          <w:rFonts w:ascii="Consolas" w:hAnsi="Consolas"/>
          <w:b w:val="0"/>
          <w:i w:val="0"/>
          <w:sz w:val="20"/>
        </w:rPr>
        <w:t>DS-IDEA-NNN</w:t>
      </w:r>
      <w:r>
        <w:rPr>
          <w:rFonts w:ascii="Arial" w:hAnsi="Arial"/>
          <w:b w:val="0"/>
          <w:i w:val="0"/>
          <w:sz w:val="21"/>
        </w:rPr>
        <w:t xml:space="preserve"> ID as its Governing Source for Committed, Planned, or Approved-Future status.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No idea's own entry in this document states or implies a Release Classification.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Requirements-review check confirming no idea-only mention is treated as a committed, Planned, or Approved-Future item.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DS-IDG-002 — Idea Status Taxonomy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(governance)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DS-014 (this document, normative)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Every idea carries exactly one Status: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Exploratory</w:t>
      </w:r>
      <w:r>
        <w:rPr>
          <w:rFonts w:ascii="Arial" w:hAnsi="Arial"/>
          <w:b w:val="0"/>
          <w:i w:val="0"/>
          <w:sz w:val="21"/>
        </w:rPr>
        <w:t xml:space="preserve"> — recorded for awareness and future consideration; no active work.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Under Active Research</w:t>
      </w:r>
      <w:r>
        <w:rPr>
          <w:rFonts w:ascii="Arial" w:hAnsi="Arial"/>
          <w:b w:val="0"/>
          <w:i w:val="0"/>
          <w:sz w:val="21"/>
        </w:rPr>
        <w:t xml:space="preserve"> — someone is actively investigating feasibility, prior art, or a preliminary technical approach.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Promoted</w:t>
      </w:r>
      <w:r>
        <w:rPr>
          <w:rFonts w:ascii="Arial" w:hAnsi="Arial"/>
          <w:b w:val="0"/>
          <w:i w:val="0"/>
          <w:sz w:val="21"/>
        </w:rPr>
        <w:t xml:space="preserve"> — matured into a DS-013 backlog item (cross-referenced by ID); this document retains the research-stage record as history.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Archived / Not Pursuing</w:t>
      </w:r>
      <w:r>
        <w:rPr>
          <w:rFonts w:ascii="Arial" w:hAnsi="Arial"/>
          <w:b w:val="0"/>
          <w:i w:val="0"/>
          <w:sz w:val="21"/>
        </w:rPr>
        <w:t xml:space="preserve"> — evaluated and explicitly set aside, with the reason recorded; retained, not deleted.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Every </w:t>
      </w:r>
      <w:r>
        <w:rPr>
          <w:rFonts w:ascii="Consolas" w:hAnsi="Consolas"/>
          <w:b w:val="0"/>
          <w:i w:val="0"/>
          <w:sz w:val="20"/>
        </w:rPr>
        <w:t>DS-IDEA-NNN</w:t>
      </w:r>
      <w:r>
        <w:rPr>
          <w:rFonts w:ascii="Arial" w:hAnsi="Arial"/>
          <w:b w:val="0"/>
          <w:i w:val="0"/>
          <w:sz w:val="21"/>
        </w:rPr>
        <w:t xml:space="preserve"> item's Status field uses exactly one of these four values.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Status-taxonomy conformance check across all ideas on every DS-014 revision.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DS-IDG-003 — Promotion Path to DS-013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(governance)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DS-BLG-003, DS-BLG-006 (DS-013, both Committed)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An idea matures into a DS-013 candidate only when it is understood enough to track as a potential product capability — a defined scope, a plausible Product Area, and at least a preliminary Rationale, per DS-013's own boundary rule (DS-BLG-006). At that point, a corresponding </w:t>
      </w:r>
      <w:r>
        <w:rPr>
          <w:rFonts w:ascii="Consolas" w:hAnsi="Consolas"/>
          <w:b w:val="0"/>
          <w:i w:val="0"/>
          <w:sz w:val="20"/>
        </w:rPr>
        <w:t>DS-BL-NNN</w:t>
      </w:r>
      <w:r>
        <w:rPr>
          <w:rFonts w:ascii="Arial" w:hAnsi="Arial"/>
          <w:b w:val="0"/>
          <w:i w:val="0"/>
          <w:sz w:val="21"/>
        </w:rPr>
        <w:t xml:space="preserve"> entry is authored in DS-013, this idea's Status changes to Promoted, and both entries cross-reference each other by ID. The DS-014 entry is never deleted — it remains the research-stage history behind the DS-013 item.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 xml:space="preserve">No idea is marked Promoted without a corresponding, existing </w:t>
      </w:r>
      <w:r>
        <w:rPr>
          <w:rFonts w:ascii="Consolas" w:hAnsi="Consolas"/>
          <w:b w:val="0"/>
          <w:i w:val="0"/>
          <w:sz w:val="20"/>
        </w:rPr>
        <w:t>DS-BL-NNN</w:t>
      </w:r>
      <w:r>
        <w:rPr>
          <w:rFonts w:ascii="Arial" w:hAnsi="Arial"/>
          <w:b w:val="0"/>
          <w:i w:val="0"/>
          <w:sz w:val="21"/>
        </w:rPr>
        <w:t xml:space="preserve"> entry in DS-013 that cross-references it.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 promoted idea's original DS-014 entry remains in this document.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Promotion-record audit: every Promoted-status idea's cited </w:t>
      </w:r>
      <w:r>
        <w:rPr>
          <w:rFonts w:ascii="Consolas" w:hAnsi="Consolas"/>
          <w:b w:val="0"/>
          <w:i w:val="0"/>
          <w:sz w:val="20"/>
        </w:rPr>
        <w:t>DS-BL-NNN</w:t>
      </w:r>
      <w:r>
        <w:rPr>
          <w:rFonts w:ascii="Arial" w:hAnsi="Arial"/>
          <w:b w:val="0"/>
          <w:i w:val="0"/>
          <w:sz w:val="21"/>
        </w:rPr>
        <w:t xml:space="preserve"> ID exists in DS-013 and cross-references back.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DS-IDG-004 — Third-Party Model and Research Reference Treatment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(governance)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DS-014 (this document, normative); DS-PRD-001 (DS-002, Committed, model-independence principle); DS-QA-011 (DS-009, Committed, model-evaluation non-substitution rule); DS-008 (Committed, security architecture)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Any named external model, paper, technique, or project referenced in this document (including Kronos, §6.1) is treated strictly as an architectural or research reference: it is never a committed dependency, never assumed to be a superior model or technique without independent benchmarking, and always subject to the following mandatory review gates before any promotion beyond this document: </w:t>
      </w:r>
      <w:r>
        <w:rPr>
          <w:rFonts w:ascii="Arial" w:hAnsi="Arial"/>
          <w:b/>
          <w:i w:val="0"/>
          <w:sz w:val="21"/>
        </w:rPr>
        <w:t>licensing</w:t>
      </w:r>
      <w:r>
        <w:rPr>
          <w:rFonts w:ascii="Arial" w:hAnsi="Arial"/>
          <w:b w:val="0"/>
          <w:i w:val="0"/>
          <w:sz w:val="21"/>
        </w:rPr>
        <w:t xml:space="preserve"> (terms of use, redistribution, and commercial-use rights); </w:t>
      </w:r>
      <w:r>
        <w:rPr>
          <w:rFonts w:ascii="Arial" w:hAnsi="Arial"/>
          <w:b/>
          <w:i w:val="0"/>
          <w:sz w:val="21"/>
        </w:rPr>
        <w:t>independent benchmarking</w:t>
      </w:r>
      <w:r>
        <w:rPr>
          <w:rFonts w:ascii="Arial" w:hAnsi="Arial"/>
          <w:b w:val="0"/>
          <w:i w:val="0"/>
          <w:sz w:val="21"/>
        </w:rPr>
        <w:t xml:space="preserve"> (measured evaluation, per DS-QA-011, never taken on the source's own published claims alone); </w:t>
      </w:r>
      <w:r>
        <w:rPr>
          <w:rFonts w:ascii="Arial" w:hAnsi="Arial"/>
          <w:b/>
          <w:i w:val="0"/>
          <w:sz w:val="21"/>
        </w:rPr>
        <w:t>compute requirements</w:t>
      </w:r>
      <w:r>
        <w:rPr>
          <w:rFonts w:ascii="Arial" w:hAnsi="Arial"/>
          <w:b w:val="0"/>
          <w:i w:val="0"/>
          <w:sz w:val="21"/>
        </w:rPr>
        <w:t xml:space="preserve"> (training/inference cost against </w:t>
      </w:r>
      <w:r>
        <w:rPr>
          <w:rFonts w:ascii="Consolas" w:hAnsi="Consolas"/>
          <w:b w:val="0"/>
          <w:i w:val="0"/>
          <w:sz w:val="20"/>
        </w:rPr>
        <w:t>PROJECT_SPEC.md</w:t>
      </w:r>
      <w:r>
        <w:rPr>
          <w:rFonts w:ascii="Arial" w:hAnsi="Arial"/>
          <w:b w:val="0"/>
          <w:i w:val="0"/>
          <w:sz w:val="21"/>
        </w:rPr>
        <w:t xml:space="preserve"> §2.1's Cheap-First Architecture principle); </w:t>
      </w:r>
      <w:r>
        <w:rPr>
          <w:rFonts w:ascii="Arial" w:hAnsi="Arial"/>
          <w:b/>
          <w:i w:val="0"/>
          <w:sz w:val="21"/>
        </w:rPr>
        <w:t>privacy</w:t>
      </w:r>
      <w:r>
        <w:rPr>
          <w:rFonts w:ascii="Arial" w:hAnsi="Arial"/>
          <w:b w:val="0"/>
          <w:i w:val="0"/>
          <w:sz w:val="21"/>
        </w:rPr>
        <w:t xml:space="preserve"> (what data, if any, the model was trained on or would process, and whether that exposes DarkSage user data — aligned with DS-SCA-002/003's credential/secrets handling and DS-001 §14's privacy-by-design principle); </w:t>
      </w:r>
      <w:r>
        <w:rPr>
          <w:rFonts w:ascii="Arial" w:hAnsi="Arial"/>
          <w:b/>
          <w:i w:val="0"/>
          <w:sz w:val="21"/>
        </w:rPr>
        <w:t>security</w:t>
      </w:r>
      <w:r>
        <w:rPr>
          <w:rFonts w:ascii="Arial" w:hAnsi="Arial"/>
          <w:b w:val="0"/>
          <w:i w:val="0"/>
          <w:sz w:val="21"/>
        </w:rPr>
        <w:t xml:space="preserve"> (aligned with DS-008 in full — see below); </w:t>
      </w:r>
      <w:r>
        <w:rPr>
          <w:rFonts w:ascii="Arial" w:hAnsi="Arial"/>
          <w:b/>
          <w:i w:val="0"/>
          <w:sz w:val="21"/>
        </w:rPr>
        <w:t>model-supply-chain risk</w:t>
      </w:r>
      <w:r>
        <w:rPr>
          <w:rFonts w:ascii="Arial" w:hAnsi="Arial"/>
          <w:b w:val="0"/>
          <w:i w:val="0"/>
          <w:sz w:val="21"/>
        </w:rPr>
        <w:t xml:space="preserve"> (provenance of the model/weights/training data, and the risk of a compromised or malicious upstream source, per DS-SCA-018's dependency-security discipline extended to model artifacts); </w:t>
      </w:r>
      <w:r>
        <w:rPr>
          <w:rFonts w:ascii="Arial" w:hAnsi="Arial"/>
          <w:b/>
          <w:i w:val="0"/>
          <w:sz w:val="21"/>
        </w:rPr>
        <w:t>untrusted-artifact/weight handling</w:t>
      </w:r>
      <w:r>
        <w:rPr>
          <w:rFonts w:ascii="Arial" w:hAnsi="Arial"/>
          <w:b w:val="0"/>
          <w:i w:val="0"/>
          <w:sz w:val="21"/>
        </w:rPr>
        <w:t xml:space="preserve"> (a downloaded model file or weight checkpoint is treated as untrusted input until verified, per </w:t>
      </w:r>
      <w:r>
        <w:rPr>
          <w:rFonts w:ascii="Consolas" w:hAnsi="Consolas"/>
          <w:b w:val="0"/>
          <w:i w:val="0"/>
          <w:sz w:val="20"/>
        </w:rPr>
        <w:t>SECURITY_RULES.md</w:t>
      </w:r>
      <w:r>
        <w:rPr>
          <w:rFonts w:ascii="Arial" w:hAnsi="Arial"/>
          <w:b w:val="0"/>
          <w:i w:val="0"/>
          <w:sz w:val="21"/>
        </w:rPr>
        <w:t xml:space="preserve"> "Input Validation" and DS-SCA-009's injection-defense discipline extended to binary model artifacts — never loaded or executed without integrity/provenance verification); </w:t>
      </w:r>
      <w:r>
        <w:rPr>
          <w:rFonts w:ascii="Arial" w:hAnsi="Arial"/>
          <w:b/>
          <w:i w:val="0"/>
          <w:sz w:val="21"/>
        </w:rPr>
        <w:t>integration-boundary risk</w:t>
      </w:r>
      <w:r>
        <w:rPr>
          <w:rFonts w:ascii="Arial" w:hAnsi="Arial"/>
          <w:b w:val="0"/>
          <w:i w:val="0"/>
          <w:sz w:val="21"/>
        </w:rPr>
        <w:t xml:space="preserve"> (any output from a referenced model is subject to DS-PRD-011/DS-SCA-008's AI-output-validation boundary before any application use, and never gains a privileged path around the canonical </w:t>
      </w:r>
      <w:r>
        <w:rPr>
          <w:rFonts w:ascii="Consolas" w:hAnsi="Consolas"/>
          <w:b w:val="0"/>
          <w:i w:val="0"/>
          <w:sz w:val="20"/>
        </w:rPr>
        <w:t>TradeValidationPipeline</w:t>
      </w:r>
      <w:r>
        <w:rPr>
          <w:rFonts w:ascii="Arial" w:hAnsi="Arial"/>
          <w:b w:val="0"/>
          <w:i w:val="0"/>
          <w:sz w:val="21"/>
        </w:rPr>
        <w:t xml:space="preserve">, DS-EXE-001); and </w:t>
      </w:r>
      <w:r>
        <w:rPr>
          <w:rFonts w:ascii="Arial" w:hAnsi="Arial"/>
          <w:b/>
          <w:i w:val="0"/>
          <w:sz w:val="21"/>
        </w:rPr>
        <w:t>operational feasibility</w:t>
      </w:r>
      <w:r>
        <w:rPr>
          <w:rFonts w:ascii="Arial" w:hAnsi="Arial"/>
          <w:b w:val="0"/>
          <w:i w:val="0"/>
          <w:sz w:val="21"/>
        </w:rPr>
        <w:t xml:space="preserve"> (maintenance, update cadence, and long-term availability of the referenced model/technique). This extends DS-PRD-001's model-independence principle (no Committed/MVP capability may hard-depend on one vendor/model without an ADR) to the research stage, and DS-QA-011's rule that model evaluation never substitutes for deterministic verification applies to any output derived from a referenced model. </w:t>
      </w:r>
      <w:r>
        <w:rPr>
          <w:rFonts w:ascii="Arial" w:hAnsi="Arial"/>
          <w:b/>
          <w:i w:val="0"/>
          <w:sz w:val="21"/>
        </w:rPr>
        <w:t>No third-party model candidate may be promoted (to DS-013 or beyond) until all nine gates are satisfied and recorded</w:t>
      </w:r>
      <w:r>
        <w:rPr>
          <w:rFonts w:ascii="Arial" w:hAnsi="Arial"/>
          <w:b w:val="0"/>
          <w:i w:val="0"/>
          <w:sz w:val="21"/>
        </w:rPr>
        <w:t xml:space="preserve"> — a partial evaluation (e.g., benchmarking alone, without privacy/security/supply-chain review) is insufficient for promotion.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No idea entry in this document states or implies that a named external model/reference is already adopted, superior, or a dependency.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Every idea referencing a named external model states, in its own Research Needed field, all nine mandatory gates (licensing, independent benchmarking, compute requirements, privacy, security, model-supply-chain risk, untrusted-artifact/weight handling, integration-boundary risk, operational feasibility) as preconditions for further advancement — not a subset.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No third-party model candidate is marked Promoted (in either this document or its DS-013 cross-reference) without all nine gates recorded as satisfied.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Security and privacy treatment for any referenced model is consistent with DS-008 in full, never a lesser or parallel security standard.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Content-review check across every idea naming an external model/reference, confirming all nine gates are present and consistent with this rule; security/privacy-alignment check against DS-008 (shared with DS-008's own applicable tests, e.g., DS-SCA-009's injection-defense test extended to model artifacts).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DS-IDG-005 — Relationship to DS-013 (Boundary Rule)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(governance)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DS-014 (this document, normative); DS-BLG-006 (DS-013, Committed)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This is the DS-014-side statement of DS-013's DS-BLG-006 boundary rule: DS-014 holds the research-stage concept; DS-013 holds the productized candidate once one exists. Neither document restates the other's content as a second, independent authority — each cross-references the other by ID where a topic exists in both.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Matches DS-BLG-006's acceptance criteria exactly (shared rule, stated on both sides for document-local completeness).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Cross-volume duplication check between DS-013 and DS-014 (shared with DS-BLG-006's own test).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6. Idea Catalog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Each idea states: ID, Title, Description, Why It Is Interesting, Potential DarkSage Value, Risks/Unknowns, Research Needed, Promotion Criteria, Related Features/Volumes, Status, and Notes.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6.1 Market Foundation Model Research Cluster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DS-IDEA-001 — DarkSage Market Foundation Model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A large, pretrained model specialized for market/time-series data, potentially serving as a shared analytical backbone for multiple DarkSage capabilities (forecasting, regime detection, pattern recognition) rather than separate purpose-built models per task.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Why It Is Interesting:</w:t>
      </w:r>
      <w:r>
        <w:rPr>
          <w:rFonts w:ascii="Arial" w:hAnsi="Arial"/>
          <w:b w:val="0"/>
          <w:i w:val="0"/>
          <w:sz w:val="21"/>
        </w:rPr>
        <w:t xml:space="preserve"> Foundation-model approaches have shown strong transfer-learning results in other domains; a shared backbone could reduce duplicated modeling effort across DarkSage's analytical surfaces if it proves viable.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Potential DarkSage Value:</w:t>
      </w:r>
      <w:r>
        <w:rPr>
          <w:rFonts w:ascii="Arial" w:hAnsi="Arial"/>
          <w:b w:val="0"/>
          <w:i w:val="0"/>
          <w:sz w:val="21"/>
        </w:rPr>
        <w:t xml:space="preserve"> Could unify DS-IDEA-004 (Market Encoder), DS-IDEA-005 (Forecast Engine), and DS-IDEA-006 (Regime Engine) behind one trained representation, if benchmarking supports it.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Risks/Unknowns:</w:t>
      </w:r>
      <w:r>
        <w:rPr>
          <w:rFonts w:ascii="Arial" w:hAnsi="Arial"/>
          <w:b w:val="0"/>
          <w:i w:val="0"/>
          <w:sz w:val="21"/>
        </w:rPr>
        <w:t xml:space="preserve"> Training/maintenance cost; data requirements at foundation-model scale may exceed what a local-first, cost-conscious project can sustain (</w:t>
      </w:r>
      <w:r>
        <w:rPr>
          <w:rFonts w:ascii="Consolas" w:hAnsi="Consolas"/>
          <w:b w:val="0"/>
          <w:i w:val="0"/>
          <w:sz w:val="20"/>
        </w:rPr>
        <w:t>PROJECT_SPEC.md</w:t>
      </w:r>
      <w:r>
        <w:rPr>
          <w:rFonts w:ascii="Arial" w:hAnsi="Arial"/>
          <w:b w:val="0"/>
          <w:i w:val="0"/>
          <w:sz w:val="21"/>
        </w:rPr>
        <w:t xml:space="preserve"> §2.1 Cheap-First Architecture); unproven claim until independently benchmarked against DarkSage's deterministic baselines (DS-PRD-004 boundary is never affected regardless of outcome).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Research Needed:</w:t>
      </w:r>
      <w:r>
        <w:rPr>
          <w:rFonts w:ascii="Arial" w:hAnsi="Arial"/>
          <w:b w:val="0"/>
          <w:i w:val="0"/>
          <w:sz w:val="21"/>
        </w:rPr>
        <w:t xml:space="preserve"> Literature review of existing market/financial foundation models; feasibility of training or fine-tuning at DarkSage's practical compute budget; benchmark design against deterministic baselines.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Promotion Criteria:</w:t>
      </w:r>
      <w:r>
        <w:rPr>
          <w:rFonts w:ascii="Arial" w:hAnsi="Arial"/>
          <w:b w:val="0"/>
          <w:i w:val="0"/>
          <w:sz w:val="21"/>
        </w:rPr>
        <w:t xml:space="preserve"> A concrete, benchmarked proposal with defined scope (which analytical tasks, what data, what compute) before promotion to a DS-013 backlog item.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Related Features/Volumes:</w:t>
      </w:r>
      <w:r>
        <w:rPr>
          <w:rFonts w:ascii="Arial" w:hAnsi="Arial"/>
          <w:b w:val="0"/>
          <w:i w:val="0"/>
          <w:sz w:val="21"/>
        </w:rPr>
        <w:t xml:space="preserve"> DS-BL-018, DS-BL-019 (DS-013, cross-referenced); DS-IDEA-002/003/004/005/006.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Exploratory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Notes:</w:t>
      </w:r>
      <w:r>
        <w:rPr>
          <w:rFonts w:ascii="Arial" w:hAnsi="Arial"/>
          <w:b w:val="0"/>
          <w:i w:val="0"/>
          <w:sz w:val="21"/>
        </w:rPr>
        <w:t xml:space="preserve"> The umbrella concept for this research cluster; DS-IDEA-002 through 006 are more specific technical directions within it.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DS-IDEA-002 — Market Tokenization Inspired by Kronos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A technique for representing market time-series data as discrete tokens (analogous to language-model tokenization), inspired by the Kronos research project's approach to financial time-series modeling.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Why It Is Interesting:</w:t>
      </w:r>
      <w:r>
        <w:rPr>
          <w:rFonts w:ascii="Arial" w:hAnsi="Arial"/>
          <w:b w:val="0"/>
          <w:i w:val="0"/>
          <w:sz w:val="21"/>
        </w:rPr>
        <w:t xml:space="preserve"> Tokenized time-series representations may enable applying transformer-style architectures to market data more directly than raw numerical sequences.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Potential DarkSage Value:</w:t>
      </w:r>
      <w:r>
        <w:rPr>
          <w:rFonts w:ascii="Arial" w:hAnsi="Arial"/>
          <w:b w:val="0"/>
          <w:i w:val="0"/>
          <w:sz w:val="21"/>
        </w:rPr>
        <w:t xml:space="preserve"> A candidate input representation for DS-IDEA-001/004 if the market-foundation-model research track advances.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Risks/Unknowns:</w:t>
      </w:r>
      <w:r>
        <w:rPr>
          <w:rFonts w:ascii="Arial" w:hAnsi="Arial"/>
          <w:b w:val="0"/>
          <w:i w:val="0"/>
          <w:sz w:val="21"/>
        </w:rPr>
        <w:t xml:space="preserve"> Kronos's licensing terms are not yet reviewed; its published benchmark results are not yet independently reproduced; tokenization schemes can lose information relevant to deterministic financial calculations, which must never depend on this representation (DS-PRD-004 remains absolute regardless); model weights/checkpoints obtained from an external source are untrusted artifacts until verified; unreviewed training-data provenance could carry privacy or supply-chain exposure.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Research Needed:</w:t>
      </w:r>
      <w:r>
        <w:rPr>
          <w:rFonts w:ascii="Arial" w:hAnsi="Arial"/>
          <w:b w:val="0"/>
          <w:i w:val="0"/>
          <w:sz w:val="21"/>
        </w:rPr>
        <w:t xml:space="preserve"> All nine of DS-IDG-004's mandatory gates — licensing (terms of use/redistribution); independent benchmarking (not taken on published claims alone); compute requirements at DarkSage's scale; privacy (training-data composition and any DarkSage-data exposure risk); security (per DS-008); model-supply-chain risk (provenance of the model/weights); untrusted-artifact/weight handling (integrity/provenance verification before any weight is loaded); integration-boundary risk (confirming no path around DS-EXE-001/DS-PRD-011); and operational feasibility (maintenance/update cadence). Also: evaluation of tokenization information loss relevant to DarkSage's own data (equities-focused, per </w:t>
      </w:r>
      <w:r>
        <w:rPr>
          <w:rFonts w:ascii="Consolas" w:hAnsi="Consolas"/>
          <w:b w:val="0"/>
          <w:i w:val="0"/>
          <w:sz w:val="20"/>
        </w:rPr>
        <w:t>PROJECT_SPEC.md</w:t>
      </w:r>
      <w:r>
        <w:rPr>
          <w:rFonts w:ascii="Arial" w:hAnsi="Arial"/>
          <w:b w:val="0"/>
          <w:i w:val="0"/>
          <w:sz w:val="21"/>
        </w:rPr>
        <w:t xml:space="preserve"> §1/§5).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Promotion Criteria:</w:t>
      </w:r>
      <w:r>
        <w:rPr>
          <w:rFonts w:ascii="Arial" w:hAnsi="Arial"/>
          <w:b w:val="0"/>
          <w:i w:val="0"/>
          <w:sz w:val="21"/>
        </w:rPr>
        <w:t xml:space="preserve"> All nine DS-IDG-004 gates satisfied and recorded — not a subset — before any promotion to DS-013.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Related Features/Volumes:</w:t>
      </w:r>
      <w:r>
        <w:rPr>
          <w:rFonts w:ascii="Arial" w:hAnsi="Arial"/>
          <w:b w:val="0"/>
          <w:i w:val="0"/>
          <w:sz w:val="21"/>
        </w:rPr>
        <w:t xml:space="preserve"> DS-BL-020 (DS-013, cross-referenced); DS-IDEA-001.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Exploratory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Notes: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Arial" w:hAnsi="Arial"/>
          <w:b/>
          <w:i w:val="0"/>
          <w:sz w:val="21"/>
        </w:rPr>
        <w:t>Kronos is treated strictly as an architectural/research reference per DS-IDG-004 — not a committed dependency, not an assumed-superior model, and subject to licensing, independent benchmarking, compute requirements, privacy, security, model-supply-chain risk, untrusted-artifact/weight handling, integration-boundary risk, and operational feasibility evaluation.</w:t>
      </w:r>
      <w:r>
        <w:rPr>
          <w:rFonts w:ascii="Arial" w:hAnsi="Arial"/>
          <w:b w:val="0"/>
          <w:i w:val="0"/>
          <w:sz w:val="21"/>
        </w:rPr>
        <w:t xml:space="preserve"> This idea exists to track that evaluation, not to endorse adoption.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DS-IDEA-003 — Multi-Modal Market Representation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Combining multiple data modalities (price/volume time series, news text, filing documents, order-flow data) into one joint representation for analysis, rather than treating each as a separate, unrelated input.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Why It Is Interesting:</w:t>
      </w:r>
      <w:r>
        <w:rPr>
          <w:rFonts w:ascii="Arial" w:hAnsi="Arial"/>
          <w:b w:val="0"/>
          <w:i w:val="0"/>
          <w:sz w:val="21"/>
        </w:rPr>
        <w:t xml:space="preserve"> Markets are influenced by more than price history alone; a joint representation could surface relationships single-modality analysis misses.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Potential DarkSage Value:</w:t>
      </w:r>
      <w:r>
        <w:rPr>
          <w:rFonts w:ascii="Arial" w:hAnsi="Arial"/>
          <w:b w:val="0"/>
          <w:i w:val="0"/>
          <w:sz w:val="21"/>
        </w:rPr>
        <w:t xml:space="preserve"> Could inform DS-IDEA-007 (Evidence Fusion Engine) and DS-IDEA-013 (SEC filing/news/fundamental fusion) with a shared technical foundation.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Risks/Unknowns:</w:t>
      </w:r>
      <w:r>
        <w:rPr>
          <w:rFonts w:ascii="Arial" w:hAnsi="Arial"/>
          <w:b w:val="0"/>
          <w:i w:val="0"/>
          <w:sz w:val="21"/>
        </w:rPr>
        <w:t xml:space="preserve"> Significant architectural complexity; risk of an opaque, hard-to-explain joint representation conflicting with DS-001 §15's Explainability Standard if not carefully designed.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Research Needed:</w:t>
      </w:r>
      <w:r>
        <w:rPr>
          <w:rFonts w:ascii="Arial" w:hAnsi="Arial"/>
          <w:b w:val="0"/>
          <w:i w:val="0"/>
          <w:sz w:val="21"/>
        </w:rPr>
        <w:t xml:space="preserve"> Literature review of multi-modal financial modeling approaches; explainability-preserving architecture design.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Promotion Criteria:</w:t>
      </w:r>
      <w:r>
        <w:rPr>
          <w:rFonts w:ascii="Arial" w:hAnsi="Arial"/>
          <w:b w:val="0"/>
          <w:i w:val="0"/>
          <w:sz w:val="21"/>
        </w:rPr>
        <w:t xml:space="preserve"> A concrete architecture proposal that preserves per-modality evidence traceability (DS-PRD-002) before promotion.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Related Features/Volumes:</w:t>
      </w:r>
      <w:r>
        <w:rPr>
          <w:rFonts w:ascii="Arial" w:hAnsi="Arial"/>
          <w:b w:val="0"/>
          <w:i w:val="0"/>
          <w:sz w:val="21"/>
        </w:rPr>
        <w:t xml:space="preserve"> DS-BL-019 (DS-013, cross-referenced); DS-IDEA-001, DS-IDEA-007, DS-IDEA-013.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Exploratory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Notes:</w:t>
      </w:r>
      <w:r>
        <w:rPr>
          <w:rFonts w:ascii="Arial" w:hAnsi="Arial"/>
          <w:b w:val="0"/>
          <w:i w:val="0"/>
          <w:sz w:val="21"/>
        </w:rPr>
        <w:t xml:space="preserve"> None.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DS-IDEA-004 — Specialized Market Encoder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A smaller, purpose-built encoder model for extracting structured features from market data, as a lighter-weight alternative to a full foundation-model approach.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Why It Is Interesting:</w:t>
      </w:r>
      <w:r>
        <w:rPr>
          <w:rFonts w:ascii="Arial" w:hAnsi="Arial"/>
          <w:b w:val="0"/>
          <w:i w:val="0"/>
          <w:sz w:val="21"/>
        </w:rPr>
        <w:t xml:space="preserve"> Potentially more tractable than DS-IDEA-001 at DarkSage's compute budget while still providing specialized representation quality.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Potential DarkSage Value:</w:t>
      </w:r>
      <w:r>
        <w:rPr>
          <w:rFonts w:ascii="Arial" w:hAnsi="Arial"/>
          <w:b w:val="0"/>
          <w:i w:val="0"/>
          <w:sz w:val="21"/>
        </w:rPr>
        <w:t xml:space="preserve"> A near-term technical stepping stone toward DS-IDEA-001, or a standalone lighter-weight capability.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Risks/Unknowns:</w:t>
      </w:r>
      <w:r>
        <w:rPr>
          <w:rFonts w:ascii="Arial" w:hAnsi="Arial"/>
          <w:b w:val="0"/>
          <w:i w:val="0"/>
          <w:sz w:val="21"/>
        </w:rPr>
        <w:t xml:space="preserve"> Same evaluation burden as any specialized model (DS-BL-018's Model Benchmarking gate).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Research Needed:</w:t>
      </w:r>
      <w:r>
        <w:rPr>
          <w:rFonts w:ascii="Arial" w:hAnsi="Arial"/>
          <w:b w:val="0"/>
          <w:i w:val="0"/>
          <w:sz w:val="21"/>
        </w:rPr>
        <w:t xml:space="preserve"> Architecture survey; compute-cost estimate at DarkSage's scale.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Promotion Criteria:</w:t>
      </w:r>
      <w:r>
        <w:rPr>
          <w:rFonts w:ascii="Arial" w:hAnsi="Arial"/>
          <w:b w:val="0"/>
          <w:i w:val="0"/>
          <w:sz w:val="21"/>
        </w:rPr>
        <w:t xml:space="preserve"> Benchmarked against general-purpose provider baselines before promotion.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Related Features/Volumes:</w:t>
      </w:r>
      <w:r>
        <w:rPr>
          <w:rFonts w:ascii="Arial" w:hAnsi="Arial"/>
          <w:b w:val="0"/>
          <w:i w:val="0"/>
          <w:sz w:val="21"/>
        </w:rPr>
        <w:t xml:space="preserve"> DS-BL-018 (DS-013, cross-referenced); DS-IDEA-001.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Exploratory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Notes:</w:t>
      </w:r>
      <w:r>
        <w:rPr>
          <w:rFonts w:ascii="Arial" w:hAnsi="Arial"/>
          <w:b w:val="0"/>
          <w:i w:val="0"/>
          <w:sz w:val="21"/>
        </w:rPr>
        <w:t xml:space="preserve"> None.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DS-IDEA-005 — Forecast Engine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A dedicated probabilistic forecasting component producing scenario/probability distributions for price or regime outcomes, distinct from deterministic backtesting.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Why It Is Interesting:</w:t>
      </w:r>
      <w:r>
        <w:rPr>
          <w:rFonts w:ascii="Arial" w:hAnsi="Arial"/>
          <w:b w:val="0"/>
          <w:i w:val="0"/>
          <w:sz w:val="21"/>
        </w:rPr>
        <w:t xml:space="preserve"> Could formalize DS-IDEA-022 (Probabilistic Scenario Trees)'s output into a reusable engine.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Potential DarkSage Value:</w:t>
      </w:r>
      <w:r>
        <w:rPr>
          <w:rFonts w:ascii="Arial" w:hAnsi="Arial"/>
          <w:b w:val="0"/>
          <w:i w:val="0"/>
          <w:sz w:val="21"/>
        </w:rPr>
        <w:t xml:space="preserve"> Would need to integrate carefully with DS-PRD-009 (Uncertainty Communication) — any forecast output must be labeled probabilistic, never presented as deterministic fact.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Risks/Unknowns:</w:t>
      </w:r>
      <w:r>
        <w:rPr>
          <w:rFonts w:ascii="Arial" w:hAnsi="Arial"/>
          <w:b w:val="0"/>
          <w:i w:val="0"/>
          <w:sz w:val="21"/>
        </w:rPr>
        <w:t xml:space="preserve"> High risk of over-claiming predictive accuracy; must never be positioned as replacing DS-RSK-002's deterministic risk calculations.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Research Needed:</w:t>
      </w:r>
      <w:r>
        <w:rPr>
          <w:rFonts w:ascii="Arial" w:hAnsi="Arial"/>
          <w:b w:val="0"/>
          <w:i w:val="0"/>
          <w:sz w:val="21"/>
        </w:rPr>
        <w:t xml:space="preserve"> Forecasting methodology survey; calibration/backtesting-of-the-forecaster-itself methodology.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Promotion Criteria:</w:t>
      </w:r>
      <w:r>
        <w:rPr>
          <w:rFonts w:ascii="Arial" w:hAnsi="Arial"/>
          <w:b w:val="0"/>
          <w:i w:val="0"/>
          <w:sz w:val="21"/>
        </w:rPr>
        <w:t xml:space="preserve"> Calibration methodology proven and explicit uncertainty labeling designed before promotion.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Related Features/Volumes:</w:t>
      </w:r>
      <w:r>
        <w:rPr>
          <w:rFonts w:ascii="Arial" w:hAnsi="Arial"/>
          <w:b w:val="0"/>
          <w:i w:val="0"/>
          <w:sz w:val="21"/>
        </w:rPr>
        <w:t xml:space="preserve"> DS-BL-019 (DS-013, cross-referenced); DS-IDEA-001, DS-IDEA-022.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Exploratory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Notes:</w:t>
      </w:r>
      <w:r>
        <w:rPr>
          <w:rFonts w:ascii="Arial" w:hAnsi="Arial"/>
          <w:b w:val="0"/>
          <w:i w:val="0"/>
          <w:sz w:val="21"/>
        </w:rPr>
        <w:t xml:space="preserve"> None.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DS-IDEA-006 — Regime Engine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A dedicated market-regime classification component (e.g., trending/ranging/high-volatility/low-volatility), building on the MarketRegime entity (DS-DB-003) already present in DS-005's data model.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Why It Is Interesting: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ROADMAP.md</w:t>
      </w:r>
      <w:r>
        <w:rPr>
          <w:rFonts w:ascii="Arial" w:hAnsi="Arial"/>
          <w:b w:val="0"/>
          <w:i w:val="0"/>
          <w:sz w:val="21"/>
        </w:rPr>
        <w:t xml:space="preserve"> Phase 3 already names "Market regime classification" directionally; this idea explores whether a specialized model improves on deterministic/statistical classification alone.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Potential DarkSage Value:</w:t>
      </w:r>
      <w:r>
        <w:rPr>
          <w:rFonts w:ascii="Arial" w:hAnsi="Arial"/>
          <w:b w:val="0"/>
          <w:i w:val="0"/>
          <w:sz w:val="21"/>
        </w:rPr>
        <w:t xml:space="preserve"> Could enhance DS-PERF's strategy-performance segmentation (DS-002 §5.3's Phase-3 direction) if it outperforms simpler statistical methods.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Risks/Unknowns:</w:t>
      </w:r>
      <w:r>
        <w:rPr>
          <w:rFonts w:ascii="Arial" w:hAnsi="Arial"/>
          <w:b w:val="0"/>
          <w:i w:val="0"/>
          <w:sz w:val="21"/>
        </w:rPr>
        <w:t xml:space="preserve"> DS-ARC-020 already requires "measured statistical evidence only — a model's guess is never a substitute for computed statistics" for Strategy Performance/DNA architecture; any Regime Engine promotion must respect this boundary exactly.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Research Needed:</w:t>
      </w:r>
      <w:r>
        <w:rPr>
          <w:rFonts w:ascii="Arial" w:hAnsi="Arial"/>
          <w:b w:val="0"/>
          <w:i w:val="0"/>
          <w:sz w:val="21"/>
        </w:rPr>
        <w:t xml:space="preserve"> Benchmark against the existing deterministic/statistical regime-classification approach DS-ARC-020 already anticipates.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Promotion Criteria:</w:t>
      </w:r>
      <w:r>
        <w:rPr>
          <w:rFonts w:ascii="Arial" w:hAnsi="Arial"/>
          <w:b w:val="0"/>
          <w:i w:val="0"/>
          <w:sz w:val="21"/>
        </w:rPr>
        <w:t xml:space="preserve"> Demonstrated improvement over statistical baseline, with the deterministic/statistical fallback always preserved as the authoritative floor (DS-ARC-020).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Related Features/Volumes:</w:t>
      </w:r>
      <w:r>
        <w:rPr>
          <w:rFonts w:ascii="Arial" w:hAnsi="Arial"/>
          <w:b w:val="0"/>
          <w:i w:val="0"/>
          <w:sz w:val="21"/>
        </w:rPr>
        <w:t xml:space="preserve"> DS-004 (DS-ARC-020), DS-005 (DS-DB-003); DS-IDEA-001.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Exploratory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Notes:</w:t>
      </w:r>
      <w:r>
        <w:rPr>
          <w:rFonts w:ascii="Arial" w:hAnsi="Arial"/>
          <w:b w:val="0"/>
          <w:i w:val="0"/>
          <w:sz w:val="21"/>
        </w:rPr>
        <w:t xml:space="preserve"> None.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6.2 Evidence, Explainability, and Uncertainty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DS-IDEA-007 — Evidence Fusion Engine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A dedicated component for combining multiple evidence sources (deterministic calculations, news, filings, Sage's own reasoning) into one coherent, traceable explanation.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Why It Is Interesting:</w:t>
      </w:r>
      <w:r>
        <w:rPr>
          <w:rFonts w:ascii="Arial" w:hAnsi="Arial"/>
          <w:b w:val="0"/>
          <w:i w:val="0"/>
          <w:sz w:val="21"/>
        </w:rPr>
        <w:t xml:space="preserve"> Directly serves DS-001 §15's Explainability Standard at a deeper technical level than a single Sage response alone.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Potential DarkSage Value:</w:t>
      </w:r>
      <w:r>
        <w:rPr>
          <w:rFonts w:ascii="Arial" w:hAnsi="Arial"/>
          <w:b w:val="0"/>
          <w:i w:val="0"/>
          <w:sz w:val="21"/>
        </w:rPr>
        <w:t xml:space="preserve"> Backing technical component for DS-BL-022 (Additional Explainability and Evidence-Fusion Systems, DS-013).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Risks/Unknowns:</w:t>
      </w:r>
      <w:r>
        <w:rPr>
          <w:rFonts w:ascii="Arial" w:hAnsi="Arial"/>
          <w:b w:val="0"/>
          <w:i w:val="0"/>
          <w:sz w:val="21"/>
        </w:rPr>
        <w:t xml:space="preserve"> Must preserve per-source provenance (DS-PRD-002) — a fused explanation that obscures which claim came from which source would be a regression, not an improvement.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Research Needed:</w:t>
      </w:r>
      <w:r>
        <w:rPr>
          <w:rFonts w:ascii="Arial" w:hAnsi="Arial"/>
          <w:b w:val="0"/>
          <w:i w:val="0"/>
          <w:sz w:val="21"/>
        </w:rPr>
        <w:t xml:space="preserve"> Fusion architecture design that preserves per-source attribution.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Promotion Criteria:</w:t>
      </w:r>
      <w:r>
        <w:rPr>
          <w:rFonts w:ascii="Arial" w:hAnsi="Arial"/>
          <w:b w:val="0"/>
          <w:i w:val="0"/>
          <w:sz w:val="21"/>
        </w:rPr>
        <w:t xml:space="preserve"> Architecture proposal demonstrating provenance preservation before promotion.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Related Features/Volumes:</w:t>
      </w:r>
      <w:r>
        <w:rPr>
          <w:rFonts w:ascii="Arial" w:hAnsi="Arial"/>
          <w:b w:val="0"/>
          <w:i w:val="0"/>
          <w:sz w:val="21"/>
        </w:rPr>
        <w:t xml:space="preserve"> DS-BL-022 (DS-013, cross-referenced); DS-IDEA-003, DS-IDEA-021.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Exploratory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Notes:</w:t>
      </w:r>
      <w:r>
        <w:rPr>
          <w:rFonts w:ascii="Arial" w:hAnsi="Arial"/>
          <w:b w:val="0"/>
          <w:i w:val="0"/>
          <w:sz w:val="21"/>
        </w:rPr>
        <w:t xml:space="preserve"> None.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DS-IDEA-021 — Novel Explainability Interfaces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UI/UX-level exploration of new ways to present explanations beyond DS-UX-009's expandable-panel pattern — e.g., interactive evidence graphs, layered drill-down visualizations.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Why It Is Interesting:</w:t>
      </w:r>
      <w:r>
        <w:rPr>
          <w:rFonts w:ascii="Arial" w:hAnsi="Arial"/>
          <w:b w:val="0"/>
          <w:i w:val="0"/>
          <w:sz w:val="21"/>
        </w:rPr>
        <w:t xml:space="preserve"> DS-UX-009 establishes a baseline pattern; this idea explores whether richer presentation improves comprehension without violating DS-001 §15's "shall not become a performance of certainty" constraint.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Potential DarkSage Value:</w:t>
      </w:r>
      <w:r>
        <w:rPr>
          <w:rFonts w:ascii="Arial" w:hAnsi="Arial"/>
          <w:b w:val="0"/>
          <w:i w:val="0"/>
          <w:sz w:val="21"/>
        </w:rPr>
        <w:t xml:space="preserve"> Could enhance both the Signal detail surface (Committed) and the future Sage conversational surface (Planned, Phase 6).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Risks/Unknowns:</w:t>
      </w:r>
      <w:r>
        <w:rPr>
          <w:rFonts w:ascii="Arial" w:hAnsi="Arial"/>
          <w:b w:val="0"/>
          <w:i w:val="0"/>
          <w:sz w:val="21"/>
        </w:rPr>
        <w:t xml:space="preserve"> Risk of prioritizing visual sophistication over genuine clarity, which DS-001 §8.1 (Clarity) explicitly cautions against.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Research Needed:</w:t>
      </w:r>
      <w:r>
        <w:rPr>
          <w:rFonts w:ascii="Arial" w:hAnsi="Arial"/>
          <w:b w:val="0"/>
          <w:i w:val="0"/>
          <w:sz w:val="21"/>
        </w:rPr>
        <w:t xml:space="preserve"> UX research on explanation comprehension; prototyping against DS-UX-009's existing pattern.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Promotion Criteria:</w:t>
      </w:r>
      <w:r>
        <w:rPr>
          <w:rFonts w:ascii="Arial" w:hAnsi="Arial"/>
          <w:b w:val="0"/>
          <w:i w:val="0"/>
          <w:sz w:val="21"/>
        </w:rPr>
        <w:t xml:space="preserve"> A specific interface concept validated against DS-001 §8.1/§15 before promotion to a DS-007 (DS-UX) requirement.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Related Features/Volumes:</w:t>
      </w:r>
      <w:r>
        <w:rPr>
          <w:rFonts w:ascii="Arial" w:hAnsi="Arial"/>
          <w:b w:val="0"/>
          <w:i w:val="0"/>
          <w:sz w:val="21"/>
        </w:rPr>
        <w:t xml:space="preserve"> DS-BL-022 (DS-013, cross-referenced); DS-007 (DS-UX-009).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Exploratory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Notes:</w:t>
      </w:r>
      <w:r>
        <w:rPr>
          <w:rFonts w:ascii="Arial" w:hAnsi="Arial"/>
          <w:b w:val="0"/>
          <w:i w:val="0"/>
          <w:sz w:val="21"/>
        </w:rPr>
        <w:t xml:space="preserve"> None.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DS-IDEA-022 — Probabilistic Scenario Trees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A visual/analytical representation of branching future scenarios with associated probabilities, rather than a single point forecast.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Why It Is Interesting:</w:t>
      </w:r>
      <w:r>
        <w:rPr>
          <w:rFonts w:ascii="Arial" w:hAnsi="Arial"/>
          <w:b w:val="0"/>
          <w:i w:val="0"/>
          <w:sz w:val="21"/>
        </w:rPr>
        <w:t xml:space="preserve"> Naturally communicates uncertainty (DS-PRD-009) rather than false precision, aligning with DS-001 §8's Evidence and Explainability values.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Potential DarkSage Value:</w:t>
      </w:r>
      <w:r>
        <w:rPr>
          <w:rFonts w:ascii="Arial" w:hAnsi="Arial"/>
          <w:b w:val="0"/>
          <w:i w:val="0"/>
          <w:sz w:val="21"/>
        </w:rPr>
        <w:t xml:space="preserve"> A candidate presentation layer for DS-IDEA-005 (Forecast Engine) output, and for DS-RSK-004's scenario analysis (Planned) once built.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Risks/Unknowns:</w:t>
      </w:r>
      <w:r>
        <w:rPr>
          <w:rFonts w:ascii="Arial" w:hAnsi="Arial"/>
          <w:b w:val="0"/>
          <w:i w:val="0"/>
          <w:sz w:val="21"/>
        </w:rPr>
        <w:t xml:space="preserve"> Complexity of presenting branching probability trees without overwhelming the user (tension with DS-001 §8.1 Clarity).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Research Needed:</w:t>
      </w:r>
      <w:r>
        <w:rPr>
          <w:rFonts w:ascii="Arial" w:hAnsi="Arial"/>
          <w:b w:val="0"/>
          <w:i w:val="0"/>
          <w:sz w:val="21"/>
        </w:rPr>
        <w:t xml:space="preserve"> UX prototyping; integration design with DS-RSK-004's deterministic scenario engine.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Promotion Criteria:</w:t>
      </w:r>
      <w:r>
        <w:rPr>
          <w:rFonts w:ascii="Arial" w:hAnsi="Arial"/>
          <w:b w:val="0"/>
          <w:i w:val="0"/>
          <w:sz w:val="21"/>
        </w:rPr>
        <w:t xml:space="preserve"> A specific presentation concept validated against DS-RSK-004's existing deterministic scenario-analysis requirement.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Related Features/Volumes:</w:t>
      </w:r>
      <w:r>
        <w:rPr>
          <w:rFonts w:ascii="Arial" w:hAnsi="Arial"/>
          <w:b w:val="0"/>
          <w:i w:val="0"/>
          <w:sz w:val="21"/>
        </w:rPr>
        <w:t xml:space="preserve"> DS-BL-022 (DS-013, cross-referenced); DS-002 (DS-RSK-004); DS-IDEA-005.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Exploratory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Notes:</w:t>
      </w:r>
      <w:r>
        <w:rPr>
          <w:rFonts w:ascii="Arial" w:hAnsi="Arial"/>
          <w:b w:val="0"/>
          <w:i w:val="0"/>
          <w:sz w:val="21"/>
        </w:rPr>
        <w:t xml:space="preserve"> None.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DS-IDEA-023 — Market Analog Retrieval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Retrieving historically similar market conditions/setups as evidence for a current analysis ("this looks like X historical period"), grounded in DS-PERF's Strategy DNA statistical infrastructure.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Why It Is Interesting:</w:t>
      </w:r>
      <w:r>
        <w:rPr>
          <w:rFonts w:ascii="Arial" w:hAnsi="Arial"/>
          <w:b w:val="0"/>
          <w:i w:val="0"/>
          <w:sz w:val="21"/>
        </w:rPr>
        <w:t xml:space="preserve"> Gives users a concrete, evidence-based comparison rather than an abstract probability, consistent with DS-001 §8.2 (Evidence).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Potential DarkSage Value:</w:t>
      </w:r>
      <w:r>
        <w:rPr>
          <w:rFonts w:ascii="Arial" w:hAnsi="Arial"/>
          <w:b w:val="0"/>
          <w:i w:val="0"/>
          <w:sz w:val="21"/>
        </w:rPr>
        <w:t xml:space="preserve"> Could extend DS-PERF-003's Strategy DNA (Planned, Phase 3) with a user-facing retrieval interface.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Risks/Unknowns:</w:t>
      </w:r>
      <w:r>
        <w:rPr>
          <w:rFonts w:ascii="Arial" w:hAnsi="Arial"/>
          <w:b w:val="0"/>
          <w:i w:val="0"/>
          <w:sz w:val="21"/>
        </w:rPr>
        <w:t xml:space="preserve"> Risk of implying predictive certainty from a historical analog when markets may not repeat — must be presented per DS-PRD-009's uncertainty-communication rule, and per DS-001 §13's "historical performance is not a guarantee of future performance."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Research Needed:</w:t>
      </w:r>
      <w:r>
        <w:rPr>
          <w:rFonts w:ascii="Arial" w:hAnsi="Arial"/>
          <w:b w:val="0"/>
          <w:i w:val="0"/>
          <w:sz w:val="21"/>
        </w:rPr>
        <w:t xml:space="preserve"> Similarity-metric design; retrieval architecture.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Promotion Criteria:</w:t>
      </w:r>
      <w:r>
        <w:rPr>
          <w:rFonts w:ascii="Arial" w:hAnsi="Arial"/>
          <w:b w:val="0"/>
          <w:i w:val="0"/>
          <w:sz w:val="21"/>
        </w:rPr>
        <w:t xml:space="preserve"> A similarity methodology validated as statistically meaningful (not superficial pattern-matching) before promotion.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Related Features/Volumes:</w:t>
      </w:r>
      <w:r>
        <w:rPr>
          <w:rFonts w:ascii="Arial" w:hAnsi="Arial"/>
          <w:b w:val="0"/>
          <w:i w:val="0"/>
          <w:sz w:val="21"/>
        </w:rPr>
        <w:t xml:space="preserve"> DS-002 (DS-PERF-003); DS-IDEA-006.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Exploratory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Notes:</w:t>
      </w:r>
      <w:r>
        <w:rPr>
          <w:rFonts w:ascii="Arial" w:hAnsi="Arial"/>
          <w:b w:val="0"/>
          <w:i w:val="0"/>
          <w:sz w:val="21"/>
        </w:rPr>
        <w:t xml:space="preserve"> None.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DS-IDEA-024 — Uncertainty-Aware Signal Presentation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Extending DS-SIG-002's deterministic signal grading with richer uncertainty presentation — e.g., confidence intervals or sensitivity ranges on the underlying scores, not just a single grade.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Why It Is Interesting:</w:t>
      </w:r>
      <w:r>
        <w:rPr>
          <w:rFonts w:ascii="Arial" w:hAnsi="Arial"/>
          <w:b w:val="0"/>
          <w:i w:val="0"/>
          <w:sz w:val="21"/>
        </w:rPr>
        <w:t xml:space="preserve"> Could make DS-PRD-009's uncertainty-communication principle more concrete for the Signal system specifically.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Potential DarkSage Value:</w:t>
      </w:r>
      <w:r>
        <w:rPr>
          <w:rFonts w:ascii="Arial" w:hAnsi="Arial"/>
          <w:b w:val="0"/>
          <w:i w:val="0"/>
          <w:sz w:val="21"/>
        </w:rPr>
        <w:t xml:space="preserve"> Enhancement to the already-Committed DS-SIG-001/002 signal-grading baseline.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Risks/Unknowns:</w:t>
      </w:r>
      <w:r>
        <w:rPr>
          <w:rFonts w:ascii="Arial" w:hAnsi="Arial"/>
          <w:b w:val="0"/>
          <w:i w:val="0"/>
          <w:sz w:val="21"/>
        </w:rPr>
        <w:t xml:space="preserve"> Must not alter DS-SIG-002's deterministic grading methodology itself (DS-PRD-004) — this is a presentation/uncertainty-quantification layer on top, not a replacement.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Research Needed:</w:t>
      </w:r>
      <w:r>
        <w:rPr>
          <w:rFonts w:ascii="Arial" w:hAnsi="Arial"/>
          <w:b w:val="0"/>
          <w:i w:val="0"/>
          <w:sz w:val="21"/>
        </w:rPr>
        <w:t xml:space="preserve"> Statistical methodology for deriving meaningful confidence bounds from the existing deterministic scoring pipeline.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Promotion Criteria:</w:t>
      </w:r>
      <w:r>
        <w:rPr>
          <w:rFonts w:ascii="Arial" w:hAnsi="Arial"/>
          <w:b w:val="0"/>
          <w:i w:val="0"/>
          <w:sz w:val="21"/>
        </w:rPr>
        <w:t xml:space="preserve"> A methodology that adds uncertainty quantification without altering the underlying deterministic score, validated before promotion to a DS-002 (DS-SIG) requirement.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Related Features/Volumes:</w:t>
      </w:r>
      <w:r>
        <w:rPr>
          <w:rFonts w:ascii="Arial" w:hAnsi="Arial"/>
          <w:b w:val="0"/>
          <w:i w:val="0"/>
          <w:sz w:val="21"/>
        </w:rPr>
        <w:t xml:space="preserve"> DS-BL-022 (DS-013, cross-referenced); DS-002 (DS-SIG-001/002).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Exploratory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Notes:</w:t>
      </w:r>
      <w:r>
        <w:rPr>
          <w:rFonts w:ascii="Arial" w:hAnsi="Arial"/>
          <w:b w:val="0"/>
          <w:i w:val="0"/>
          <w:sz w:val="21"/>
        </w:rPr>
        <w:t xml:space="preserve"> None.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6.3 Model Infrastructure and Orchestration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DS-IDEA-008 — Local Model Orchestration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A coordination layer for managing multiple local models (different sizes/specializations) selected per task, building on </w:t>
      </w:r>
      <w:r>
        <w:rPr>
          <w:rFonts w:ascii="Consolas" w:hAnsi="Consolas"/>
          <w:b w:val="0"/>
          <w:i w:val="0"/>
          <w:sz w:val="20"/>
        </w:rPr>
        <w:t>ROADMAP.md</w:t>
      </w:r>
      <w:r>
        <w:rPr>
          <w:rFonts w:ascii="Arial" w:hAnsi="Arial"/>
          <w:b w:val="0"/>
          <w:i w:val="0"/>
          <w:sz w:val="21"/>
        </w:rPr>
        <w:t xml:space="preserve"> Phase 6's local model manager direction.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Why It Is Interesting:</w:t>
      </w:r>
      <w:r>
        <w:rPr>
          <w:rFonts w:ascii="Arial" w:hAnsi="Arial"/>
          <w:b w:val="0"/>
          <w:i w:val="0"/>
          <w:sz w:val="21"/>
        </w:rPr>
        <w:t xml:space="preserve"> Could improve resource efficiency by routing simple tasks to smaller models and complex tasks to larger ones.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Potential DarkSage Value:</w:t>
      </w:r>
      <w:r>
        <w:rPr>
          <w:rFonts w:ascii="Arial" w:hAnsi="Arial"/>
          <w:b w:val="0"/>
          <w:i w:val="0"/>
          <w:sz w:val="21"/>
        </w:rPr>
        <w:t xml:space="preserve"> Extends DS-ARC-013's AI Provider Interface (Planned, Phase 6) with a more sophisticated local-routing layer.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Risks/Unknowns:</w:t>
      </w:r>
      <w:r>
        <w:rPr>
          <w:rFonts w:ascii="Arial" w:hAnsi="Arial"/>
          <w:b w:val="0"/>
          <w:i w:val="0"/>
          <w:sz w:val="21"/>
        </w:rPr>
        <w:t xml:space="preserve"> Added orchestration complexity; must not compromise DS-ARC-014's zero-cloud-provider functional guarantee.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Research Needed:</w:t>
      </w:r>
      <w:r>
        <w:rPr>
          <w:rFonts w:ascii="Arial" w:hAnsi="Arial"/>
          <w:b w:val="0"/>
          <w:i w:val="0"/>
          <w:sz w:val="21"/>
        </w:rPr>
        <w:t xml:space="preserve"> Routing-policy design; latency/resource-tradeoff evaluation.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Promotion Criteria:</w:t>
      </w:r>
      <w:r>
        <w:rPr>
          <w:rFonts w:ascii="Arial" w:hAnsi="Arial"/>
          <w:b w:val="0"/>
          <w:i w:val="0"/>
          <w:sz w:val="21"/>
        </w:rPr>
        <w:t xml:space="preserve"> A routing policy proposal that preserves DS-ARC-014's zero-cloud-dependency guarantee before promotion to a DS-004 requirement.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Related Features/Volumes:</w:t>
      </w:r>
      <w:r>
        <w:rPr>
          <w:rFonts w:ascii="Arial" w:hAnsi="Arial"/>
          <w:b w:val="0"/>
          <w:i w:val="0"/>
          <w:sz w:val="21"/>
        </w:rPr>
        <w:t xml:space="preserve"> DS-004 (DS-ARC-013/014).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Exploratory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Notes:</w:t>
      </w:r>
      <w:r>
        <w:rPr>
          <w:rFonts w:ascii="Arial" w:hAnsi="Arial"/>
          <w:b w:val="0"/>
          <w:i w:val="0"/>
          <w:sz w:val="21"/>
        </w:rPr>
        <w:t xml:space="preserve"> None.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DS-IDEA-009 — Model Ensemble / Specialist-Model Architecture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Combining outputs from multiple specialist models (e.g., one for pattern recognition, one for regime classification) rather than relying on a single general-purpose model.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Why It Is Interesting:</w:t>
      </w:r>
      <w:r>
        <w:rPr>
          <w:rFonts w:ascii="Arial" w:hAnsi="Arial"/>
          <w:b w:val="0"/>
          <w:i w:val="0"/>
          <w:sz w:val="21"/>
        </w:rPr>
        <w:t xml:space="preserve"> A common technique for improving robustness over any single model; aligns with the specialist-Agent ownership pattern </w:t>
      </w: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1"/>
        </w:rPr>
        <w:t xml:space="preserve"> already uses for human/AI contributor roles.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Potential DarkSage Value:</w:t>
      </w:r>
      <w:r>
        <w:rPr>
          <w:rFonts w:ascii="Arial" w:hAnsi="Arial"/>
          <w:b w:val="0"/>
          <w:i w:val="0"/>
          <w:sz w:val="21"/>
        </w:rPr>
        <w:t xml:space="preserve"> Could combine DS-IDEA-004 (Market Encoder) and DS-IDEA-006 (Regime Engine) outputs coherently.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Risks/Unknowns:</w:t>
      </w:r>
      <w:r>
        <w:rPr>
          <w:rFonts w:ascii="Arial" w:hAnsi="Arial"/>
          <w:b w:val="0"/>
          <w:i w:val="0"/>
          <w:sz w:val="21"/>
        </w:rPr>
        <w:t xml:space="preserve"> Ensemble disagreement handling must be explainable (DS-001 §15), not a black-box averaging step.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Research Needed:</w:t>
      </w:r>
      <w:r>
        <w:rPr>
          <w:rFonts w:ascii="Arial" w:hAnsi="Arial"/>
          <w:b w:val="0"/>
          <w:i w:val="0"/>
          <w:sz w:val="21"/>
        </w:rPr>
        <w:t xml:space="preserve"> Ensemble architecture design; disagreement-explanation methodology.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Promotion Criteria:</w:t>
      </w:r>
      <w:r>
        <w:rPr>
          <w:rFonts w:ascii="Arial" w:hAnsi="Arial"/>
          <w:b w:val="0"/>
          <w:i w:val="0"/>
          <w:sz w:val="21"/>
        </w:rPr>
        <w:t xml:space="preserve"> A specific ensemble proposal with explainable disagreement handling before promotion.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Related Features/Volumes:</w:t>
      </w:r>
      <w:r>
        <w:rPr>
          <w:rFonts w:ascii="Arial" w:hAnsi="Arial"/>
          <w:b w:val="0"/>
          <w:i w:val="0"/>
          <w:sz w:val="21"/>
        </w:rPr>
        <w:t xml:space="preserve"> DS-IDEA-004, DS-IDEA-006, DS-IDEA-008.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Exploratory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Notes:</w:t>
      </w:r>
      <w:r>
        <w:rPr>
          <w:rFonts w:ascii="Arial" w:hAnsi="Arial"/>
          <w:b w:val="0"/>
          <w:i w:val="0"/>
          <w:sz w:val="21"/>
        </w:rPr>
        <w:t xml:space="preserve"> None.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DS-IDEA-010 — Synthetic Market Generation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Generating synthetic (simulated, non-historical) market data for stress-testing strategies beyond available historical data.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Why It Is Interesting: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ROADMAP.md</w:t>
      </w:r>
      <w:r>
        <w:rPr>
          <w:rFonts w:ascii="Arial" w:hAnsi="Arial"/>
          <w:b w:val="0"/>
          <w:i w:val="0"/>
          <w:sz w:val="21"/>
        </w:rPr>
        <w:t xml:space="preserve"> Phase 8 already names Monte Carlo simulation and risk-of-ruin analysis directionally; synthetic generation is a plausible extension technique.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Potential DarkSage Value:</w:t>
      </w:r>
      <w:r>
        <w:rPr>
          <w:rFonts w:ascii="Arial" w:hAnsi="Arial"/>
          <w:b w:val="0"/>
          <w:i w:val="0"/>
          <w:sz w:val="21"/>
        </w:rPr>
        <w:t xml:space="preserve"> Backing technique for DS-BL-006 (Deeper Backtesting and Synthetic Scenario Testing, DS-013).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Risks/Unknowns:</w:t>
      </w:r>
      <w:r>
        <w:rPr>
          <w:rFonts w:ascii="Arial" w:hAnsi="Arial"/>
          <w:b w:val="0"/>
          <w:i w:val="0"/>
          <w:sz w:val="21"/>
        </w:rPr>
        <w:t xml:space="preserve"> A statistically invalid generation method could produce misleadingly favorable backtest results — must integrate with DS-BKT-003's look-ahead-bias/data-leakage discipline and be clearly labeled as synthetic per DS-PRD-008 wherever displayed.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Research Needed:</w:t>
      </w:r>
      <w:r>
        <w:rPr>
          <w:rFonts w:ascii="Arial" w:hAnsi="Arial"/>
          <w:b w:val="0"/>
          <w:i w:val="0"/>
          <w:sz w:val="21"/>
        </w:rPr>
        <w:t xml:space="preserve"> Generation-methodology survey (statistical resampling, bootstrapping, or generative modeling); statistical-validity evaluation methodology.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Promotion Criteria:</w:t>
      </w:r>
      <w:r>
        <w:rPr>
          <w:rFonts w:ascii="Arial" w:hAnsi="Arial"/>
          <w:b w:val="0"/>
          <w:i w:val="0"/>
          <w:sz w:val="21"/>
        </w:rPr>
        <w:t xml:space="preserve"> A generation methodology with demonstrated statistical validity before promotion to a DS-002 (DS-BKT) requirement.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Related Features/Volumes:</w:t>
      </w:r>
      <w:r>
        <w:rPr>
          <w:rFonts w:ascii="Arial" w:hAnsi="Arial"/>
          <w:b w:val="0"/>
          <w:i w:val="0"/>
          <w:sz w:val="21"/>
        </w:rPr>
        <w:t xml:space="preserve"> DS-BL-006 (DS-013, cross-referenced); DS-002 (DS-BKT-003/004).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Exploratory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Notes:</w:t>
      </w:r>
      <w:r>
        <w:rPr>
          <w:rFonts w:ascii="Arial" w:hAnsi="Arial"/>
          <w:b w:val="0"/>
          <w:i w:val="0"/>
          <w:sz w:val="21"/>
        </w:rPr>
        <w:t xml:space="preserve"> None.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DS-IDEA-011 — Cross-Asset Context Modeling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Modeling relationships between an analyzed security and broader market/sector/macro context (e.g., correlated assets, sector rotation signals) as additional evidence.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Why It Is Interesting: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ROADMAP.md</w:t>
      </w:r>
      <w:r>
        <w:rPr>
          <w:rFonts w:ascii="Arial" w:hAnsi="Arial"/>
          <w:b w:val="0"/>
          <w:i w:val="0"/>
          <w:sz w:val="21"/>
        </w:rPr>
        <w:t xml:space="preserve"> Phase 10 already names sector rotation and market breadth directionally; this idea explores a modeling approach to it.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Potential DarkSage Value:</w:t>
      </w:r>
      <w:r>
        <w:rPr>
          <w:rFonts w:ascii="Arial" w:hAnsi="Arial"/>
          <w:b w:val="0"/>
          <w:i w:val="0"/>
          <w:sz w:val="21"/>
        </w:rPr>
        <w:t xml:space="preserve"> Could enrich Sage's evidence base (DS-PRD-002) with cross-asset context.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Risks/Unknowns:</w:t>
      </w:r>
      <w:r>
        <w:rPr>
          <w:rFonts w:ascii="Arial" w:hAnsi="Arial"/>
          <w:b w:val="0"/>
          <w:i w:val="0"/>
          <w:sz w:val="21"/>
        </w:rPr>
        <w:t xml:space="preserve"> Added data-source dependency (sector/macro data feeds); must maintain per-source provenance.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Research Needed:</w:t>
      </w:r>
      <w:r>
        <w:rPr>
          <w:rFonts w:ascii="Arial" w:hAnsi="Arial"/>
          <w:b w:val="0"/>
          <w:i w:val="0"/>
          <w:sz w:val="21"/>
        </w:rPr>
        <w:t xml:space="preserve"> Data-source evaluation; modeling-approach survey.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Promotion Criteria:</w:t>
      </w:r>
      <w:r>
        <w:rPr>
          <w:rFonts w:ascii="Arial" w:hAnsi="Arial"/>
          <w:b w:val="0"/>
          <w:i w:val="0"/>
          <w:sz w:val="21"/>
        </w:rPr>
        <w:t xml:space="preserve"> A specific modeling approach and data-source plan before promotion.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Related Features/Volumes: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ROADMAP.md</w:t>
      </w:r>
      <w:r>
        <w:rPr>
          <w:rFonts w:ascii="Arial" w:hAnsi="Arial"/>
          <w:b w:val="0"/>
          <w:i w:val="0"/>
          <w:sz w:val="21"/>
        </w:rPr>
        <w:t xml:space="preserve"> Phase 10; DS-IDEA-003.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Exploratory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Notes:</w:t>
      </w:r>
      <w:r>
        <w:rPr>
          <w:rFonts w:ascii="Arial" w:hAnsi="Arial"/>
          <w:b w:val="0"/>
          <w:i w:val="0"/>
          <w:sz w:val="21"/>
        </w:rPr>
        <w:t xml:space="preserve"> None.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DS-IDEA-012 — Options and Order-Flow Intelligence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Analytical use of options-market data (e.g., unusual options activity, put/call skew) and order-flow data as market-intelligence evidence, distinct from options </w:t>
      </w:r>
      <w:r>
        <w:rPr>
          <w:rFonts w:ascii="Arial" w:hAnsi="Arial"/>
          <w:b w:val="0"/>
          <w:i/>
          <w:sz w:val="21"/>
        </w:rPr>
        <w:t>trading</w:t>
      </w:r>
      <w:r>
        <w:rPr>
          <w:rFonts w:ascii="Arial" w:hAnsi="Arial"/>
          <w:b w:val="0"/>
          <w:i w:val="0"/>
          <w:sz w:val="21"/>
        </w:rPr>
        <w:t xml:space="preserve"> (DS-BL-007).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Why It Is Interesting:</w:t>
      </w:r>
      <w:r>
        <w:rPr>
          <w:rFonts w:ascii="Arial" w:hAnsi="Arial"/>
          <w:b w:val="0"/>
          <w:i w:val="0"/>
          <w:sz w:val="21"/>
        </w:rPr>
        <w:t xml:space="preserve"> Options/order-flow data can carry information about market participants' expectations even for an equities-focused platform.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Potential DarkSage Value:</w:t>
      </w:r>
      <w:r>
        <w:rPr>
          <w:rFonts w:ascii="Arial" w:hAnsi="Arial"/>
          <w:b w:val="0"/>
          <w:i w:val="0"/>
          <w:sz w:val="21"/>
        </w:rPr>
        <w:t xml:space="preserve"> A market-intelligence evidence source, not necessarily requiring options trading capability itself.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Risks/Unknowns:</w:t>
      </w:r>
      <w:r>
        <w:rPr>
          <w:rFonts w:ascii="Arial" w:hAnsi="Arial"/>
          <w:b w:val="0"/>
          <w:i w:val="0"/>
          <w:sz w:val="21"/>
        </w:rPr>
        <w:t xml:space="preserve"> Options/order-flow data licensing is typically more expensive and specialized than equities data.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Research Needed:</w:t>
      </w:r>
      <w:r>
        <w:rPr>
          <w:rFonts w:ascii="Arial" w:hAnsi="Arial"/>
          <w:b w:val="0"/>
          <w:i w:val="0"/>
          <w:sz w:val="21"/>
        </w:rPr>
        <w:t xml:space="preserve"> Data-source and licensing evaluation; distinguishing this evidence-only use from DS-BL-007's options-trading scope.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Promotion Criteria:</w:t>
      </w:r>
      <w:r>
        <w:rPr>
          <w:rFonts w:ascii="Arial" w:hAnsi="Arial"/>
          <w:b w:val="0"/>
          <w:i w:val="0"/>
          <w:sz w:val="21"/>
        </w:rPr>
        <w:t xml:space="preserve"> Data-source licensing/cost evaluated before promotion to a DS-013 backlog item.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Related Features/Volumes:</w:t>
      </w:r>
      <w:r>
        <w:rPr>
          <w:rFonts w:ascii="Arial" w:hAnsi="Arial"/>
          <w:b w:val="0"/>
          <w:i w:val="0"/>
          <w:sz w:val="21"/>
        </w:rPr>
        <w:t xml:space="preserve"> DS-BL-007 (DS-013, related but distinct scope).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Exploratory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Notes:</w:t>
      </w:r>
      <w:r>
        <w:rPr>
          <w:rFonts w:ascii="Arial" w:hAnsi="Arial"/>
          <w:b w:val="0"/>
          <w:i w:val="0"/>
          <w:sz w:val="21"/>
        </w:rPr>
        <w:t xml:space="preserve"> None.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DS-IDEA-013 — SEC Filing, News, and Fundamental Fusion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Combining SEC filing data, news, and fundamental data into DarkSage's evidence base for Sage and Signal explanations.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Why It Is Interesting:</w:t>
      </w:r>
      <w:r>
        <w:rPr>
          <w:rFonts w:ascii="Arial" w:hAnsi="Arial"/>
          <w:b w:val="0"/>
          <w:i w:val="0"/>
          <w:sz w:val="21"/>
        </w:rPr>
        <w:t xml:space="preserve"> A concrete, well-precedented data-fusion direction (many trading-intelligence products already do this) with clear evidentiary value.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Potential DarkSage Value:</w:t>
      </w:r>
      <w:r>
        <w:rPr>
          <w:rFonts w:ascii="Arial" w:hAnsi="Arial"/>
          <w:b w:val="0"/>
          <w:i w:val="0"/>
          <w:sz w:val="21"/>
        </w:rPr>
        <w:t xml:space="preserve"> Directly serves DS-PRD-002's evidence-provenance principle by adding well-attributable evidence types.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Risks/Unknowns:</w:t>
      </w:r>
      <w:r>
        <w:rPr>
          <w:rFonts w:ascii="Arial" w:hAnsi="Arial"/>
          <w:b w:val="0"/>
          <w:i w:val="0"/>
          <w:sz w:val="21"/>
        </w:rPr>
        <w:t xml:space="preserve"> Data-source licensing (SEC filings are public, but aggregation/normalization services often are not); staleness must be disclosed per DS-PRD-008.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Research Needed:</w:t>
      </w:r>
      <w:r>
        <w:rPr>
          <w:rFonts w:ascii="Arial" w:hAnsi="Arial"/>
          <w:b w:val="0"/>
          <w:i w:val="0"/>
          <w:sz w:val="21"/>
        </w:rPr>
        <w:t xml:space="preserve"> Data-source and licensing evaluation.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Promotion Criteria:</w:t>
      </w:r>
      <w:r>
        <w:rPr>
          <w:rFonts w:ascii="Arial" w:hAnsi="Arial"/>
          <w:b w:val="0"/>
          <w:i w:val="0"/>
          <w:sz w:val="21"/>
        </w:rPr>
        <w:t xml:space="preserve"> Data-source plan and licensing evaluation complete before promotion to a DS-013 backlog item.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Related Features/Volumes:</w:t>
      </w:r>
      <w:r>
        <w:rPr>
          <w:rFonts w:ascii="Arial" w:hAnsi="Arial"/>
          <w:b w:val="0"/>
          <w:i w:val="0"/>
          <w:sz w:val="21"/>
        </w:rPr>
        <w:t xml:space="preserve"> DS-IDEA-003, DS-IDEA-007.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Exploratory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Notes:</w:t>
      </w:r>
      <w:r>
        <w:rPr>
          <w:rFonts w:ascii="Arial" w:hAnsi="Arial"/>
          <w:b w:val="0"/>
          <w:i w:val="0"/>
          <w:sz w:val="21"/>
        </w:rPr>
        <w:t xml:space="preserve"> None.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6.4 Agents, Workspace, and Coordination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DS-IDEA-014 — Autonomous Research Agents with Strict Boundaries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AI agents that autonomously conduct market research (gathering evidence, summarizing) within strictly defined, non-execution boundaries — never trading, never bypassing the deterministic core.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Why It Is Interesting:</w:t>
      </w:r>
      <w:r>
        <w:rPr>
          <w:rFonts w:ascii="Arial" w:hAnsi="Arial"/>
          <w:b w:val="0"/>
          <w:i w:val="0"/>
          <w:sz w:val="21"/>
        </w:rPr>
        <w:t xml:space="preserve"> Could extend Sage's research capability beyond a single conversational turn, while remaining fully within DS-003's Core Rule boundary.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Potential DarkSage Value:</w:t>
      </w:r>
      <w:r>
        <w:rPr>
          <w:rFonts w:ascii="Arial" w:hAnsi="Arial"/>
          <w:b w:val="0"/>
          <w:i w:val="0"/>
          <w:sz w:val="21"/>
        </w:rPr>
        <w:t xml:space="preserve"> A potential Phase-6+ Sage capability extension, strictly advisory.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Risks/Unknowns:</w:t>
      </w:r>
      <w:r>
        <w:rPr>
          <w:rFonts w:ascii="Arial" w:hAnsi="Arial"/>
          <w:b w:val="0"/>
          <w:i w:val="0"/>
          <w:sz w:val="21"/>
        </w:rPr>
        <w:t xml:space="preserve"> Autonomous agent behavior is inherently harder to bound and audit than single-turn interaction; must never approach DS-EXE-001's execution boundary even indirectly.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Research Needed:</w:t>
      </w:r>
      <w:r>
        <w:rPr>
          <w:rFonts w:ascii="Arial" w:hAnsi="Arial"/>
          <w:b w:val="0"/>
          <w:i w:val="0"/>
          <w:sz w:val="21"/>
        </w:rPr>
        <w:t xml:space="preserve"> Boundary-enforcement architecture; audit/observability requirements for autonomous multi-step agent behavior.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Promotion Criteria:</w:t>
      </w:r>
      <w:r>
        <w:rPr>
          <w:rFonts w:ascii="Arial" w:hAnsi="Arial"/>
          <w:b w:val="0"/>
          <w:i w:val="0"/>
          <w:sz w:val="21"/>
        </w:rPr>
        <w:t xml:space="preserve"> A boundary-enforcement design independently reviewed against DS-EXE-001/DS-SCA-012 before any promotion.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Related Features/Volumes:</w:t>
      </w:r>
      <w:r>
        <w:rPr>
          <w:rFonts w:ascii="Arial" w:hAnsi="Arial"/>
          <w:b w:val="0"/>
          <w:i w:val="0"/>
          <w:sz w:val="21"/>
        </w:rPr>
        <w:t xml:space="preserve"> DS-003 (Core Rule), DS-002 (DS-EXE-001), DS-008 (DS-SCA-012).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Exploratory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Notes:</w:t>
      </w:r>
      <w:r>
        <w:rPr>
          <w:rFonts w:ascii="Arial" w:hAnsi="Arial"/>
          <w:b w:val="0"/>
          <w:i w:val="0"/>
          <w:sz w:val="21"/>
        </w:rPr>
        <w:t xml:space="preserve"> High-sensitivity idea given its proximity to execution boundaries; any future work here should treat DS-EXE-001's governance boundary as non-negotiable regardless of implementation sophistication.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DS-IDEA-015 — Advanced Workspace Studio Concepts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Workspace Studio ideas beyond DS-WKS-001–006's current scope — e.g., workspace templates shared across purposes, AI-suggested layouts, context-sensitive widget recommendations.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Why It Is Interesting:</w:t>
      </w:r>
      <w:r>
        <w:rPr>
          <w:rFonts w:ascii="Arial" w:hAnsi="Arial"/>
          <w:b w:val="0"/>
          <w:i w:val="0"/>
          <w:sz w:val="21"/>
        </w:rPr>
        <w:t xml:space="preserve"> DS-001 §19.1's Workspace Studio Vision is intentionally broad ("may support... purpose-specific workspaces, user-selected information density, and multi-monitor workflows"), leaving room for further ideas beyond what DS-WKS/DS-UX have already captured.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Potential DarkSage Value:</w:t>
      </w:r>
      <w:r>
        <w:rPr>
          <w:rFonts w:ascii="Arial" w:hAnsi="Arial"/>
          <w:b w:val="0"/>
          <w:i w:val="0"/>
          <w:sz w:val="21"/>
        </w:rPr>
        <w:t xml:space="preserve"> Could inform future DS-WKS/DS-UX requirement authoring.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Risks/Unknowns:</w:t>
      </w:r>
      <w:r>
        <w:rPr>
          <w:rFonts w:ascii="Arial" w:hAnsi="Arial"/>
          <w:b w:val="0"/>
          <w:i w:val="0"/>
          <w:sz w:val="21"/>
        </w:rPr>
        <w:t xml:space="preserve"> Must preserve Presentation Independence (ADR-004) regardless of how sophisticated workspace suggestions become.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Research Needed:</w:t>
      </w:r>
      <w:r>
        <w:rPr>
          <w:rFonts w:ascii="Arial" w:hAnsi="Arial"/>
          <w:b w:val="0"/>
          <w:i w:val="0"/>
          <w:sz w:val="21"/>
        </w:rPr>
        <w:t xml:space="preserve"> UX research on workspace customization patterns in comparable products.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Promotion Criteria:</w:t>
      </w:r>
      <w:r>
        <w:rPr>
          <w:rFonts w:ascii="Arial" w:hAnsi="Arial"/>
          <w:b w:val="0"/>
          <w:i w:val="0"/>
          <w:sz w:val="21"/>
        </w:rPr>
        <w:t xml:space="preserve"> A specific concept well-defined enough for a DS-013 backlog item.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Related Features/Volumes:</w:t>
      </w:r>
      <w:r>
        <w:rPr>
          <w:rFonts w:ascii="Arial" w:hAnsi="Arial"/>
          <w:b w:val="0"/>
          <w:i w:val="0"/>
          <w:sz w:val="21"/>
        </w:rPr>
        <w:t xml:space="preserve"> DS-BL-016 (DS-013, related); DS-002 (DS-WKS), DS-007 (DS-UX-001).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Exploratory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Notes:</w:t>
      </w:r>
      <w:r>
        <w:rPr>
          <w:rFonts w:ascii="Arial" w:hAnsi="Arial"/>
          <w:b w:val="0"/>
          <w:i w:val="0"/>
          <w:sz w:val="21"/>
        </w:rPr>
        <w:t xml:space="preserve"> None.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DS-IDEA-016 — Future Multi-Device Coordination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Coordinated state/notification handoff across desktop and mobile beyond DS-ARC-003's baseline cross-client consistency — e.g., "continue on mobile" handoff, synchronized alert acknowledgment.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Why It Is Interesting:</w:t>
      </w:r>
      <w:r>
        <w:rPr>
          <w:rFonts w:ascii="Arial" w:hAnsi="Arial"/>
          <w:b w:val="0"/>
          <w:i w:val="0"/>
          <w:sz w:val="21"/>
        </w:rPr>
        <w:t xml:space="preserve"> A natural extension once both desktop and mobile clients exist (Phase 9+).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Potential DarkSage Value:</w:t>
      </w:r>
      <w:r>
        <w:rPr>
          <w:rFonts w:ascii="Arial" w:hAnsi="Arial"/>
          <w:b w:val="0"/>
          <w:i w:val="0"/>
          <w:sz w:val="21"/>
        </w:rPr>
        <w:t xml:space="preserve"> Improved cross-device UX built on the already-Committed backend-authoritative-state foundation (DS-ARC-001).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Risks/Unknowns:</w:t>
      </w:r>
      <w:r>
        <w:rPr>
          <w:rFonts w:ascii="Arial" w:hAnsi="Arial"/>
          <w:b w:val="0"/>
          <w:i w:val="0"/>
          <w:sz w:val="21"/>
        </w:rPr>
        <w:t xml:space="preserve"> None beyond standard multi-client synchronization complexity.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Research Needed:</w:t>
      </w:r>
      <w:r>
        <w:rPr>
          <w:rFonts w:ascii="Arial" w:hAnsi="Arial"/>
          <w:b w:val="0"/>
          <w:i w:val="0"/>
          <w:sz w:val="21"/>
        </w:rPr>
        <w:t xml:space="preserve"> UX research on handoff patterns.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Promotion Criteria:</w:t>
      </w:r>
      <w:r>
        <w:rPr>
          <w:rFonts w:ascii="Arial" w:hAnsi="Arial"/>
          <w:b w:val="0"/>
          <w:i w:val="0"/>
          <w:sz w:val="21"/>
        </w:rPr>
        <w:t xml:space="preserve"> A specific handoff concept defined once Phase 9's mobile baseline exists.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Related Features/Volumes:</w:t>
      </w:r>
      <w:r>
        <w:rPr>
          <w:rFonts w:ascii="Arial" w:hAnsi="Arial"/>
          <w:b w:val="0"/>
          <w:i w:val="0"/>
          <w:sz w:val="21"/>
        </w:rPr>
        <w:t xml:space="preserve"> DS-BL-015 (DS-013, related); DS-004 (DS-ARC-003).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Exploratory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Notes:</w:t>
      </w:r>
      <w:r>
        <w:rPr>
          <w:rFonts w:ascii="Arial" w:hAnsi="Arial"/>
          <w:b w:val="0"/>
          <w:i w:val="0"/>
          <w:sz w:val="21"/>
        </w:rPr>
        <w:t xml:space="preserve"> None.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DS-IDEA-017 — DarkSage Agent Bridge / MCP Orchestration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A bridge/orchestration layer allowing DarkSage's AI capabilities to interoperate with external agent/tool-orchestration protocols (e.g., Model Context Protocol-style tool interfaces), for structured tool-calling between Sage and deterministic backend services.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Why It Is Interesting:</w:t>
      </w:r>
      <w:r>
        <w:rPr>
          <w:rFonts w:ascii="Arial" w:hAnsi="Arial"/>
          <w:b w:val="0"/>
          <w:i w:val="0"/>
          <w:sz w:val="21"/>
        </w:rPr>
        <w:t xml:space="preserve"> Could formalize how Sage invokes deterministic tools (DS-AI-002, DS-SGE-006) using an emerging standard interface pattern rather than a bespoke one.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Potential DarkSage Value:</w:t>
      </w:r>
      <w:r>
        <w:rPr>
          <w:rFonts w:ascii="Arial" w:hAnsi="Arial"/>
          <w:b w:val="0"/>
          <w:i w:val="0"/>
          <w:sz w:val="21"/>
        </w:rPr>
        <w:t xml:space="preserve"> Cleaner separation between Sage's reasoning layer and the deterministic services it queries, potentially easing DS-PRD-001's model-independence goal.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Risks/Unknowns:</w:t>
      </w:r>
      <w:r>
        <w:rPr>
          <w:rFonts w:ascii="Arial" w:hAnsi="Arial"/>
          <w:b w:val="0"/>
          <w:i w:val="0"/>
          <w:sz w:val="21"/>
        </w:rPr>
        <w:t xml:space="preserve"> Any such bridge must still route every tool call through DS-PRD-011's AI-output-validation boundary; a generic orchestration protocol must not become a bypass path around DS-EXE-001.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Research Needed:</w:t>
      </w:r>
      <w:r>
        <w:rPr>
          <w:rFonts w:ascii="Arial" w:hAnsi="Arial"/>
          <w:b w:val="0"/>
          <w:i w:val="0"/>
          <w:sz w:val="21"/>
        </w:rPr>
        <w:t xml:space="preserve"> Protocol survey; security review of tool-calling boundary enforcement.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Promotion Criteria:</w:t>
      </w:r>
      <w:r>
        <w:rPr>
          <w:rFonts w:ascii="Arial" w:hAnsi="Arial"/>
          <w:b w:val="0"/>
          <w:i w:val="0"/>
          <w:sz w:val="21"/>
        </w:rPr>
        <w:t xml:space="preserve"> A design demonstrating the validation/execution boundaries are preserved before promotion.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Related Features/Volumes:</w:t>
      </w:r>
      <w:r>
        <w:rPr>
          <w:rFonts w:ascii="Arial" w:hAnsi="Arial"/>
          <w:b w:val="0"/>
          <w:i w:val="0"/>
          <w:sz w:val="21"/>
        </w:rPr>
        <w:t xml:space="preserve"> DS-003 (DS-SGE-006), DS-002 (DS-PRD-011), DS-008 (DS-SCA-008).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Exploratory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Notes:</w:t>
      </w:r>
      <w:r>
        <w:rPr>
          <w:rFonts w:ascii="Arial" w:hAnsi="Arial"/>
          <w:b w:val="0"/>
          <w:i w:val="0"/>
          <w:sz w:val="21"/>
        </w:rPr>
        <w:t xml:space="preserve"> This is a technical/architectural idea about Sage's own tool-calling infrastructure — distinct from and not to be confused with this Codex's own authoring-process tooling.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DS-IDEA-018 — Keeper and Development-Assistant Shared Workflow Concepts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Ideas for improving this Codex's own authoring/audit/governance workflow — e.g., more automated cross-reference checking, structured findings export formats.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Why It Is Interesting:</w:t>
      </w:r>
      <w:r>
        <w:rPr>
          <w:rFonts w:ascii="Arial" w:hAnsi="Arial"/>
          <w:b w:val="0"/>
          <w:i w:val="0"/>
          <w:sz w:val="21"/>
        </w:rPr>
        <w:t xml:space="preserve"> This Codex has now completed 14 volumes using a consistent author → self-verify → independent-audit → repair cycle; patterns worth formalizing may exist.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Potential DarkSage Value:</w:t>
      </w:r>
      <w:r>
        <w:rPr>
          <w:rFonts w:ascii="Arial" w:hAnsi="Arial"/>
          <w:b w:val="0"/>
          <w:i w:val="0"/>
          <w:sz w:val="21"/>
        </w:rPr>
        <w:t xml:space="preserve"> Process efficiency for future Codex authoring/maintenance, not a product capability.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Risks/Unknowns:</w:t>
      </w:r>
      <w:r>
        <w:rPr>
          <w:rFonts w:ascii="Arial" w:hAnsi="Arial"/>
          <w:b w:val="0"/>
          <w:i w:val="0"/>
          <w:sz w:val="21"/>
        </w:rPr>
        <w:t xml:space="preserve"> Any tooling built for this purpose is internal development process, not product functionality — must remain clearly separated from DarkSage's own public product scope (DS-DEV-024's tool-neutral public-repository requirement applies to any resulting artifacts).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Research Needed:</w:t>
      </w:r>
      <w:r>
        <w:rPr>
          <w:rFonts w:ascii="Arial" w:hAnsi="Arial"/>
          <w:b w:val="0"/>
          <w:i w:val="0"/>
          <w:sz w:val="21"/>
        </w:rPr>
        <w:t xml:space="preserve"> Retrospective analysis of this Codex's own authoring history for repeated patterns worth automating.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Promotion Criteria:</w:t>
      </w:r>
      <w:r>
        <w:rPr>
          <w:rFonts w:ascii="Arial" w:hAnsi="Arial"/>
          <w:b w:val="0"/>
          <w:i w:val="0"/>
          <w:sz w:val="21"/>
        </w:rPr>
        <w:t xml:space="preserve"> Not applicable to DS-013 product-feature promotion — this idea, if pursued, would inform DS-010 process documentation or another public, committed process record, not a product requirement. Any local, non-committed workflow file that happens to implement a resulting practice does so only as operational convenience and is never cited here as this idea's authority or destination (DS-DEV-025's local-workflow-authority rule).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Related Features/Volumes:</w:t>
      </w:r>
      <w:r>
        <w:rPr>
          <w:rFonts w:ascii="Arial" w:hAnsi="Arial"/>
          <w:b w:val="0"/>
          <w:i w:val="0"/>
          <w:sz w:val="21"/>
        </w:rPr>
        <w:t xml:space="preserve"> DS-010 (development standards).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Exploratory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Notes:</w:t>
      </w:r>
      <w:r>
        <w:rPr>
          <w:rFonts w:ascii="Arial" w:hAnsi="Arial"/>
          <w:b w:val="0"/>
          <w:i w:val="0"/>
          <w:sz w:val="21"/>
        </w:rPr>
        <w:t xml:space="preserve"> This idea concerns DarkSage's own engineering process, not a DarkSage product feature — it is recorded here for completeness per the batch instruction but would never itself become a DS-002+ requirement; at most it could inform a future DS-010 revision.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6.5 Sage Model Training and Specialization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DS-IDEA-019 — Training Sage as a Dedicated Local/Open-Weight Model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Training or fine-tuning a dedicated open-weight model specifically for Sage's role, rather than relying solely on general-purpose local/cloud providers.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Why It Is Interesting:</w:t>
      </w:r>
      <w:r>
        <w:rPr>
          <w:rFonts w:ascii="Arial" w:hAnsi="Arial"/>
          <w:b w:val="0"/>
          <w:i w:val="0"/>
          <w:sz w:val="21"/>
        </w:rPr>
        <w:t xml:space="preserve"> Could improve Sage's domain fluency and reduce dependency on any single external provider, advancing DS-PRD-001's model-independence goal further.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Potential DarkSage Value:</w:t>
      </w:r>
      <w:r>
        <w:rPr>
          <w:rFonts w:ascii="Arial" w:hAnsi="Arial"/>
          <w:b w:val="0"/>
          <w:i w:val="0"/>
          <w:sz w:val="21"/>
        </w:rPr>
        <w:t xml:space="preserve"> A deeper investment in local-first AI (DS-ARC-014) beyond the general-purpose provider-abstraction baseline.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Risks/Unknowns:</w:t>
      </w:r>
      <w:r>
        <w:rPr>
          <w:rFonts w:ascii="Arial" w:hAnsi="Arial"/>
          <w:b w:val="0"/>
          <w:i w:val="0"/>
          <w:sz w:val="21"/>
        </w:rPr>
        <w:t xml:space="preserve"> Training cost and expertise requirements are substantial; base open-weight model licensing must be reviewed; base model weights are untrusted artifacts until provenance/integrity is verified; training-data composition of the base model may carry privacy or supply-chain exposure not yet assessed.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Research Needed:</w:t>
      </w:r>
      <w:r>
        <w:rPr>
          <w:rFonts w:ascii="Arial" w:hAnsi="Arial"/>
          <w:b w:val="0"/>
          <w:i w:val="0"/>
          <w:sz w:val="21"/>
        </w:rPr>
        <w:t xml:space="preserve"> All nine of DS-IDG-004's mandatory gates (licensing, independent benchmarking, compute requirements, privacy, security per DS-008, model-supply-chain risk, untrusted-artifact/weight handling, integration-boundary risk, operational feasibility) applied to each candidate base model, plus training/fine-tuning cost estimate.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Promotion Criteria:</w:t>
      </w:r>
      <w:r>
        <w:rPr>
          <w:rFonts w:ascii="Arial" w:hAnsi="Arial"/>
          <w:b w:val="0"/>
          <w:i w:val="0"/>
          <w:sz w:val="21"/>
        </w:rPr>
        <w:t xml:space="preserve"> A specific base model with all nine DS-IDG-004 gates satisfied and recorded, and a training plan benchmarked against general-purpose providers, before promotion.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Related Features/Volumes:</w:t>
      </w:r>
      <w:r>
        <w:rPr>
          <w:rFonts w:ascii="Arial" w:hAnsi="Arial"/>
          <w:b w:val="0"/>
          <w:i w:val="0"/>
          <w:sz w:val="21"/>
        </w:rPr>
        <w:t xml:space="preserve"> DS-BL-018 (DS-013, cross-referenced); DS-IDEA-001, DS-IDEA-020.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Exploratory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Notes:</w:t>
      </w:r>
      <w:r>
        <w:rPr>
          <w:rFonts w:ascii="Arial" w:hAnsi="Arial"/>
          <w:b w:val="0"/>
          <w:i w:val="0"/>
          <w:sz w:val="21"/>
        </w:rPr>
        <w:t xml:space="preserve"> Any candidate base/open-weight model is a third-party model candidate under DS-IDG-004 and subject to its full nine-gate review before promotion.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DS-IDEA-020 — Distillation and Adapter-Based Specialization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Using knowledge distillation or lightweight adapter techniques (e.g., LoRA-style) to specialize a smaller local model from a larger reference model's behavior, as a lower-cost alternative to full training (DS-IDEA-019).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Why It Is Interesting:</w:t>
      </w:r>
      <w:r>
        <w:rPr>
          <w:rFonts w:ascii="Arial" w:hAnsi="Arial"/>
          <w:b w:val="0"/>
          <w:i w:val="0"/>
          <w:sz w:val="21"/>
        </w:rPr>
        <w:t xml:space="preserve"> Adapter-based approaches are typically far cheaper than full fine-tuning while still providing meaningful specialization.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Potential DarkSage Value:</w:t>
      </w:r>
      <w:r>
        <w:rPr>
          <w:rFonts w:ascii="Arial" w:hAnsi="Arial"/>
          <w:b w:val="0"/>
          <w:i w:val="0"/>
          <w:sz w:val="21"/>
        </w:rPr>
        <w:t xml:space="preserve"> A more tractable near-term path toward DS-BL-018/021's specialized-model goals than full training.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Risks/Unknowns:</w:t>
      </w:r>
      <w:r>
        <w:rPr>
          <w:rFonts w:ascii="Arial" w:hAnsi="Arial"/>
          <w:b w:val="0"/>
          <w:i w:val="0"/>
          <w:sz w:val="21"/>
        </w:rPr>
        <w:t xml:space="preserve"> Distillation from a licensed reference model may carry redistribution restrictions; the reference model's weights are an untrusted artifact until verified; requires the same full review as any other referenced model (DS-IDG-004), not licensing alone.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Research Needed:</w:t>
      </w:r>
      <w:r>
        <w:rPr>
          <w:rFonts w:ascii="Arial" w:hAnsi="Arial"/>
          <w:b w:val="0"/>
          <w:i w:val="0"/>
          <w:sz w:val="21"/>
        </w:rPr>
        <w:t xml:space="preserve"> Technique survey; all nine of DS-IDG-004's mandatory gates applied to each candidate reference/base model.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Promotion Criteria:</w:t>
      </w:r>
      <w:r>
        <w:rPr>
          <w:rFonts w:ascii="Arial" w:hAnsi="Arial"/>
          <w:b w:val="0"/>
          <w:i w:val="0"/>
          <w:sz w:val="21"/>
        </w:rPr>
        <w:t xml:space="preserve"> A specific technique and target model pair, with all nine DS-IDG-004 gates satisfied and recorded, before promotion.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Related Features/Volumes:</w:t>
      </w:r>
      <w:r>
        <w:rPr>
          <w:rFonts w:ascii="Arial" w:hAnsi="Arial"/>
          <w:b w:val="0"/>
          <w:i w:val="0"/>
          <w:sz w:val="21"/>
        </w:rPr>
        <w:t xml:space="preserve"> DS-BL-018, DS-BL-021 (DS-013, cross-referenced); DS-IDEA-002, DS-IDEA-019.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Exploratory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Notes:</w:t>
      </w:r>
      <w:r>
        <w:rPr>
          <w:rFonts w:ascii="Arial" w:hAnsi="Arial"/>
          <w:b w:val="0"/>
          <w:i w:val="0"/>
          <w:sz w:val="21"/>
        </w:rPr>
        <w:t xml:space="preserve"> Any candidate reference/base model for distillation is a third-party model candidate under DS-IDG-004 and subject to its full nine-gate review before promotion.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6.6 Broader Research Direction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DS-IDEA-025 — Future Research into Additional Open Financial Models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An ongoing, general-purpose research watch for newly published open-weight or open-research financial/market models beyond Kronos (DS-IDEA-002), to be evaluated as they emerge.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Why It Is Interesting:</w:t>
      </w:r>
      <w:r>
        <w:rPr>
          <w:rFonts w:ascii="Arial" w:hAnsi="Arial"/>
          <w:b w:val="0"/>
          <w:i w:val="0"/>
          <w:sz w:val="21"/>
        </w:rPr>
        <w:t xml:space="preserve"> The open financial-modeling research landscape is active and evolving; a standing watch avoids anchoring exclusively on any one reference.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Potential DarkSage Value:</w:t>
      </w:r>
      <w:r>
        <w:rPr>
          <w:rFonts w:ascii="Arial" w:hAnsi="Arial"/>
          <w:b w:val="0"/>
          <w:i w:val="0"/>
          <w:sz w:val="21"/>
        </w:rPr>
        <w:t xml:space="preserve"> Keeps DS-IDEA-001's foundation-model research track informed by the broader field rather than a single reference point.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Risks/Unknowns:</w:t>
      </w:r>
      <w:r>
        <w:rPr>
          <w:rFonts w:ascii="Arial" w:hAnsi="Arial"/>
          <w:b w:val="0"/>
          <w:i w:val="0"/>
          <w:sz w:val="21"/>
        </w:rPr>
        <w:t xml:space="preserve"> None specific — this is a research-monitoring practice, not a technical commitment.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Research Needed:</w:t>
      </w:r>
      <w:r>
        <w:rPr>
          <w:rFonts w:ascii="Arial" w:hAnsi="Arial"/>
          <w:b w:val="0"/>
          <w:i w:val="0"/>
          <w:sz w:val="21"/>
        </w:rPr>
        <w:t xml:space="preserve"> Ongoing literature/release monitoring; no fixed endpoint.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Promotion Criteria:</w:t>
      </w:r>
      <w:r>
        <w:rPr>
          <w:rFonts w:ascii="Arial" w:hAnsi="Arial"/>
          <w:b w:val="0"/>
          <w:i w:val="0"/>
          <w:sz w:val="21"/>
        </w:rPr>
        <w:t xml:space="preserve"> A specific newly-identified model is promoted into its own dedicated </w:t>
      </w:r>
      <w:r>
        <w:rPr>
          <w:rFonts w:ascii="Consolas" w:hAnsi="Consolas"/>
          <w:b w:val="0"/>
          <w:i w:val="0"/>
          <w:sz w:val="20"/>
        </w:rPr>
        <w:t>DS-IDEA-NNN</w:t>
      </w:r>
      <w:r>
        <w:rPr>
          <w:rFonts w:ascii="Arial" w:hAnsi="Arial"/>
          <w:b w:val="0"/>
          <w:i w:val="0"/>
          <w:sz w:val="21"/>
        </w:rPr>
        <w:t xml:space="preserve"> entry (following DS-IDG-004's treatment rule) once it merits individual tracking, rather than being folded into this general entry indefinitely.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Related Features/Volumes:</w:t>
      </w:r>
      <w:r>
        <w:rPr>
          <w:rFonts w:ascii="Arial" w:hAnsi="Arial"/>
          <w:b w:val="0"/>
          <w:i w:val="0"/>
          <w:sz w:val="21"/>
        </w:rPr>
        <w:t xml:space="preserve"> DS-IDEA-001, DS-IDEA-002.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Under Active Research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Notes:</w:t>
      </w:r>
      <w:r>
        <w:rPr>
          <w:rFonts w:ascii="Arial" w:hAnsi="Arial"/>
          <w:b w:val="0"/>
          <w:i w:val="0"/>
          <w:sz w:val="21"/>
        </w:rPr>
        <w:t xml:space="preserve"> This entry is intentionally open-ended; per DS-IDG-004, any specific model surfaced through this research is treated with the same non-dependency, non-superiority, evaluation-required discipline as Kronos.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7. Non-Goals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DS-014 does not: commit any idea to Committed, Planned, or Approved-Future status by virtue of inclusion (DS-IDG-001); assume any named external model or research reference is superior, adopted, or a dependency without independent benchmarking and licensing review (DS-IDG-004); duplicate DS-013's productized-candidate content as a second, competing description (DS-IDG-005 — cross-reference instead); or commit to a specific AI/ML architecture, training approach, or vendor.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8. Dependencies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DS-001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Arial" w:hAnsi="Arial"/>
          <w:b w:val="0"/>
          <w:i w:val="0"/>
          <w:sz w:val="21"/>
        </w:rPr>
        <w:t>DS-002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Arial" w:hAnsi="Arial"/>
          <w:b w:val="0"/>
          <w:i w:val="0"/>
          <w:sz w:val="21"/>
        </w:rPr>
        <w:t>DS-003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Arial" w:hAnsi="Arial"/>
          <w:b w:val="0"/>
          <w:i w:val="0"/>
          <w:sz w:val="21"/>
        </w:rPr>
        <w:t>DS-004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Arial" w:hAnsi="Arial"/>
          <w:b w:val="0"/>
          <w:i w:val="0"/>
          <w:sz w:val="21"/>
        </w:rPr>
        <w:t>DS-009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DS-013</w:t>
      </w:r>
      <w:r>
        <w:rPr>
          <w:rFonts w:ascii="Arial" w:hAnsi="Arial"/>
          <w:b w:val="0"/>
          <w:i w:val="0"/>
          <w:sz w:val="21"/>
        </w:rPr>
        <w:t xml:space="preserve"> (this batch, cross-referenced items)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ROADMAP.md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PROJECT_SPEC.md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9. Risks and Constraints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Classification discipline:</w:t>
      </w:r>
      <w:r>
        <w:rPr>
          <w:rFonts w:ascii="Arial" w:hAnsi="Arial"/>
          <w:b w:val="0"/>
          <w:i w:val="0"/>
          <w:sz w:val="21"/>
        </w:rPr>
        <w:t xml:space="preserve"> no idea carries a Release Classification; every idea explicitly states Research Needed and Promotion Criteria rather than implying current direction.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Third-party model discipline:</w:t>
      </w:r>
      <w:r>
        <w:rPr>
          <w:rFonts w:ascii="Arial" w:hAnsi="Arial"/>
          <w:b w:val="0"/>
          <w:i w:val="0"/>
          <w:sz w:val="21"/>
        </w:rPr>
        <w:t xml:space="preserve"> every idea naming an external model/reference (DS-IDEA-002, and any future entries under DS-IDEA-025's ongoing watch) explicitly carries DS-IDG-004's non-dependency, non-superiority, evaluation-required treatment — preventing this document from becoming an implicit roadmap toward any specific external technology.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Process-vs-product boundary:</w:t>
      </w:r>
      <w:r>
        <w:rPr>
          <w:rFonts w:ascii="Arial" w:hAnsi="Arial"/>
          <w:b w:val="0"/>
          <w:i w:val="0"/>
          <w:sz w:val="21"/>
        </w:rPr>
        <w:t xml:space="preserve"> DS-IDEA-018 (Codex workflow concepts) is explicitly flagged as concerning DarkSage's own engineering process rather than a product feature, to prevent it from being mistaken for a product-backlog candidate.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10. Verification Approach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 xml:space="preserve">Document-level verification (unique-ID check across </w:t>
      </w:r>
      <w:r>
        <w:rPr>
          <w:rFonts w:ascii="Consolas" w:hAnsi="Consolas"/>
          <w:b w:val="0"/>
          <w:i w:val="0"/>
          <w:sz w:val="20"/>
        </w:rPr>
        <w:t>DS-IDG-NNN</w:t>
      </w:r>
      <w:r>
        <w:rPr>
          <w:rFonts w:ascii="Arial" w:hAnsi="Arial"/>
          <w:b w:val="0"/>
          <w:i w:val="0"/>
          <w:sz w:val="21"/>
        </w:rPr>
        <w:t>/</w:t>
      </w:r>
      <w:r>
        <w:rPr>
          <w:rFonts w:ascii="Consolas" w:hAnsi="Consolas"/>
          <w:b w:val="0"/>
          <w:i w:val="0"/>
          <w:sz w:val="20"/>
        </w:rPr>
        <w:t>DS-IDEA-NNN</w:t>
      </w:r>
      <w:r>
        <w:rPr>
          <w:rFonts w:ascii="Arial" w:hAnsi="Arial"/>
          <w:b w:val="0"/>
          <w:i w:val="0"/>
          <w:sz w:val="21"/>
        </w:rPr>
        <w:t xml:space="preserve">, cross-reference consistency against DS-001 through DS-004/DS-009/DS-013, no idea carrying an implied Release Classification, DS-013 cross-references valid, Kronos and all other named models treated per DS-IDG-004) recorded in </w:t>
      </w:r>
      <w:r>
        <w:rPr>
          <w:rFonts w:ascii="Consolas" w:hAnsi="Consolas"/>
          <w:b w:val="0"/>
          <w:i w:val="0"/>
          <w:sz w:val="20"/>
        </w:rPr>
        <w:t>.ai-workflow/HANDOFF.md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11. References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ROADMAP.md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PROJECT_SPEC.md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docs/codex/Volume-01-Foundation/DS-001-Executive-Vision.md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docs/codex/Volume-03-Sage/DS-003-Sage-AI-Bible.md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docs/codex/Volume-09-Testing/DS-009-Testing-and-QA.md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docs/codex/Volume-13-Backlog/DS-013-Feature-Backlog.md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Appendix A — Open Questions</w:t>
      </w:r>
    </w:p>
    <w:p>
      <w:pPr>
        <w:pStyle w:val="ListNumber"/>
        <w:spacing w:after="60"/>
      </w:pPr>
      <w:r>
        <w:rPr>
          <w:rFonts w:ascii="Arial" w:hAnsi="Arial"/>
          <w:b/>
          <w:i w:val="0"/>
          <w:sz w:val="21"/>
        </w:rPr>
        <w:t>Kronos and market-foundation-model licensing/benchmarking</w:t>
      </w:r>
      <w:r>
        <w:rPr>
          <w:rFonts w:ascii="Arial" w:hAnsi="Arial"/>
          <w:b w:val="0"/>
          <w:i w:val="0"/>
          <w:sz w:val="21"/>
        </w:rPr>
        <w:t xml:space="preserve"> — entirely unresolved; DS-IDEA-002 exists specifically to track this evaluation, not to presuppose its outcome.</w:t>
      </w:r>
    </w:p>
    <w:p>
      <w:pPr>
        <w:pStyle w:val="ListNumber"/>
        <w:spacing w:after="60"/>
      </w:pPr>
      <w:r>
        <w:rPr>
          <w:rFonts w:ascii="Arial" w:hAnsi="Arial"/>
          <w:b/>
          <w:i w:val="0"/>
          <w:sz w:val="21"/>
        </w:rPr>
        <w:t>DS-IDEA-018's process-vs-product classification</w:t>
      </w:r>
      <w:r>
        <w:rPr>
          <w:rFonts w:ascii="Arial" w:hAnsi="Arial"/>
          <w:b w:val="0"/>
          <w:i w:val="0"/>
          <w:sz w:val="21"/>
        </w:rPr>
        <w:t xml:space="preserve"> — recorded as a genuine boundary question: this Codex has no precedent for whether an internal-process idea belongs in DS-014 at all; retained here per the batch instruction, flagged for future governance clarification.</w:t>
      </w:r>
    </w:p>
    <w:p>
      <w:pPr>
        <w:pStyle w:val="ListNumber"/>
        <w:spacing w:after="60"/>
      </w:pPr>
      <w:r>
        <w:rPr>
          <w:rFonts w:ascii="Arial" w:hAnsi="Arial"/>
          <w:b/>
          <w:i w:val="0"/>
          <w:sz w:val="21"/>
        </w:rPr>
        <w:t>Governance-confirmation carryover</w:t>
      </w:r>
      <w:r>
        <w:rPr>
          <w:rFonts w:ascii="Arial" w:hAnsi="Arial"/>
          <w:b w:val="0"/>
          <w:i w:val="0"/>
          <w:sz w:val="21"/>
        </w:rPr>
        <w:t xml:space="preserve"> — the standing </w:t>
      </w:r>
      <w:r>
        <w:rPr>
          <w:rFonts w:ascii="Consolas" w:hAnsi="Consolas"/>
          <w:b w:val="0"/>
          <w:i w:val="0"/>
          <w:sz w:val="20"/>
        </w:rPr>
        <w:t>BLOCKERS.md</w:t>
      </w:r>
      <w:r>
        <w:rPr>
          <w:rFonts w:ascii="Arial" w:hAnsi="Arial"/>
          <w:b w:val="0"/>
          <w:i w:val="0"/>
          <w:sz w:val="21"/>
        </w:rPr>
        <w:t xml:space="preserve"> items apply identically here and are not re-litigated.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296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A7ABB3"/>
        <w:sz w:val="17"/>
      </w:rPr>
    </w:r>
    <w:r>
      <w:rPr>
        <w:rFonts w:ascii="Arial" w:hAnsi="Arial"/>
        <w:color w:val="A7ABB3"/>
        <w:sz w:val="17"/>
      </w:rPr>
      <w:t xml:space="preserve">Page </w:t>
    </w:r>
    <w:r>
      <w:rPr>
        <w:rFonts w:ascii="Arial" w:hAnsi="Arial"/>
        <w:color w:val="A7ABB3"/>
        <w:sz w:val="17"/>
      </w:rPr>
      <w:fldChar w:fldCharType="begin"/>
    </w:r>
    <w:r>
      <w:rPr>
        <w:rFonts w:ascii="Arial" w:hAnsi="Arial"/>
        <w:color w:val="A7ABB3"/>
        <w:sz w:val="17"/>
      </w:rPr>
      <w:instrText xml:space="preserve">PAGE</w:instrText>
    </w:r>
    <w:r>
      <w:rPr>
        <w:rFonts w:ascii="Arial" w:hAnsi="Arial"/>
        <w:color w:val="A7ABB3"/>
        <w:sz w:val="17"/>
      </w:rPr>
      <w:fldChar w:fldCharType="separate"/>
    </w:r>
    <w:r>
      <w:rPr>
        <w:rFonts w:ascii="Arial" w:hAnsi="Arial"/>
        <w:color w:val="A7ABB3"/>
        <w:sz w:val="17"/>
      </w:rPr>
      <w:t>1</w:t>
    </w:r>
    <w:r>
      <w:rPr>
        <w:rFonts w:ascii="Arial" w:hAnsi="Arial"/>
        <w:color w:val="A7ABB3"/>
        <w:sz w:val="17"/>
      </w:rPr>
      <w:fldChar w:fldCharType="end"/>
    </w:r>
    <w:r>
      <w:rPr>
        <w:rFonts w:ascii="Arial" w:hAnsi="Arial"/>
        <w:color w:val="A7ABB3"/>
        <w:sz w:val="17"/>
      </w:rPr>
      <w:t xml:space="preserve"> of </w:t>
    </w:r>
    <w:r>
      <w:rPr>
        <w:rFonts w:ascii="Arial" w:hAnsi="Arial"/>
        <w:color w:val="A7ABB3"/>
        <w:sz w:val="17"/>
      </w:rPr>
      <w:fldChar w:fldCharType="begin"/>
    </w:r>
    <w:r>
      <w:rPr>
        <w:rFonts w:ascii="Arial" w:hAnsi="Arial"/>
        <w:color w:val="A7ABB3"/>
        <w:sz w:val="17"/>
      </w:rPr>
      <w:instrText xml:space="preserve">NUMPAGES</w:instrText>
    </w:r>
    <w:r>
      <w:rPr>
        <w:rFonts w:ascii="Arial" w:hAnsi="Arial"/>
        <w:color w:val="A7ABB3"/>
        <w:sz w:val="17"/>
      </w:rPr>
      <w:fldChar w:fldCharType="separate"/>
    </w:r>
    <w:r>
      <w:rPr>
        <w:rFonts w:ascii="Arial" w:hAnsi="Arial"/>
        <w:color w:val="A7ABB3"/>
        <w:sz w:val="17"/>
      </w:rPr>
      <w:t>1</w:t>
    </w:r>
    <w:r>
      <w:rPr>
        <w:rFonts w:ascii="Arial" w:hAnsi="Arial"/>
        <w:color w:val="A7ABB3"/>
        <w:sz w:val="17"/>
      </w:rPr>
      <w:fldChar w:fldCharType="end"/>
    </w:r>
  </w:p>
  <w:p>
    <w:pPr>
      <w:jc w:val="center"/>
    </w:pPr>
    <w:r>
      <w:rPr>
        <w:rFonts w:ascii="Arial" w:hAnsi="Arial"/>
        <w:color w:val="A7ABB3"/>
        <w:sz w:val="15"/>
      </w:rPr>
      <w:t>v0.2.1 — Draft  |  Classification: Internal</w:t>
    </w:r>
  </w:p>
  <w:p>
    <w:pPr>
      <w:jc w:val="center"/>
    </w:pPr>
    <w:r>
      <w:rPr>
        <w:rFonts w:ascii="Consolas" w:hAnsi="Consolas"/>
        <w:color w:val="A7ABB3"/>
        <w:sz w:val="14"/>
      </w:rPr>
      <w:t>Generated from DS-014 v0.2.1 — baseline 34a65818d48f596122281075e18c6e5f36ec93b5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40"/>
      <w:pBdr>
        <w:bottom w:val="single" w:sz="6" w:space="4" w:color="C8A45D"/>
      </w:pBdr>
    </w:pPr>
    <w:r/>
    <w:r>
      <w:rPr>
        <w:rFonts w:ascii="Arial" w:hAnsi="Arial"/>
        <w:color w:val="17181C"/>
        <w:sz w:val="17"/>
      </w:rPr>
      <w:t>DarkSage — DS-014 — Idea Parking Lot</w:t>
    </w:r>
    <w:r>
      <w:tab/>
    </w:r>
    <w:r>
      <w:rPr>
        <w:rFonts w:ascii="Consolas" w:hAnsi="Consolas"/>
        <w:b/>
        <w:color w:val="C8A45D"/>
        <w:sz w:val="17"/>
      </w:rPr>
      <w:t>DS-014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