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Ордена Трудового Красного Знамени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Теория электрических цепей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16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Исследование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 ЭВМ резонансных явлений в пассивном и активном последовательном колебательном контуре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Выполнил: 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 группы БВ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Т2202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Каравайченко И. В.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Цель работы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С помощью программы Micro-Cap исследовать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характеристики одиночного последовательного пассивного и активного контура при различных добротностях.</w:t>
      </w:r>
    </w:p>
    <w:p>
      <w:pPr>
        <w:spacing w:line="276" w:lineRule="auto"/>
        <w:ind w:firstLine="708" w:firstLineChars="0"/>
        <w:rPr>
          <w:bCs/>
        </w:rPr>
      </w:pPr>
      <w:r>
        <w:rPr>
          <w:b w:val="0"/>
          <w:bCs w:val="0"/>
        </w:rPr>
        <w:t xml:space="preserve">Предварительный расчёт: </w:t>
      </w:r>
    </w:p>
    <w:p>
      <w:pPr>
        <w:pStyle w:val="13"/>
        <w:numPr>
          <w:ilvl w:val="0"/>
          <w:numId w:val="0"/>
        </w:numPr>
        <w:spacing w:line="276" w:lineRule="auto"/>
        <w:ind w:firstLine="708" w:firstLineChars="0"/>
      </w:pPr>
      <w:r>
        <w:t xml:space="preserve">При выбранной ёмкости С = 10 нФ и резонансной частоте </w:t>
      </w:r>
      <w:r>
        <w:rPr>
          <w:lang w:val="en-US"/>
        </w:rPr>
        <w:t>f</w:t>
      </w:r>
      <w:r>
        <w:rPr>
          <w:vertAlign w:val="subscript"/>
        </w:rPr>
        <w:t>0</w:t>
      </w:r>
      <w:r>
        <w:rPr>
          <w:vertAlign w:val="subscript"/>
        </w:rPr>
        <w:softHyphen/>
      </w:r>
      <w:r>
        <w:t xml:space="preserve"> = 4,8 кГц величина индуктивности </w:t>
      </w:r>
      <w:r>
        <w:rPr>
          <w:lang w:val="en-US"/>
        </w:rPr>
        <w:t>L</w:t>
      </w:r>
      <w:r>
        <w:t xml:space="preserve"> = 0,11 Гн</w:t>
      </w:r>
    </w:p>
    <w:p>
      <w:pPr>
        <w:pStyle w:val="13"/>
        <w:spacing w:line="276" w:lineRule="auto"/>
        <w:ind w:left="1065"/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4638675" cy="231457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ab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196"/>
        <w:gridCol w:w="1196"/>
        <w:gridCol w:w="1196"/>
        <w:gridCol w:w="1196"/>
        <w:gridCol w:w="1196"/>
        <w:gridCol w:w="1197"/>
        <w:gridCol w:w="1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8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По предварительному расчёту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 xml:space="preserve">R,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Ом</w:t>
            </w:r>
          </w:p>
        </w:tc>
        <w:tc>
          <w:tcPr>
            <w:tcW w:w="1196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  <w:t>ρ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en-US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ru-RU"/>
              </w:rPr>
              <w:t>Ом</w:t>
            </w:r>
          </w:p>
        </w:tc>
        <w:tc>
          <w:tcPr>
            <w:tcW w:w="1196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Q</w:t>
            </w:r>
          </w:p>
        </w:tc>
        <w:tc>
          <w:tcPr>
            <w:tcW w:w="1196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f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subscript"/>
                <w:lang w:val="ru-RU"/>
              </w:rPr>
              <w:t>1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,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 xml:space="preserve"> кГц</w:t>
            </w:r>
          </w:p>
        </w:tc>
        <w:tc>
          <w:tcPr>
            <w:tcW w:w="1196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f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subscript"/>
                <w:lang w:val="ru-RU"/>
              </w:rPr>
              <w:t>2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,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 xml:space="preserve"> кГц</w:t>
            </w:r>
          </w:p>
        </w:tc>
        <w:tc>
          <w:tcPr>
            <w:tcW w:w="1196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П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,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 xml:space="preserve"> кГц</w:t>
            </w:r>
          </w:p>
        </w:tc>
        <w:tc>
          <w:tcPr>
            <w:tcW w:w="119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I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subscript"/>
                <w:lang w:val="ru-RU"/>
              </w:rPr>
              <w:t>0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А</w:t>
            </w:r>
          </w:p>
        </w:tc>
        <w:tc>
          <w:tcPr>
            <w:tcW w:w="119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f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subscript"/>
                <w:lang w:val="ru-RU"/>
              </w:rPr>
              <w:t>0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,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 xml:space="preserve"> кГц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160</w:t>
            </w:r>
          </w:p>
        </w:tc>
        <w:tc>
          <w:tcPr>
            <w:tcW w:w="1196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3316,6</w:t>
            </w:r>
          </w:p>
        </w:tc>
        <w:tc>
          <w:tcPr>
            <w:tcW w:w="1196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4,553</w:t>
            </w:r>
          </w:p>
        </w:tc>
        <w:tc>
          <w:tcPr>
            <w:tcW w:w="1196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4,3</w:t>
            </w:r>
          </w:p>
        </w:tc>
        <w:tc>
          <w:tcPr>
            <w:tcW w:w="1196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5,356</w:t>
            </w:r>
          </w:p>
        </w:tc>
        <w:tc>
          <w:tcPr>
            <w:tcW w:w="1196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1,056</w:t>
            </w:r>
          </w:p>
        </w:tc>
        <w:tc>
          <w:tcPr>
            <w:tcW w:w="1197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6,25</w:t>
            </w:r>
          </w:p>
        </w:tc>
        <w:tc>
          <w:tcPr>
            <w:tcW w:w="1197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4,8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640</w:t>
            </w:r>
          </w:p>
        </w:tc>
        <w:tc>
          <w:tcPr>
            <w:tcW w:w="1196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3316,6</w:t>
            </w:r>
          </w:p>
        </w:tc>
        <w:tc>
          <w:tcPr>
            <w:tcW w:w="1196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2,276</w:t>
            </w:r>
          </w:p>
        </w:tc>
        <w:tc>
          <w:tcPr>
            <w:tcW w:w="1196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3,86</w:t>
            </w:r>
          </w:p>
        </w:tc>
        <w:tc>
          <w:tcPr>
            <w:tcW w:w="1196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5,97</w:t>
            </w:r>
          </w:p>
        </w:tc>
        <w:tc>
          <w:tcPr>
            <w:tcW w:w="1196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2,11</w:t>
            </w:r>
          </w:p>
        </w:tc>
        <w:tc>
          <w:tcPr>
            <w:tcW w:w="1197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1,56</w:t>
            </w:r>
          </w:p>
        </w:tc>
        <w:tc>
          <w:tcPr>
            <w:tcW w:w="1197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4,8</w:t>
            </w:r>
          </w:p>
        </w:tc>
      </w:tr>
    </w:tbl>
    <w:p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1595"/>
        <w:gridCol w:w="1595"/>
        <w:gridCol w:w="1595"/>
        <w:gridCol w:w="1595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6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Получено 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f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subscript"/>
                <w:lang w:val="ru-RU"/>
              </w:rPr>
              <w:t>0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,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 xml:space="preserve"> кГц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I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subscript"/>
                <w:lang w:val="ru-RU"/>
              </w:rPr>
              <w:t>0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А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f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subscript"/>
                <w:lang w:val="ru-RU"/>
              </w:rPr>
              <w:t>1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,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 xml:space="preserve"> кГц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f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subscript"/>
                <w:lang w:val="ru-RU"/>
              </w:rPr>
              <w:t>2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,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 xml:space="preserve"> кГц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П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,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 xml:space="preserve"> кГц</w:t>
            </w:r>
          </w:p>
        </w:tc>
        <w:tc>
          <w:tcPr>
            <w:tcW w:w="1595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4,8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6,242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lang w:val="en-US"/>
              </w:rPr>
              <w:t>4,6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lang w:val="en-US"/>
              </w:rPr>
              <w:t>5,02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lang w:val="en-US"/>
              </w:rPr>
              <w:t>0,42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lang w:val="en-US"/>
              </w:rPr>
              <w:t>11,42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4,8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1,5</w:t>
            </w:r>
            <w:r>
              <w:rPr>
                <w:lang w:val="en-US"/>
              </w:rPr>
              <w:t>62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lang w:val="en-US"/>
              </w:rPr>
              <w:t>4,36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lang w:val="en-US"/>
              </w:rPr>
              <w:t>5,29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lang w:val="en-US"/>
              </w:rPr>
              <w:t>0,93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lang w:val="en-US"/>
              </w:rPr>
              <w:t>5,16</w:t>
            </w:r>
          </w:p>
        </w:tc>
      </w:tr>
    </w:tbl>
    <w:p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/>
          <w:lang w:val="en-US"/>
        </w:rPr>
      </w:pPr>
      <w:r>
        <w:rPr>
          <w:bCs/>
        </w:rPr>
        <w:t>График зависимости модуля входного сопротивления от частоты</w:t>
      </w:r>
      <w:r>
        <w:rPr>
          <w:rFonts w:hint="default"/>
          <w:bCs/>
          <w:lang w:val="en-US"/>
        </w:rPr>
        <w:t xml:space="preserve"> </w:t>
      </w:r>
      <w:r>
        <w:rPr>
          <w:rFonts w:hint="default"/>
          <w:bCs/>
          <w:lang w:val="ru-RU"/>
        </w:rPr>
        <w:t xml:space="preserve">при </w:t>
      </w:r>
      <w:r>
        <w:rPr>
          <w:rFonts w:hint="default"/>
          <w:bCs/>
          <w:lang w:val="en-US"/>
        </w:rPr>
        <w:t>R1 = 160</w:t>
      </w:r>
      <w:r>
        <w:rPr>
          <w:rFonts w:hint="default"/>
          <w:bCs/>
          <w:lang w:val="ru-RU"/>
        </w:rPr>
        <w:t xml:space="preserve"> Ом</w:t>
      </w:r>
      <w:r>
        <w:rPr>
          <w:rFonts w:hint="default"/>
          <w:bCs/>
          <w:lang w:val="en-US"/>
        </w:rPr>
        <w:t>:</w:t>
      </w:r>
    </w:p>
    <w:p>
      <w:pPr>
        <w:jc w:val="center"/>
      </w:pPr>
      <w:r>
        <w:drawing>
          <wp:inline distT="0" distB="0" distL="114300" distR="114300">
            <wp:extent cx="5930265" cy="3683000"/>
            <wp:effectExtent l="0" t="0" r="13335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bCs/>
        </w:rPr>
        <w:t>График зависимости модуля входного сопротивления от частоты</w:t>
      </w:r>
      <w:r>
        <w:rPr>
          <w:rFonts w:hint="default"/>
          <w:bCs/>
          <w:lang w:val="ru-RU"/>
        </w:rPr>
        <w:t xml:space="preserve"> при </w:t>
      </w:r>
      <w:r>
        <w:rPr>
          <w:rFonts w:hint="default"/>
          <w:bCs/>
          <w:lang w:val="en-US"/>
        </w:rPr>
        <w:t xml:space="preserve">R1 = 640 </w:t>
      </w:r>
      <w:r>
        <w:rPr>
          <w:rFonts w:hint="default"/>
          <w:bCs/>
          <w:lang w:val="ru-RU"/>
        </w:rPr>
        <w:t>Ом</w:t>
      </w:r>
    </w:p>
    <w:p>
      <w:pPr>
        <w:jc w:val="center"/>
      </w:pPr>
      <w:r>
        <w:drawing>
          <wp:inline distT="0" distB="0" distL="114300" distR="114300">
            <wp:extent cx="5930265" cy="3648710"/>
            <wp:effectExtent l="0" t="0" r="13335" b="889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bCs/>
        </w:rPr>
        <w:t>График</w:t>
      </w:r>
      <w:r>
        <w:rPr>
          <w:bCs/>
          <w:lang w:val="ru-RU"/>
        </w:rPr>
        <w:t>и</w:t>
      </w:r>
      <w:r>
        <w:rPr>
          <w:bCs/>
        </w:rPr>
        <w:t xml:space="preserve"> зависимости фазы входного сопротивления от частоты </w:t>
      </w:r>
      <w:r>
        <w:rPr>
          <w:bCs/>
          <w:lang w:val="ru-RU"/>
        </w:rPr>
        <w:t>при</w:t>
      </w:r>
      <w:r>
        <w:rPr>
          <w:rFonts w:hint="default"/>
          <w:bCs/>
          <w:lang w:val="en-US"/>
        </w:rPr>
        <w:t xml:space="preserve">  </w:t>
      </w:r>
      <w:r>
        <w:rPr>
          <w:rFonts w:hint="default"/>
          <w:bCs/>
          <w:lang w:val="ru-RU"/>
        </w:rPr>
        <w:t xml:space="preserve"> </w:t>
      </w:r>
      <w:r>
        <w:rPr>
          <w:rFonts w:hint="default"/>
          <w:bCs/>
          <w:lang w:val="en-US"/>
        </w:rPr>
        <w:t xml:space="preserve">R1 = 160 </w:t>
      </w:r>
      <w:r>
        <w:rPr>
          <w:rFonts w:hint="default"/>
          <w:bCs/>
          <w:lang w:val="ru-RU"/>
        </w:rPr>
        <w:t xml:space="preserve">Ом и </w:t>
      </w:r>
      <w:r>
        <w:rPr>
          <w:rFonts w:hint="default"/>
          <w:bCs/>
          <w:lang w:val="en-US"/>
        </w:rPr>
        <w:t xml:space="preserve">R1 = 640 </w:t>
      </w:r>
      <w:r>
        <w:rPr>
          <w:rFonts w:hint="default"/>
          <w:bCs/>
          <w:lang w:val="ru-RU"/>
        </w:rPr>
        <w:t>Ом</w:t>
      </w:r>
      <w:r>
        <w:rPr>
          <w:rFonts w:hint="default"/>
          <w:bCs/>
          <w:lang w:val="en-US"/>
        </w:rPr>
        <w:t>:</w:t>
      </w:r>
    </w:p>
    <w:p>
      <w:pPr>
        <w:jc w:val="center"/>
      </w:pPr>
      <w:r>
        <w:drawing>
          <wp:inline distT="0" distB="0" distL="114300" distR="114300">
            <wp:extent cx="5939790" cy="3694430"/>
            <wp:effectExtent l="0" t="0" r="3810" b="12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bCs/>
        </w:rPr>
        <w:t xml:space="preserve">График зависимости модуля входного тока от частоты </w:t>
      </w:r>
      <w:r>
        <w:rPr>
          <w:bCs/>
          <w:lang w:val="ru-RU"/>
        </w:rPr>
        <w:t>при</w:t>
      </w:r>
      <w:r>
        <w:rPr>
          <w:rFonts w:hint="default"/>
          <w:bCs/>
          <w:lang w:val="en-US"/>
        </w:rPr>
        <w:t xml:space="preserve">  </w:t>
      </w:r>
      <w:r>
        <w:rPr>
          <w:rFonts w:hint="default"/>
          <w:bCs/>
          <w:lang w:val="ru-RU"/>
        </w:rPr>
        <w:t xml:space="preserve"> </w:t>
      </w:r>
      <w:r>
        <w:rPr>
          <w:rFonts w:hint="default"/>
          <w:bCs/>
          <w:lang w:val="en-US"/>
        </w:rPr>
        <w:t xml:space="preserve">R1 = 160 </w:t>
      </w:r>
      <w:r>
        <w:rPr>
          <w:rFonts w:hint="default"/>
          <w:bCs/>
          <w:lang w:val="ru-RU"/>
        </w:rPr>
        <w:t xml:space="preserve">Ом и </w:t>
      </w:r>
      <w:r>
        <w:rPr>
          <w:rFonts w:hint="default"/>
          <w:bCs/>
          <w:lang w:val="en-US"/>
        </w:rPr>
        <w:t xml:space="preserve">R1 = 640 </w:t>
      </w:r>
      <w:r>
        <w:rPr>
          <w:rFonts w:hint="default"/>
          <w:bCs/>
          <w:lang w:val="ru-RU"/>
        </w:rPr>
        <w:t>Ом</w:t>
      </w:r>
      <w:r>
        <w:rPr>
          <w:rFonts w:hint="default"/>
          <w:bCs/>
          <w:lang w:val="en-US"/>
        </w:rPr>
        <w:t>:</w:t>
      </w:r>
    </w:p>
    <w:p>
      <w:pPr>
        <w:jc w:val="center"/>
      </w:pPr>
      <w:r>
        <w:drawing>
          <wp:inline distT="0" distB="0" distL="114300" distR="114300">
            <wp:extent cx="5930265" cy="3671570"/>
            <wp:effectExtent l="0" t="0" r="13335" b="508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bCs/>
        </w:rPr>
        <w:t xml:space="preserve">График зависимости модуля входного тока от частоты при разных </w:t>
      </w:r>
      <w:r>
        <w:rPr>
          <w:bCs/>
          <w:lang w:val="en-US"/>
        </w:rPr>
        <w:t>L</w:t>
      </w:r>
      <w:r>
        <w:rPr>
          <w:rFonts w:hint="default"/>
          <w:bCs/>
          <w:lang w:val="en-US"/>
        </w:rPr>
        <w:t>:</w:t>
      </w:r>
    </w:p>
    <w:p>
      <w:pPr>
        <w:jc w:val="center"/>
      </w:pPr>
      <w:r>
        <w:drawing>
          <wp:inline distT="0" distB="0" distL="114300" distR="114300">
            <wp:extent cx="5934075" cy="3676650"/>
            <wp:effectExtent l="0" t="0" r="952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bCs/>
        </w:rPr>
        <w:t xml:space="preserve">График зависимости модуля входного тока от частоты при разных </w:t>
      </w:r>
      <w:r>
        <w:rPr>
          <w:bCs/>
          <w:lang w:val="en-US"/>
        </w:rPr>
        <w:t>C</w:t>
      </w:r>
      <w:r>
        <w:rPr>
          <w:rFonts w:hint="default"/>
          <w:bCs/>
          <w:lang w:val="en-US"/>
        </w:rPr>
        <w:t>:</w:t>
      </w:r>
    </w:p>
    <w:p>
      <w:pPr>
        <w:jc w:val="center"/>
      </w:pPr>
      <w:r>
        <w:drawing>
          <wp:inline distT="0" distB="0" distL="114300" distR="114300">
            <wp:extent cx="5932170" cy="3683635"/>
            <wp:effectExtent l="0" t="0" r="11430" b="1206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ru-RU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Гиратор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</w:t>
      </w:r>
    </w:p>
    <w:p>
      <w:pPr>
        <w:pStyle w:val="13"/>
        <w:numPr>
          <w:ilvl w:val="0"/>
          <w:numId w:val="0"/>
        </w:numPr>
        <w:spacing w:line="276" w:lineRule="auto"/>
        <w:ind w:firstLine="708" w:firstLineChars="0"/>
      </w:pPr>
      <w:r>
        <w:t>Рассчитать значение ёмкости С</w:t>
      </w:r>
      <w:r>
        <w:rPr>
          <w:vertAlign w:val="subscript"/>
        </w:rPr>
        <w:t xml:space="preserve">1 </w:t>
      </w:r>
      <w:r>
        <w:t xml:space="preserve">так, чтобы резонансная частота активного последовательного колебательного контура с гиратором в качестве индуктивности (рис. 2) равнялась </w:t>
      </w:r>
      <w:r>
        <w:rPr>
          <w:lang w:val="en-US"/>
        </w:rPr>
        <w:t>f</w:t>
      </w:r>
      <w:r>
        <w:rPr>
          <w:vertAlign w:val="subscript"/>
        </w:rPr>
        <w:t>0</w:t>
      </w:r>
      <w:r>
        <w:t xml:space="preserve"> = 5 кГц. </w:t>
      </w:r>
      <w:r>
        <w:rPr>
          <w:lang w:val="en-US"/>
        </w:rPr>
        <w:t xml:space="preserve">R = 0,1 </w:t>
      </w:r>
      <w:r>
        <w:t>Ом, С</w:t>
      </w:r>
      <w:r>
        <w:rPr>
          <w:vertAlign w:val="subscript"/>
        </w:rPr>
        <w:t>2</w:t>
      </w:r>
      <w:r>
        <w:t xml:space="preserve"> = 1 мкФ и </w:t>
      </w:r>
      <w:r>
        <w:rPr>
          <w:lang w:val="en-US"/>
        </w:rPr>
        <w:t xml:space="preserve">G = 0,1 </w:t>
      </w:r>
      <w:r>
        <w:t>См.</w:t>
      </w:r>
    </w:p>
    <w:p>
      <w:pPr>
        <w:ind w:firstLine="708" w:firstLineChars="0"/>
        <w:jc w:val="both"/>
      </w:pPr>
      <w:r>
        <w:t>С</w:t>
      </w:r>
      <w:r>
        <w:rPr>
          <w:vertAlign w:val="subscript"/>
        </w:rPr>
        <w:t>1</w:t>
      </w:r>
      <w:r>
        <w:t xml:space="preserve"> = 10 мкФ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583430" cy="1443355"/>
            <wp:effectExtent l="0" t="0" r="7620" b="444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2393"/>
        <w:gridCol w:w="4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gridSpan w:val="2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По предварительному расчёту</w:t>
            </w:r>
          </w:p>
        </w:tc>
        <w:tc>
          <w:tcPr>
            <w:tcW w:w="4785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Получено 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 xml:space="preserve">R,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Ом</w:t>
            </w:r>
          </w:p>
        </w:tc>
        <w:tc>
          <w:tcPr>
            <w:tcW w:w="239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C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мкФ</w:t>
            </w:r>
          </w:p>
        </w:tc>
        <w:tc>
          <w:tcPr>
            <w:tcW w:w="4785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f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subscript"/>
                <w:lang w:val="ru-RU"/>
              </w:rPr>
              <w:t>0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,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 xml:space="preserve"> кГц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0,1</w:t>
            </w:r>
          </w:p>
        </w:tc>
        <w:tc>
          <w:tcPr>
            <w:tcW w:w="2393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4785" w:type="dxa"/>
            <w:vAlign w:val="top"/>
          </w:tcPr>
          <w:p>
            <w:pPr>
              <w:widowControl w:val="0"/>
              <w:spacing w:after="0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lang w:val="en-US"/>
              </w:rPr>
              <w:t>5,032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392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0,2</w:t>
            </w:r>
          </w:p>
        </w:tc>
        <w:tc>
          <w:tcPr>
            <w:tcW w:w="2393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4785" w:type="dxa"/>
            <w:vAlign w:val="top"/>
          </w:tcPr>
          <w:p>
            <w:pPr>
              <w:widowControl w:val="0"/>
              <w:spacing w:after="0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lang w:val="en-US"/>
              </w:rPr>
              <w:t>5,032</w:t>
            </w:r>
          </w:p>
        </w:tc>
      </w:tr>
    </w:tbl>
    <w:p>
      <w:pPr>
        <w:ind w:firstLine="708" w:firstLineChars="0"/>
        <w:jc w:val="both"/>
        <w:rPr>
          <w:bCs/>
        </w:rPr>
      </w:pPr>
    </w:p>
    <w:p>
      <w:pPr>
        <w:ind w:firstLine="708" w:firstLineChars="0"/>
        <w:jc w:val="both"/>
        <w:rPr>
          <w:rFonts w:hint="default"/>
          <w:lang w:val="en-US"/>
        </w:rPr>
      </w:pPr>
      <w:r>
        <w:rPr>
          <w:bCs/>
        </w:rPr>
        <w:t xml:space="preserve">График зависимости модуля входного тока от частоты в схеме с гиратором при </w:t>
      </w:r>
      <w:r>
        <w:rPr>
          <w:bCs/>
          <w:lang w:val="en-US"/>
        </w:rPr>
        <w:t>R</w:t>
      </w:r>
      <w:r>
        <w:rPr>
          <w:bCs/>
        </w:rPr>
        <w:t xml:space="preserve"> = 0,1</w:t>
      </w:r>
      <w:r>
        <w:rPr>
          <w:rFonts w:hint="default"/>
          <w:bCs/>
          <w:lang w:val="en-US"/>
        </w:rPr>
        <w:t>:</w:t>
      </w:r>
    </w:p>
    <w:p>
      <w:pPr>
        <w:jc w:val="both"/>
      </w:pPr>
      <w:r>
        <w:drawing>
          <wp:inline distT="0" distB="0" distL="114300" distR="114300">
            <wp:extent cx="5934075" cy="3648075"/>
            <wp:effectExtent l="0" t="0" r="9525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bCs/>
        </w:rPr>
        <w:t xml:space="preserve">График зависимости модуля входного тока от частоты в схеме с гиратором при </w:t>
      </w:r>
      <w:r>
        <w:rPr>
          <w:bCs/>
          <w:lang w:val="en-US"/>
        </w:rPr>
        <w:t>R</w:t>
      </w:r>
      <w:r>
        <w:rPr>
          <w:bCs/>
        </w:rPr>
        <w:t xml:space="preserve"> = 0,2</w:t>
      </w:r>
      <w:r>
        <w:rPr>
          <w:rFonts w:hint="default"/>
          <w:bCs/>
          <w:lang w:val="en-US"/>
        </w:rPr>
        <w:t>: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937885" cy="3659505"/>
            <wp:effectExtent l="0" t="0" r="5715" b="1714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мы с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помощью программы Micro-Cap исследова</w:t>
      </w:r>
      <w:r>
        <w:rPr>
          <w:rFonts w:hint="default" w:eastAsia="SimSun" w:cs="Times New Roman"/>
          <w:sz w:val="28"/>
          <w:szCs w:val="28"/>
          <w:lang w:val="ru-RU"/>
        </w:rPr>
        <w:t>ли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характеристики одиночного последовательного пассивного и активного контура при различных добротностях.</w:t>
      </w:r>
    </w:p>
    <w:p>
      <w:pPr>
        <w:jc w:val="both"/>
        <w:rPr>
          <w:rFonts w:hint="default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Вопросы для самопроверки.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eastAsia="en-US"/>
        </w:rPr>
        <w:t>Почему резонанс в последовательном пассивном колебательном контуре называется резонансом напряжений?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</w:rPr>
        <w:t xml:space="preserve">Как рассчитывается резонансная частота сложного пассивного колебательного контура и как она рассчитывается для схем содержащих гиратор? 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</w:rPr>
        <w:t>Что такое добротность последовательного пассивного колебательного контура?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</w:rPr>
        <w:t>Что такое полоса пропускания последовательного пассивного колебательного контура? Какие существуют способы расчета полосы пропускания?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</w:rPr>
        <w:t>Выведите уравнения, с помощью которых рассчитывают входные АЧХ и ФЧХ последовательного пассивного колебательного контура.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Ответы</w:t>
      </w:r>
    </w:p>
    <w:p>
      <w:pPr>
        <w:numPr>
          <w:ilvl w:val="0"/>
          <w:numId w:val="2"/>
        </w:num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eastAsiaTheme="minorHAnsi"/>
          <w:sz w:val="28"/>
          <w:szCs w:val="28"/>
          <w:lang w:eastAsia="en-US"/>
        </w:rPr>
        <w:t>В таком контуре добротность численно равна отношению напряжения на реактивном элементе контура к напряжению на резисторе или на входе в режиме резонанса. Добротность показывает, во сколько раз напряжение на реактивных элементах контура будет превышать входное.</w:t>
      </w:r>
    </w:p>
    <w:p>
      <w:pPr>
        <w:numPr>
          <w:ilvl w:val="0"/>
          <w:numId w:val="2"/>
        </w:numPr>
        <w:ind w:left="0"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0" distR="0">
            <wp:extent cx="1231900" cy="813435"/>
            <wp:effectExtent l="0" t="0" r="635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6583" cy="81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spacing w:line="276" w:lineRule="auto"/>
        <w:ind w:left="0" w:leftChars="0" w:right="0" w:rightChars="0" w:firstLine="708" w:firstLineChars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Величина, определяющая амплитуду и ширину АЧХ резонанса. Отношение сохраненной энергии в контуре и потери энергии за единичный период колебаний.</w:t>
      </w:r>
    </w:p>
    <w:p>
      <w:pPr>
        <w:numPr>
          <w:ilvl w:val="0"/>
          <w:numId w:val="2"/>
        </w:numPr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Полоса пропускания (прозрачности) — диапазон частот, в пределах которого амплитудно-частотная характеристика (АЧХ) акустического, радиотехнического, оптического или механического устройства достаточно равномерна для того, чтобы обеспечить передачу сигнала без существенного искажения его формы.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ind w:left="708" w:leftChars="0"/>
        <w:jc w:val="center"/>
      </w:pPr>
      <w:bookmarkStart w:id="0" w:name="_GoBack"/>
      <w:bookmarkEnd w:id="0"/>
      <w:r>
        <w:drawing>
          <wp:inline distT="0" distB="0" distL="0" distR="0">
            <wp:extent cx="1320800" cy="1543050"/>
            <wp:effectExtent l="0" t="0" r="1270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2040" cy="154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708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ФЧХ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0"/>
        </w:numPr>
        <w:ind w:left="708" w:leftChars="0"/>
        <w:jc w:val="center"/>
        <w:rPr>
          <w:rFonts w:hint="default"/>
          <w:lang w:val="en-US"/>
        </w:rPr>
      </w:pPr>
      <w:r>
        <w:drawing>
          <wp:inline distT="0" distB="0" distL="0" distR="0">
            <wp:extent cx="1119505" cy="613410"/>
            <wp:effectExtent l="0" t="0" r="4445" b="152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20"/>
                    <a:srcRect l="1" r="4838"/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6134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, </w:t>
      </w:r>
    </w:p>
    <w:p>
      <w:pPr>
        <w:numPr>
          <w:ilvl w:val="0"/>
          <w:numId w:val="0"/>
        </w:numPr>
        <w:ind w:left="708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lang w:val="ru-RU"/>
        </w:rPr>
        <w:t>АЧХ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0"/>
        </w:numPr>
        <w:ind w:left="708"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428875" cy="564515"/>
            <wp:effectExtent l="0" t="0" r="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21"/>
                    <a:srcRect t="4815" b="1287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6" w:type="first"/>
      <w:footerReference r:id="rId5" w:type="default"/>
      <w:pgSz w:w="11906" w:h="16838"/>
      <w:pgMar w:top="1134" w:right="1134" w:bottom="1134" w:left="1418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13423326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/>
        <w:lang w:val="en-US"/>
      </w:rPr>
    </w:pPr>
    <w:r>
      <w:t>Москва 202</w:t>
    </w:r>
    <w:r>
      <w:rPr>
        <w:rFonts w:hint="default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810FF5"/>
    <w:multiLevelType w:val="singleLevel"/>
    <w:tmpl w:val="8F810FF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D4585F3"/>
    <w:multiLevelType w:val="singleLevel"/>
    <w:tmpl w:val="DD4585F3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E9"/>
    <w:rsid w:val="00052872"/>
    <w:rsid w:val="000837D5"/>
    <w:rsid w:val="0009460E"/>
    <w:rsid w:val="00143FF6"/>
    <w:rsid w:val="00156B61"/>
    <w:rsid w:val="001F414D"/>
    <w:rsid w:val="002667CE"/>
    <w:rsid w:val="00307195"/>
    <w:rsid w:val="00391AD4"/>
    <w:rsid w:val="00447209"/>
    <w:rsid w:val="00481D50"/>
    <w:rsid w:val="005F12BF"/>
    <w:rsid w:val="006021DE"/>
    <w:rsid w:val="00607E47"/>
    <w:rsid w:val="00624FBE"/>
    <w:rsid w:val="00695E56"/>
    <w:rsid w:val="00724481"/>
    <w:rsid w:val="00737DEA"/>
    <w:rsid w:val="00754087"/>
    <w:rsid w:val="0080147A"/>
    <w:rsid w:val="0081381C"/>
    <w:rsid w:val="009429EE"/>
    <w:rsid w:val="009F06A0"/>
    <w:rsid w:val="00A60526"/>
    <w:rsid w:val="00AC6EB3"/>
    <w:rsid w:val="00AD0095"/>
    <w:rsid w:val="00AE312A"/>
    <w:rsid w:val="00AE67A8"/>
    <w:rsid w:val="00AF10A7"/>
    <w:rsid w:val="00B21DEB"/>
    <w:rsid w:val="00B238C7"/>
    <w:rsid w:val="00B8138E"/>
    <w:rsid w:val="00C161E9"/>
    <w:rsid w:val="00C53009"/>
    <w:rsid w:val="00D206D3"/>
    <w:rsid w:val="00D67F4D"/>
    <w:rsid w:val="00DA2C88"/>
    <w:rsid w:val="00DD040A"/>
    <w:rsid w:val="00E3261F"/>
    <w:rsid w:val="00E70FBA"/>
    <w:rsid w:val="00F72064"/>
    <w:rsid w:val="00FF12E3"/>
    <w:rsid w:val="02931AEB"/>
    <w:rsid w:val="045C3EE3"/>
    <w:rsid w:val="05B31D73"/>
    <w:rsid w:val="07AC6909"/>
    <w:rsid w:val="0B030E79"/>
    <w:rsid w:val="0DCC20C8"/>
    <w:rsid w:val="13D0406E"/>
    <w:rsid w:val="18F2211F"/>
    <w:rsid w:val="1FB71C38"/>
    <w:rsid w:val="21162BF3"/>
    <w:rsid w:val="24AB5494"/>
    <w:rsid w:val="253835F4"/>
    <w:rsid w:val="27D65F61"/>
    <w:rsid w:val="290A0A3F"/>
    <w:rsid w:val="2A5B2697"/>
    <w:rsid w:val="2BBA5D65"/>
    <w:rsid w:val="2FDB304C"/>
    <w:rsid w:val="3264750B"/>
    <w:rsid w:val="35B3528C"/>
    <w:rsid w:val="37C37CA0"/>
    <w:rsid w:val="39485655"/>
    <w:rsid w:val="3A304E08"/>
    <w:rsid w:val="406F0B85"/>
    <w:rsid w:val="446E0FD1"/>
    <w:rsid w:val="463B0D40"/>
    <w:rsid w:val="4E9E2E79"/>
    <w:rsid w:val="58941782"/>
    <w:rsid w:val="592762E1"/>
    <w:rsid w:val="5E8657FB"/>
    <w:rsid w:val="69900CAE"/>
    <w:rsid w:val="6FE64B4F"/>
    <w:rsid w:val="75DC4CBC"/>
    <w:rsid w:val="762121CF"/>
    <w:rsid w:val="77927D26"/>
    <w:rsid w:val="77AA464A"/>
    <w:rsid w:val="78207224"/>
    <w:rsid w:val="78B6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40" w:lineRule="auto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ind w:firstLine="709"/>
      <w:outlineLvl w:val="0"/>
    </w:pPr>
    <w:rPr>
      <w:rFonts w:eastAsiaTheme="majorEastAsia"/>
      <w:b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0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Верхний колонтитул Знак"/>
    <w:basedOn w:val="4"/>
    <w:link w:val="7"/>
    <w:qFormat/>
    <w:uiPriority w:val="99"/>
    <w:rPr>
      <w:sz w:val="24"/>
      <w:szCs w:val="24"/>
      <w:lang w:val="en-US"/>
    </w:rPr>
  </w:style>
  <w:style w:type="character" w:customStyle="1" w:styleId="12">
    <w:name w:val="Нижний колонтитул Знак"/>
    <w:basedOn w:val="4"/>
    <w:link w:val="8"/>
    <w:qFormat/>
    <w:uiPriority w:val="99"/>
    <w:rPr>
      <w:sz w:val="24"/>
      <w:szCs w:val="24"/>
      <w:lang w:val="en-U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Заголовок 1 Знак"/>
    <w:basedOn w:val="4"/>
    <w:link w:val="2"/>
    <w:qFormat/>
    <w:uiPriority w:val="9"/>
    <w:rPr>
      <w:rFonts w:ascii="Times New Roman" w:hAnsi="Times New Roman" w:cs="Times New Roman" w:eastAsiaTheme="majorEastAsia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370</Characters>
  <Lines>3</Lines>
  <Paragraphs>1</Paragraphs>
  <TotalTime>1</TotalTime>
  <ScaleCrop>false</ScaleCrop>
  <LinksUpToDate>false</LinksUpToDate>
  <CharactersWithSpaces>433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2021-09-21T16:57:00Z</dcterms:created>
  <dcterms:modified xsi:type="dcterms:W3CDTF">2023-10-23T17:50:07Z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680645BE84AD49099728A26A107843D1</vt:lpwstr>
  </property>
</Properties>
</file>