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30A69" w14:textId="77777777" w:rsidR="00E768ED" w:rsidRDefault="00000000">
      <w:pPr>
        <w:pStyle w:val="TitleCustom"/>
        <w:jc w:val="center"/>
      </w:pPr>
      <w:r>
        <w:t>AI for Energy: APS Challenge</w:t>
      </w:r>
    </w:p>
    <w:p w14:paraId="254346BF" w14:textId="77777777" w:rsidR="00E768ED" w:rsidRDefault="00000000">
      <w:pPr>
        <w:pStyle w:val="SubtitleCustom"/>
        <w:jc w:val="center"/>
      </w:pPr>
      <w:r>
        <w:t>Technical problem statement for the ASU Energy Hackathon</w:t>
      </w:r>
    </w:p>
    <w:tbl>
      <w:tblPr>
        <w:tblW w:w="0" w:type="auto"/>
        <w:jc w:val="center"/>
        <w:tblLook w:val="04A0" w:firstRow="1" w:lastRow="0" w:firstColumn="1" w:lastColumn="0" w:noHBand="0" w:noVBand="1"/>
      </w:tblPr>
      <w:tblGrid>
        <w:gridCol w:w="10166"/>
      </w:tblGrid>
      <w:tr w:rsidR="00E768ED" w14:paraId="45240A32" w14:textId="77777777">
        <w:trPr>
          <w:jc w:val="center"/>
        </w:trPr>
        <w:tc>
          <w:tcPr>
            <w:tcW w:w="10166" w:type="dxa"/>
            <w:shd w:val="clear" w:color="auto" w:fill="EEF4FA"/>
            <w:tcMar>
              <w:top w:w="80" w:type="dxa"/>
              <w:left w:w="120" w:type="dxa"/>
              <w:bottom w:w="80" w:type="dxa"/>
              <w:right w:w="120" w:type="dxa"/>
            </w:tcMar>
          </w:tcPr>
          <w:p w14:paraId="20FDD6BE" w14:textId="77777777" w:rsidR="00E768ED" w:rsidRDefault="00000000">
            <w:pPr>
              <w:spacing w:after="0"/>
            </w:pPr>
            <w:r>
              <w:rPr>
                <w:b/>
                <w:color w:val="16365C"/>
              </w:rPr>
              <w:t>Challenge intent</w:t>
            </w:r>
            <w:r>
              <w:t>: Build a spatio-temporal AI system for an APS-like grid that can forecast feeder conditions, test high-stress scenarios, and convert model outputs into decisions that a utility could actually use.</w:t>
            </w:r>
          </w:p>
        </w:tc>
      </w:tr>
    </w:tbl>
    <w:p w14:paraId="12A7EB78" w14:textId="77777777" w:rsidR="00E768ED" w:rsidRDefault="00E768ED"/>
    <w:p w14:paraId="4F012320" w14:textId="77777777" w:rsidR="00E768ED" w:rsidRDefault="00000000">
      <w:pPr>
        <w:pStyle w:val="Heading1Custom"/>
      </w:pPr>
      <w:r>
        <w:t>Introduction</w:t>
      </w:r>
    </w:p>
    <w:p w14:paraId="79AD55DE" w14:textId="77777777" w:rsidR="00E768ED" w:rsidRDefault="00000000">
      <w:r>
        <w:t>The electric grid is the connected system that moves electricity from generation to end use. Generation produces power at central plants and distributed resources such as solar and storage. Transmission moves bulk power over high-voltage lines across long distances. Distribution delivers that power through substations, feeders, transformers, and local circuits to homes, buildings, industry, and emerging loads such as electric vehicles. Demand is the time-varying need for electricity across those customers and devices, and utilities must continuously match supply and demand while keeping the network within safe limits.</w:t>
      </w:r>
    </w:p>
    <w:p w14:paraId="09C41E49" w14:textId="77777777" w:rsidR="00E768ED" w:rsidRDefault="00000000">
      <w:r>
        <w:t>A vertically integrated utility owns or controls most or all of that value chain, from generation to transmission and distribution. Arizona Public Service (APS) is a strong example of why this matters: one organization must understand how weather, customer growth, distributed energy resources, and new electric loads propagate across geography and time. Spatio-temporal AI models can help by learning how grid conditions evolve across feeders and time steps, enabling earlier warning of stress, faster scenario testing, and more adaptive planning and operations.</w:t>
      </w:r>
    </w:p>
    <w:p w14:paraId="43CA9B14" w14:textId="77777777" w:rsidR="00E768ED" w:rsidRDefault="00000000">
      <w:pPr>
        <w:pStyle w:val="Heading1Custom"/>
      </w:pPr>
      <w:r>
        <w:t>Your Challenge</w:t>
      </w:r>
    </w:p>
    <w:p w14:paraId="4EAC2FD2" w14:textId="77777777" w:rsidR="00E768ED" w:rsidRDefault="00000000">
      <w:r>
        <w:t>Build a proof-of-concept spatio-temporal AI system for a realistic APS-like distribution network that predicts feeder-level load over time, tests how those conditions change under extreme heat and/or EV evening peak growth, and converts those predictions into decision-ready outputs for planners or operators. Your model should combine temporal signals with network or geographic structure, evaluate performance on held-out periods, and show how a utility could act on the results.</w:t>
      </w:r>
    </w:p>
    <w:p w14:paraId="3EB37829" w14:textId="77777777" w:rsidR="00E768ED" w:rsidRDefault="00000000">
      <w:pPr>
        <w:pStyle w:val="Heading1Custom"/>
      </w:pPr>
      <w:r>
        <w:t>Details</w:t>
      </w:r>
    </w:p>
    <w:p w14:paraId="061593D1" w14:textId="77777777" w:rsidR="00E768ED" w:rsidRDefault="00000000">
      <w:pPr>
        <w:pStyle w:val="Heading2Custom"/>
      </w:pPr>
      <w:r>
        <w:t>Expected technical outputs</w:t>
      </w:r>
    </w:p>
    <w:tbl>
      <w:tblPr>
        <w:tblStyle w:val="TableGrid"/>
        <w:tblW w:w="0" w:type="auto"/>
        <w:jc w:val="center"/>
        <w:tblLayout w:type="fixed"/>
        <w:tblLook w:val="04A0" w:firstRow="1" w:lastRow="0" w:firstColumn="1" w:lastColumn="0" w:noHBand="0" w:noVBand="1"/>
      </w:tblPr>
      <w:tblGrid>
        <w:gridCol w:w="2160"/>
        <w:gridCol w:w="3744"/>
        <w:gridCol w:w="4176"/>
      </w:tblGrid>
      <w:tr w:rsidR="00E768ED" w14:paraId="1A9932CB" w14:textId="77777777">
        <w:trPr>
          <w:jc w:val="center"/>
        </w:trPr>
        <w:tc>
          <w:tcPr>
            <w:tcW w:w="2160" w:type="dxa"/>
            <w:shd w:val="clear" w:color="auto" w:fill="D8E4F2"/>
            <w:tcMar>
              <w:top w:w="70" w:type="dxa"/>
              <w:left w:w="90" w:type="dxa"/>
              <w:bottom w:w="70" w:type="dxa"/>
              <w:right w:w="90" w:type="dxa"/>
            </w:tcMar>
            <w:vAlign w:val="center"/>
          </w:tcPr>
          <w:p w14:paraId="04D46104" w14:textId="77777777" w:rsidR="00E768ED" w:rsidRDefault="00000000">
            <w:pPr>
              <w:spacing w:after="20" w:line="240" w:lineRule="auto"/>
            </w:pPr>
            <w:r>
              <w:rPr>
                <w:b/>
                <w:color w:val="16365C"/>
                <w:sz w:val="18"/>
              </w:rPr>
              <w:t>Output type</w:t>
            </w:r>
          </w:p>
        </w:tc>
        <w:tc>
          <w:tcPr>
            <w:tcW w:w="3744" w:type="dxa"/>
            <w:shd w:val="clear" w:color="auto" w:fill="D8E4F2"/>
            <w:tcMar>
              <w:top w:w="70" w:type="dxa"/>
              <w:left w:w="90" w:type="dxa"/>
              <w:bottom w:w="70" w:type="dxa"/>
              <w:right w:w="90" w:type="dxa"/>
            </w:tcMar>
            <w:vAlign w:val="center"/>
          </w:tcPr>
          <w:p w14:paraId="629A90BF" w14:textId="77777777" w:rsidR="00E768ED" w:rsidRDefault="00000000">
            <w:pPr>
              <w:spacing w:after="20" w:line="240" w:lineRule="auto"/>
            </w:pPr>
            <w:r>
              <w:rPr>
                <w:b/>
                <w:color w:val="16365C"/>
                <w:sz w:val="18"/>
              </w:rPr>
              <w:t>Minimum requirement</w:t>
            </w:r>
          </w:p>
        </w:tc>
        <w:tc>
          <w:tcPr>
            <w:tcW w:w="4176" w:type="dxa"/>
            <w:shd w:val="clear" w:color="auto" w:fill="D8E4F2"/>
            <w:tcMar>
              <w:top w:w="70" w:type="dxa"/>
              <w:left w:w="90" w:type="dxa"/>
              <w:bottom w:w="70" w:type="dxa"/>
              <w:right w:w="90" w:type="dxa"/>
            </w:tcMar>
            <w:vAlign w:val="center"/>
          </w:tcPr>
          <w:p w14:paraId="5EAFD55D" w14:textId="77777777" w:rsidR="00E768ED" w:rsidRDefault="00000000">
            <w:pPr>
              <w:spacing w:after="20" w:line="240" w:lineRule="auto"/>
            </w:pPr>
            <w:r>
              <w:rPr>
                <w:b/>
                <w:color w:val="16365C"/>
                <w:sz w:val="18"/>
              </w:rPr>
              <w:t>What strong teams will show</w:t>
            </w:r>
          </w:p>
        </w:tc>
      </w:tr>
      <w:tr w:rsidR="00E768ED" w14:paraId="6E02458B" w14:textId="77777777">
        <w:trPr>
          <w:jc w:val="center"/>
        </w:trPr>
        <w:tc>
          <w:tcPr>
            <w:tcW w:w="2160" w:type="dxa"/>
            <w:tcMar>
              <w:top w:w="70" w:type="dxa"/>
              <w:left w:w="90" w:type="dxa"/>
              <w:bottom w:w="70" w:type="dxa"/>
              <w:right w:w="90" w:type="dxa"/>
            </w:tcMar>
            <w:vAlign w:val="center"/>
          </w:tcPr>
          <w:p w14:paraId="023E5FB4" w14:textId="77777777" w:rsidR="00E768ED" w:rsidRDefault="00000000">
            <w:pPr>
              <w:spacing w:after="20" w:line="240" w:lineRule="auto"/>
            </w:pPr>
            <w:r>
              <w:rPr>
                <w:sz w:val="18"/>
              </w:rPr>
              <w:t>Forecasting output</w:t>
            </w:r>
          </w:p>
        </w:tc>
        <w:tc>
          <w:tcPr>
            <w:tcW w:w="3744" w:type="dxa"/>
            <w:tcMar>
              <w:top w:w="70" w:type="dxa"/>
              <w:left w:w="90" w:type="dxa"/>
              <w:bottom w:w="70" w:type="dxa"/>
              <w:right w:w="90" w:type="dxa"/>
            </w:tcMar>
            <w:vAlign w:val="center"/>
          </w:tcPr>
          <w:p w14:paraId="2DEA3A95" w14:textId="77777777" w:rsidR="00E768ED" w:rsidRDefault="00000000">
            <w:pPr>
              <w:spacing w:after="20" w:line="240" w:lineRule="auto"/>
            </w:pPr>
            <w:r>
              <w:rPr>
                <w:sz w:val="18"/>
              </w:rPr>
              <w:t>Feeder-level load forecasts over time.</w:t>
            </w:r>
          </w:p>
        </w:tc>
        <w:tc>
          <w:tcPr>
            <w:tcW w:w="4176" w:type="dxa"/>
            <w:tcMar>
              <w:top w:w="70" w:type="dxa"/>
              <w:left w:w="90" w:type="dxa"/>
              <w:bottom w:w="70" w:type="dxa"/>
              <w:right w:w="90" w:type="dxa"/>
            </w:tcMar>
            <w:vAlign w:val="center"/>
          </w:tcPr>
          <w:p w14:paraId="0DD636D5" w14:textId="77777777" w:rsidR="00E768ED" w:rsidRDefault="00000000">
            <w:pPr>
              <w:spacing w:after="20" w:line="240" w:lineRule="auto"/>
            </w:pPr>
            <w:r>
              <w:rPr>
                <w:sz w:val="18"/>
              </w:rPr>
              <w:t>Clear error metrics, good performance during stress periods, and a time horizon that is useful for planning or operations.</w:t>
            </w:r>
          </w:p>
        </w:tc>
      </w:tr>
      <w:tr w:rsidR="00E768ED" w14:paraId="44F28514" w14:textId="77777777">
        <w:trPr>
          <w:jc w:val="center"/>
        </w:trPr>
        <w:tc>
          <w:tcPr>
            <w:tcW w:w="2160" w:type="dxa"/>
            <w:tcMar>
              <w:top w:w="70" w:type="dxa"/>
              <w:left w:w="90" w:type="dxa"/>
              <w:bottom w:w="70" w:type="dxa"/>
              <w:right w:w="90" w:type="dxa"/>
            </w:tcMar>
            <w:vAlign w:val="center"/>
          </w:tcPr>
          <w:p w14:paraId="6832E03A" w14:textId="77777777" w:rsidR="00E768ED" w:rsidRDefault="00000000">
            <w:pPr>
              <w:spacing w:after="20" w:line="240" w:lineRule="auto"/>
            </w:pPr>
            <w:r>
              <w:rPr>
                <w:sz w:val="18"/>
              </w:rPr>
              <w:t>Scenario output</w:t>
            </w:r>
          </w:p>
        </w:tc>
        <w:tc>
          <w:tcPr>
            <w:tcW w:w="3744" w:type="dxa"/>
            <w:tcMar>
              <w:top w:w="70" w:type="dxa"/>
              <w:left w:w="90" w:type="dxa"/>
              <w:bottom w:w="70" w:type="dxa"/>
              <w:right w:w="90" w:type="dxa"/>
            </w:tcMar>
            <w:vAlign w:val="center"/>
          </w:tcPr>
          <w:p w14:paraId="02D0FF4B" w14:textId="77777777" w:rsidR="00E768ED" w:rsidRDefault="00000000">
            <w:pPr>
              <w:spacing w:after="20" w:line="240" w:lineRule="auto"/>
            </w:pPr>
            <w:r>
              <w:rPr>
                <w:sz w:val="18"/>
              </w:rPr>
              <w:t>At least one stress scenario using extreme heat and/or EV evening peak growth.</w:t>
            </w:r>
          </w:p>
        </w:tc>
        <w:tc>
          <w:tcPr>
            <w:tcW w:w="4176" w:type="dxa"/>
            <w:tcMar>
              <w:top w:w="70" w:type="dxa"/>
              <w:left w:w="90" w:type="dxa"/>
              <w:bottom w:w="70" w:type="dxa"/>
              <w:right w:w="90" w:type="dxa"/>
            </w:tcMar>
            <w:vAlign w:val="center"/>
          </w:tcPr>
          <w:p w14:paraId="26DE9B24" w14:textId="77777777" w:rsidR="00E768ED" w:rsidRDefault="00000000">
            <w:pPr>
              <w:spacing w:after="20" w:line="240" w:lineRule="auto"/>
            </w:pPr>
            <w:r>
              <w:rPr>
                <w:sz w:val="18"/>
              </w:rPr>
              <w:t>Side-by-side comparison of baseline vs. stressed operation, including where and when the network becomes more constrained.</w:t>
            </w:r>
          </w:p>
        </w:tc>
      </w:tr>
      <w:tr w:rsidR="00E768ED" w14:paraId="22B4A143" w14:textId="77777777">
        <w:trPr>
          <w:jc w:val="center"/>
        </w:trPr>
        <w:tc>
          <w:tcPr>
            <w:tcW w:w="2160" w:type="dxa"/>
            <w:tcMar>
              <w:top w:w="70" w:type="dxa"/>
              <w:left w:w="90" w:type="dxa"/>
              <w:bottom w:w="70" w:type="dxa"/>
              <w:right w:w="90" w:type="dxa"/>
            </w:tcMar>
            <w:vAlign w:val="center"/>
          </w:tcPr>
          <w:p w14:paraId="26E8284F" w14:textId="77777777" w:rsidR="00E768ED" w:rsidRDefault="00000000">
            <w:pPr>
              <w:spacing w:after="20" w:line="240" w:lineRule="auto"/>
            </w:pPr>
            <w:r>
              <w:rPr>
                <w:sz w:val="18"/>
              </w:rPr>
              <w:t>Decision output</w:t>
            </w:r>
          </w:p>
        </w:tc>
        <w:tc>
          <w:tcPr>
            <w:tcW w:w="3744" w:type="dxa"/>
            <w:tcMar>
              <w:top w:w="70" w:type="dxa"/>
              <w:left w:w="90" w:type="dxa"/>
              <w:bottom w:w="70" w:type="dxa"/>
              <w:right w:w="90" w:type="dxa"/>
            </w:tcMar>
            <w:vAlign w:val="center"/>
          </w:tcPr>
          <w:p w14:paraId="335F2296" w14:textId="77777777" w:rsidR="00E768ED" w:rsidRDefault="00000000">
            <w:pPr>
              <w:spacing w:after="20" w:line="240" w:lineRule="auto"/>
            </w:pPr>
            <w:r>
              <w:rPr>
                <w:sz w:val="18"/>
              </w:rPr>
              <w:t>A clean decision layer that turns forecasts and scenarios into action-oriented outputs.</w:t>
            </w:r>
          </w:p>
        </w:tc>
        <w:tc>
          <w:tcPr>
            <w:tcW w:w="4176" w:type="dxa"/>
            <w:tcMar>
              <w:top w:w="70" w:type="dxa"/>
              <w:left w:w="90" w:type="dxa"/>
              <w:bottom w:w="70" w:type="dxa"/>
              <w:right w:w="90" w:type="dxa"/>
            </w:tcMar>
            <w:vAlign w:val="center"/>
          </w:tcPr>
          <w:p w14:paraId="63BE9DB2" w14:textId="77777777" w:rsidR="00E768ED" w:rsidRDefault="00000000">
            <w:pPr>
              <w:spacing w:after="20" w:line="240" w:lineRule="auto"/>
            </w:pPr>
            <w:r>
              <w:rPr>
                <w:sz w:val="18"/>
              </w:rPr>
              <w:t>A dashboard, map, or prioritization view that identifies the feeders, time windows, and interventions that matter most.</w:t>
            </w:r>
          </w:p>
        </w:tc>
      </w:tr>
    </w:tbl>
    <w:p w14:paraId="069B5AE4" w14:textId="77777777" w:rsidR="00E768ED" w:rsidRDefault="00E768ED"/>
    <w:p w14:paraId="10FA7E40" w14:textId="77777777" w:rsidR="00E768ED" w:rsidRDefault="00000000">
      <w:pPr>
        <w:pStyle w:val="Heading2Custom"/>
      </w:pPr>
      <w:r>
        <w:t>Required inputs and modeling ingredients</w:t>
      </w:r>
    </w:p>
    <w:tbl>
      <w:tblPr>
        <w:tblStyle w:val="ListTable3-Accent1"/>
        <w:tblW w:w="0" w:type="auto"/>
        <w:tblLook w:val="04A0" w:firstRow="1" w:lastRow="0" w:firstColumn="1" w:lastColumn="0" w:noHBand="0" w:noVBand="1"/>
      </w:tblPr>
      <w:tblGrid>
        <w:gridCol w:w="1634"/>
        <w:gridCol w:w="3991"/>
        <w:gridCol w:w="4757"/>
      </w:tblGrid>
      <w:tr w:rsidR="00050AED" w:rsidRPr="00050AED" w14:paraId="15CF2FB7" w14:textId="77777777" w:rsidTr="00050A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BE798B" w14:textId="77777777" w:rsidR="00050AED" w:rsidRPr="00050AED" w:rsidRDefault="00050AED" w:rsidP="00050AED">
            <w:pPr>
              <w:spacing w:after="20" w:line="240" w:lineRule="auto"/>
              <w:rPr>
                <w:color w:val="16365C"/>
                <w:sz w:val="18"/>
              </w:rPr>
            </w:pPr>
            <w:r w:rsidRPr="00050AED">
              <w:rPr>
                <w:color w:val="16365C"/>
                <w:sz w:val="18"/>
              </w:rPr>
              <w:t>Required inputs and modeling ingredients</w:t>
            </w:r>
          </w:p>
        </w:tc>
        <w:tc>
          <w:tcPr>
            <w:tcW w:w="0" w:type="auto"/>
            <w:hideMark/>
          </w:tcPr>
          <w:p w14:paraId="03496A3E" w14:textId="77777777" w:rsidR="00050AED" w:rsidRPr="00050AED" w:rsidRDefault="00050AED" w:rsidP="00050AED">
            <w:pPr>
              <w:spacing w:after="20" w:line="240" w:lineRule="auto"/>
              <w:cnfStyle w:val="100000000000" w:firstRow="1" w:lastRow="0" w:firstColumn="0" w:lastColumn="0" w:oddVBand="0" w:evenVBand="0" w:oddHBand="0" w:evenHBand="0" w:firstRowFirstColumn="0" w:firstRowLastColumn="0" w:lastRowFirstColumn="0" w:lastRowLastColumn="0"/>
              <w:rPr>
                <w:color w:val="16365C"/>
                <w:sz w:val="18"/>
              </w:rPr>
            </w:pPr>
            <w:r w:rsidRPr="00050AED">
              <w:rPr>
                <w:color w:val="16365C"/>
                <w:sz w:val="18"/>
              </w:rPr>
              <w:t>Examples</w:t>
            </w:r>
          </w:p>
        </w:tc>
        <w:tc>
          <w:tcPr>
            <w:tcW w:w="0" w:type="auto"/>
            <w:hideMark/>
          </w:tcPr>
          <w:p w14:paraId="327D8E77" w14:textId="77777777" w:rsidR="00050AED" w:rsidRPr="00050AED" w:rsidRDefault="00050AED" w:rsidP="00050AED">
            <w:pPr>
              <w:spacing w:after="20" w:line="240" w:lineRule="auto"/>
              <w:cnfStyle w:val="100000000000" w:firstRow="1" w:lastRow="0" w:firstColumn="0" w:lastColumn="0" w:oddVBand="0" w:evenVBand="0" w:oddHBand="0" w:evenHBand="0" w:firstRowFirstColumn="0" w:firstRowLastColumn="0" w:lastRowFirstColumn="0" w:lastRowLastColumn="0"/>
              <w:rPr>
                <w:color w:val="16365C"/>
                <w:sz w:val="18"/>
              </w:rPr>
            </w:pPr>
            <w:r w:rsidRPr="00050AED">
              <w:rPr>
                <w:color w:val="16365C"/>
                <w:sz w:val="18"/>
              </w:rPr>
              <w:t>Guidance</w:t>
            </w:r>
          </w:p>
        </w:tc>
      </w:tr>
      <w:tr w:rsidR="00050AED" w:rsidRPr="00050AED" w14:paraId="647DCFBB" w14:textId="77777777" w:rsidTr="00050A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62C10" w14:textId="77777777" w:rsidR="00050AED" w:rsidRPr="00050AED" w:rsidRDefault="00050AED" w:rsidP="00050AED">
            <w:pPr>
              <w:spacing w:after="0" w:line="240" w:lineRule="auto"/>
              <w:rPr>
                <w:rFonts w:eastAsia="Times New Roman" w:cs="Times New Roman"/>
                <w:sz w:val="18"/>
                <w:szCs w:val="18"/>
              </w:rPr>
            </w:pPr>
            <w:r w:rsidRPr="00050AED">
              <w:rPr>
                <w:rFonts w:eastAsia="Times New Roman" w:cs="Times New Roman"/>
                <w:sz w:val="18"/>
                <w:szCs w:val="18"/>
              </w:rPr>
              <w:t>Grid topology and form</w:t>
            </w:r>
          </w:p>
        </w:tc>
        <w:tc>
          <w:tcPr>
            <w:tcW w:w="0" w:type="auto"/>
            <w:hideMark/>
          </w:tcPr>
          <w:p w14:paraId="12B53E94" w14:textId="77777777" w:rsidR="00050AED" w:rsidRPr="00050AED" w:rsidRDefault="00050AED" w:rsidP="00050AE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050AED">
              <w:rPr>
                <w:rFonts w:eastAsia="Times New Roman" w:cs="Times New Roman"/>
                <w:sz w:val="18"/>
                <w:szCs w:val="18"/>
              </w:rPr>
              <w:t xml:space="preserve">A known public test feeder with 20+ buses, such as the </w:t>
            </w:r>
            <w:hyperlink r:id="rId6" w:history="1">
              <w:r w:rsidRPr="00050AED">
                <w:rPr>
                  <w:rFonts w:eastAsia="Times New Roman" w:cs="Times New Roman"/>
                  <w:color w:val="0000FF"/>
                  <w:sz w:val="18"/>
                  <w:szCs w:val="18"/>
                  <w:u w:val="single"/>
                </w:rPr>
                <w:t>IEEE PES test feeders</w:t>
              </w:r>
            </w:hyperlink>
            <w:r w:rsidRPr="00050AED">
              <w:rPr>
                <w:rFonts w:eastAsia="Times New Roman" w:cs="Times New Roman"/>
                <w:sz w:val="18"/>
                <w:szCs w:val="18"/>
              </w:rPr>
              <w:t xml:space="preserve"> including the 34-bus, 37-bus, and 123-bus cases.</w:t>
            </w:r>
          </w:p>
        </w:tc>
        <w:tc>
          <w:tcPr>
            <w:tcW w:w="0" w:type="auto"/>
            <w:hideMark/>
          </w:tcPr>
          <w:p w14:paraId="4E2E624C" w14:textId="77777777" w:rsidR="00050AED" w:rsidRPr="00050AED" w:rsidRDefault="00050AED" w:rsidP="00050AE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050AED">
              <w:rPr>
                <w:rFonts w:eastAsia="Times New Roman" w:cs="Times New Roman"/>
                <w:sz w:val="18"/>
                <w:szCs w:val="18"/>
              </w:rPr>
              <w:t>Students are welcome to create a model of equivalent complexity that is more representative of Arizona conditions. The more realistic the grid assumptions, topology, and operating constraints, the more competitive the submission will be.</w:t>
            </w:r>
          </w:p>
        </w:tc>
      </w:tr>
      <w:tr w:rsidR="00050AED" w:rsidRPr="00050AED" w14:paraId="11E9D195" w14:textId="77777777" w:rsidTr="00050AED">
        <w:tc>
          <w:tcPr>
            <w:cnfStyle w:val="001000000000" w:firstRow="0" w:lastRow="0" w:firstColumn="1" w:lastColumn="0" w:oddVBand="0" w:evenVBand="0" w:oddHBand="0" w:evenHBand="0" w:firstRowFirstColumn="0" w:firstRowLastColumn="0" w:lastRowFirstColumn="0" w:lastRowLastColumn="0"/>
            <w:tcW w:w="0" w:type="auto"/>
            <w:hideMark/>
          </w:tcPr>
          <w:p w14:paraId="499715C5" w14:textId="77777777" w:rsidR="00050AED" w:rsidRPr="00050AED" w:rsidRDefault="00050AED" w:rsidP="00050AED">
            <w:pPr>
              <w:spacing w:after="0" w:line="240" w:lineRule="auto"/>
              <w:rPr>
                <w:rFonts w:eastAsia="Times New Roman" w:cs="Times New Roman"/>
                <w:sz w:val="18"/>
                <w:szCs w:val="18"/>
              </w:rPr>
            </w:pPr>
            <w:r w:rsidRPr="00050AED">
              <w:rPr>
                <w:rFonts w:eastAsia="Times New Roman" w:cs="Times New Roman"/>
                <w:sz w:val="18"/>
                <w:szCs w:val="18"/>
              </w:rPr>
              <w:t>Load and time-series demand</w:t>
            </w:r>
          </w:p>
        </w:tc>
        <w:tc>
          <w:tcPr>
            <w:tcW w:w="0" w:type="auto"/>
            <w:hideMark/>
          </w:tcPr>
          <w:p w14:paraId="442B026E" w14:textId="77777777" w:rsidR="00050AED" w:rsidRPr="00050AED" w:rsidRDefault="00050AED" w:rsidP="00050AE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050AED">
              <w:rPr>
                <w:rFonts w:eastAsia="Times New Roman" w:cs="Times New Roman"/>
                <w:sz w:val="18"/>
                <w:szCs w:val="18"/>
              </w:rPr>
              <w:t xml:space="preserve">Historical or synthetic feeder, customer, or end-use load traces from sources such as </w:t>
            </w:r>
            <w:hyperlink r:id="rId7" w:history="1">
              <w:r w:rsidRPr="00050AED">
                <w:rPr>
                  <w:rFonts w:eastAsia="Times New Roman" w:cs="Times New Roman"/>
                  <w:color w:val="0000FF"/>
                  <w:sz w:val="18"/>
                  <w:szCs w:val="18"/>
                  <w:u w:val="single"/>
                </w:rPr>
                <w:t xml:space="preserve">Pecan </w:t>
              </w:r>
              <w:r w:rsidRPr="00050AED">
                <w:rPr>
                  <w:rFonts w:eastAsia="Times New Roman" w:cs="Times New Roman"/>
                  <w:color w:val="0000FF"/>
                  <w:sz w:val="18"/>
                  <w:szCs w:val="18"/>
                  <w:u w:val="single"/>
                </w:rPr>
                <w:lastRenderedPageBreak/>
                <w:t>Street Dataport</w:t>
              </w:r>
            </w:hyperlink>
            <w:r w:rsidRPr="00050AED">
              <w:rPr>
                <w:rFonts w:eastAsia="Times New Roman" w:cs="Times New Roman"/>
                <w:sz w:val="18"/>
                <w:szCs w:val="18"/>
              </w:rPr>
              <w:t xml:space="preserve">, </w:t>
            </w:r>
            <w:hyperlink r:id="rId8" w:history="1">
              <w:r w:rsidRPr="00050AED">
                <w:rPr>
                  <w:rFonts w:eastAsia="Times New Roman" w:cs="Times New Roman"/>
                  <w:color w:val="0000FF"/>
                  <w:sz w:val="18"/>
                  <w:szCs w:val="18"/>
                  <w:u w:val="single"/>
                </w:rPr>
                <w:t>NREL SMART-DS</w:t>
              </w:r>
            </w:hyperlink>
            <w:r w:rsidRPr="00050AED">
              <w:rPr>
                <w:rFonts w:eastAsia="Times New Roman" w:cs="Times New Roman"/>
                <w:sz w:val="18"/>
                <w:szCs w:val="18"/>
              </w:rPr>
              <w:t>, or organizer-provided synthetic traces.</w:t>
            </w:r>
          </w:p>
        </w:tc>
        <w:tc>
          <w:tcPr>
            <w:tcW w:w="0" w:type="auto"/>
            <w:hideMark/>
          </w:tcPr>
          <w:p w14:paraId="410903F6" w14:textId="77777777" w:rsidR="00050AED" w:rsidRPr="00050AED" w:rsidRDefault="00050AED" w:rsidP="00050AE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050AED">
              <w:rPr>
                <w:rFonts w:eastAsia="Times New Roman" w:cs="Times New Roman"/>
                <w:sz w:val="18"/>
                <w:szCs w:val="18"/>
              </w:rPr>
              <w:lastRenderedPageBreak/>
              <w:t xml:space="preserve">Teams should preserve hourly or sub-hourly time structure and explain how demand varies across geography, </w:t>
            </w:r>
            <w:r w:rsidRPr="00050AED">
              <w:rPr>
                <w:rFonts w:eastAsia="Times New Roman" w:cs="Times New Roman"/>
                <w:sz w:val="18"/>
                <w:szCs w:val="18"/>
              </w:rPr>
              <w:lastRenderedPageBreak/>
              <w:t>customer mix, and weather.</w:t>
            </w:r>
          </w:p>
        </w:tc>
      </w:tr>
      <w:tr w:rsidR="00050AED" w:rsidRPr="00050AED" w14:paraId="5592D692" w14:textId="77777777" w:rsidTr="00050A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9F31B" w14:textId="77777777" w:rsidR="00050AED" w:rsidRPr="00050AED" w:rsidRDefault="00050AED" w:rsidP="00050AED">
            <w:pPr>
              <w:spacing w:after="0" w:line="240" w:lineRule="auto"/>
              <w:rPr>
                <w:rFonts w:eastAsia="Times New Roman" w:cs="Times New Roman"/>
                <w:sz w:val="18"/>
                <w:szCs w:val="18"/>
              </w:rPr>
            </w:pPr>
            <w:r w:rsidRPr="00050AED">
              <w:rPr>
                <w:rFonts w:eastAsia="Times New Roman" w:cs="Times New Roman"/>
                <w:sz w:val="18"/>
                <w:szCs w:val="18"/>
              </w:rPr>
              <w:lastRenderedPageBreak/>
              <w:t>Weather and climate</w:t>
            </w:r>
          </w:p>
        </w:tc>
        <w:tc>
          <w:tcPr>
            <w:tcW w:w="0" w:type="auto"/>
            <w:hideMark/>
          </w:tcPr>
          <w:p w14:paraId="48903291" w14:textId="77777777" w:rsidR="00050AED" w:rsidRPr="00050AED" w:rsidRDefault="00050AED" w:rsidP="00050AE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hyperlink r:id="rId9" w:history="1">
              <w:r w:rsidRPr="00050AED">
                <w:rPr>
                  <w:rFonts w:eastAsia="Times New Roman" w:cs="Times New Roman"/>
                  <w:color w:val="0000FF"/>
                  <w:sz w:val="18"/>
                  <w:szCs w:val="18"/>
                  <w:u w:val="single"/>
                </w:rPr>
                <w:t>NOAA hourly weather</w:t>
              </w:r>
            </w:hyperlink>
            <w:r w:rsidRPr="00050AED">
              <w:rPr>
                <w:rFonts w:eastAsia="Times New Roman" w:cs="Times New Roman"/>
                <w:sz w:val="18"/>
                <w:szCs w:val="18"/>
              </w:rPr>
              <w:t xml:space="preserve">, </w:t>
            </w:r>
            <w:hyperlink r:id="rId10" w:history="1">
              <w:r w:rsidRPr="00050AED">
                <w:rPr>
                  <w:rFonts w:eastAsia="Times New Roman" w:cs="Times New Roman"/>
                  <w:color w:val="0000FF"/>
                  <w:sz w:val="18"/>
                  <w:szCs w:val="18"/>
                  <w:u w:val="single"/>
                </w:rPr>
                <w:t>NOAA hourly/sub-hourly observational access</w:t>
              </w:r>
            </w:hyperlink>
            <w:r w:rsidRPr="00050AED">
              <w:rPr>
                <w:rFonts w:eastAsia="Times New Roman" w:cs="Times New Roman"/>
                <w:sz w:val="18"/>
                <w:szCs w:val="18"/>
              </w:rPr>
              <w:t xml:space="preserve">, </w:t>
            </w:r>
            <w:hyperlink r:id="rId11" w:history="1">
              <w:r w:rsidRPr="00050AED">
                <w:rPr>
                  <w:rFonts w:eastAsia="Times New Roman" w:cs="Times New Roman"/>
                  <w:color w:val="0000FF"/>
                  <w:sz w:val="18"/>
                  <w:szCs w:val="18"/>
                  <w:u w:val="single"/>
                </w:rPr>
                <w:t>NREL NSRDB irradiance data</w:t>
              </w:r>
            </w:hyperlink>
            <w:r w:rsidRPr="00050AED">
              <w:rPr>
                <w:rFonts w:eastAsia="Times New Roman" w:cs="Times New Roman"/>
                <w:sz w:val="18"/>
                <w:szCs w:val="18"/>
              </w:rPr>
              <w:t>, heat-wave windows, and related climate variables.</w:t>
            </w:r>
          </w:p>
        </w:tc>
        <w:tc>
          <w:tcPr>
            <w:tcW w:w="0" w:type="auto"/>
            <w:hideMark/>
          </w:tcPr>
          <w:p w14:paraId="5EF0C3C2" w14:textId="77777777" w:rsidR="00050AED" w:rsidRPr="00050AED" w:rsidRDefault="00050AED" w:rsidP="00050AE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050AED">
              <w:rPr>
                <w:rFonts w:eastAsia="Times New Roman" w:cs="Times New Roman"/>
                <w:sz w:val="18"/>
                <w:szCs w:val="18"/>
              </w:rPr>
              <w:t>Extreme heat should not appear only as a label. It should enter the model as a driver or scenario input.</w:t>
            </w:r>
          </w:p>
        </w:tc>
      </w:tr>
      <w:tr w:rsidR="00050AED" w:rsidRPr="00050AED" w14:paraId="5BD95066" w14:textId="77777777" w:rsidTr="00050AED">
        <w:tc>
          <w:tcPr>
            <w:cnfStyle w:val="001000000000" w:firstRow="0" w:lastRow="0" w:firstColumn="1" w:lastColumn="0" w:oddVBand="0" w:evenVBand="0" w:oddHBand="0" w:evenHBand="0" w:firstRowFirstColumn="0" w:firstRowLastColumn="0" w:lastRowFirstColumn="0" w:lastRowLastColumn="0"/>
            <w:tcW w:w="0" w:type="auto"/>
            <w:hideMark/>
          </w:tcPr>
          <w:p w14:paraId="7D3E8ADC" w14:textId="77777777" w:rsidR="00050AED" w:rsidRPr="00050AED" w:rsidRDefault="00050AED" w:rsidP="00050AED">
            <w:pPr>
              <w:spacing w:after="0" w:line="240" w:lineRule="auto"/>
              <w:rPr>
                <w:rFonts w:eastAsia="Times New Roman" w:cs="Times New Roman"/>
                <w:sz w:val="18"/>
                <w:szCs w:val="18"/>
              </w:rPr>
            </w:pPr>
            <w:r w:rsidRPr="00050AED">
              <w:rPr>
                <w:rFonts w:eastAsia="Times New Roman" w:cs="Times New Roman"/>
                <w:sz w:val="18"/>
                <w:szCs w:val="18"/>
              </w:rPr>
              <w:t>DER and EV stressors</w:t>
            </w:r>
          </w:p>
        </w:tc>
        <w:tc>
          <w:tcPr>
            <w:tcW w:w="0" w:type="auto"/>
            <w:hideMark/>
          </w:tcPr>
          <w:p w14:paraId="6362025F" w14:textId="77777777" w:rsidR="00050AED" w:rsidRPr="00050AED" w:rsidRDefault="00050AED" w:rsidP="00050AE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050AED">
              <w:rPr>
                <w:rFonts w:eastAsia="Times New Roman" w:cs="Times New Roman"/>
                <w:sz w:val="18"/>
                <w:szCs w:val="18"/>
              </w:rPr>
              <w:t xml:space="preserve">Distributed solar, storage, EV charging, and evening charging growth assumptions using </w:t>
            </w:r>
            <w:hyperlink r:id="rId12" w:history="1">
              <w:r w:rsidRPr="00050AED">
                <w:rPr>
                  <w:rFonts w:eastAsia="Times New Roman" w:cs="Times New Roman"/>
                  <w:color w:val="0000FF"/>
                  <w:sz w:val="18"/>
                  <w:szCs w:val="18"/>
                  <w:u w:val="single"/>
                </w:rPr>
                <w:t>Pecan Street Dataport</w:t>
              </w:r>
            </w:hyperlink>
            <w:r w:rsidRPr="00050AED">
              <w:rPr>
                <w:rFonts w:eastAsia="Times New Roman" w:cs="Times New Roman"/>
                <w:sz w:val="18"/>
                <w:szCs w:val="18"/>
              </w:rPr>
              <w:t xml:space="preserve">, </w:t>
            </w:r>
            <w:hyperlink r:id="rId13" w:history="1">
              <w:r w:rsidRPr="00050AED">
                <w:rPr>
                  <w:rFonts w:eastAsia="Times New Roman" w:cs="Times New Roman"/>
                  <w:color w:val="0000FF"/>
                  <w:sz w:val="18"/>
                  <w:szCs w:val="18"/>
                  <w:u w:val="single"/>
                </w:rPr>
                <w:t>NREL EVI-Pro</w:t>
              </w:r>
            </w:hyperlink>
            <w:r w:rsidRPr="00050AED">
              <w:rPr>
                <w:rFonts w:eastAsia="Times New Roman" w:cs="Times New Roman"/>
                <w:sz w:val="18"/>
                <w:szCs w:val="18"/>
              </w:rPr>
              <w:t xml:space="preserve">, </w:t>
            </w:r>
            <w:hyperlink r:id="rId14" w:history="1">
              <w:r w:rsidRPr="00050AED">
                <w:rPr>
                  <w:rFonts w:eastAsia="Times New Roman" w:cs="Times New Roman"/>
                  <w:color w:val="0000FF"/>
                  <w:sz w:val="18"/>
                  <w:szCs w:val="18"/>
                  <w:u w:val="single"/>
                </w:rPr>
                <w:t>NREL EVI-DiST</w:t>
              </w:r>
            </w:hyperlink>
            <w:r w:rsidRPr="00050AED">
              <w:rPr>
                <w:rFonts w:eastAsia="Times New Roman" w:cs="Times New Roman"/>
                <w:sz w:val="18"/>
                <w:szCs w:val="18"/>
              </w:rPr>
              <w:t>, or well-documented synthetic assumptions.</w:t>
            </w:r>
          </w:p>
        </w:tc>
        <w:tc>
          <w:tcPr>
            <w:tcW w:w="0" w:type="auto"/>
            <w:hideMark/>
          </w:tcPr>
          <w:p w14:paraId="4201D871" w14:textId="77777777" w:rsidR="00050AED" w:rsidRPr="00050AED" w:rsidRDefault="00050AED" w:rsidP="00050AE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050AED">
              <w:rPr>
                <w:rFonts w:eastAsia="Times New Roman" w:cs="Times New Roman"/>
                <w:sz w:val="18"/>
                <w:szCs w:val="18"/>
              </w:rPr>
              <w:t>It is acceptable to use real, open, or synthetic data as long as the assumptions are well documented and technically coherent.</w:t>
            </w:r>
          </w:p>
        </w:tc>
      </w:tr>
      <w:tr w:rsidR="00050AED" w:rsidRPr="00050AED" w14:paraId="505C2A38" w14:textId="77777777" w:rsidTr="00050A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E41BB" w14:textId="77777777" w:rsidR="00050AED" w:rsidRPr="00050AED" w:rsidRDefault="00050AED" w:rsidP="00050AED">
            <w:pPr>
              <w:spacing w:after="0" w:line="240" w:lineRule="auto"/>
              <w:rPr>
                <w:rFonts w:eastAsia="Times New Roman" w:cs="Times New Roman"/>
                <w:sz w:val="18"/>
                <w:szCs w:val="18"/>
              </w:rPr>
            </w:pPr>
            <w:r w:rsidRPr="00050AED">
              <w:rPr>
                <w:rFonts w:eastAsia="Times New Roman" w:cs="Times New Roman"/>
                <w:sz w:val="18"/>
                <w:szCs w:val="18"/>
              </w:rPr>
              <w:t>Broader system context</w:t>
            </w:r>
          </w:p>
        </w:tc>
        <w:tc>
          <w:tcPr>
            <w:tcW w:w="0" w:type="auto"/>
            <w:hideMark/>
          </w:tcPr>
          <w:p w14:paraId="615C7341" w14:textId="77777777" w:rsidR="00050AED" w:rsidRPr="00050AED" w:rsidRDefault="00050AED" w:rsidP="00050AE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hyperlink r:id="rId15" w:history="1">
              <w:r w:rsidRPr="00050AED">
                <w:rPr>
                  <w:rFonts w:eastAsia="Times New Roman" w:cs="Times New Roman"/>
                  <w:color w:val="0000FF"/>
                  <w:sz w:val="18"/>
                  <w:szCs w:val="18"/>
                  <w:u w:val="single"/>
                </w:rPr>
                <w:t>EIA Hourly Electric Grid Monitor / Form EIA-930 context</w:t>
              </w:r>
            </w:hyperlink>
            <w:r w:rsidRPr="00050AED">
              <w:rPr>
                <w:rFonts w:eastAsia="Times New Roman" w:cs="Times New Roman"/>
                <w:sz w:val="18"/>
                <w:szCs w:val="18"/>
              </w:rPr>
              <w:t xml:space="preserve">, </w:t>
            </w:r>
            <w:hyperlink r:id="rId16" w:history="1">
              <w:r w:rsidRPr="00050AED">
                <w:rPr>
                  <w:rFonts w:eastAsia="Times New Roman" w:cs="Times New Roman"/>
                  <w:color w:val="0000FF"/>
                  <w:sz w:val="18"/>
                  <w:szCs w:val="18"/>
                  <w:u w:val="single"/>
                </w:rPr>
                <w:t>NREL SMART-DS</w:t>
              </w:r>
            </w:hyperlink>
            <w:r w:rsidRPr="00050AED">
              <w:rPr>
                <w:rFonts w:eastAsia="Times New Roman" w:cs="Times New Roman"/>
                <w:sz w:val="18"/>
                <w:szCs w:val="18"/>
              </w:rPr>
              <w:t xml:space="preserve">, </w:t>
            </w:r>
            <w:hyperlink r:id="rId17" w:history="1">
              <w:r w:rsidRPr="00050AED">
                <w:rPr>
                  <w:rFonts w:eastAsia="Times New Roman" w:cs="Times New Roman"/>
                  <w:color w:val="0000FF"/>
                  <w:sz w:val="18"/>
                  <w:szCs w:val="18"/>
                  <w:u w:val="single"/>
                </w:rPr>
                <w:t>Pecan Street Dataport</w:t>
              </w:r>
            </w:hyperlink>
            <w:r w:rsidRPr="00050AED">
              <w:rPr>
                <w:rFonts w:eastAsia="Times New Roman" w:cs="Times New Roman"/>
                <w:sz w:val="18"/>
                <w:szCs w:val="18"/>
              </w:rPr>
              <w:t>, and other public datasets.</w:t>
            </w:r>
          </w:p>
        </w:tc>
        <w:tc>
          <w:tcPr>
            <w:tcW w:w="0" w:type="auto"/>
            <w:hideMark/>
          </w:tcPr>
          <w:p w14:paraId="32BE7A07" w14:textId="77777777" w:rsidR="00050AED" w:rsidRPr="00050AED" w:rsidRDefault="00050AED" w:rsidP="00050AED">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050AED">
              <w:rPr>
                <w:rFonts w:eastAsia="Times New Roman" w:cs="Times New Roman"/>
                <w:sz w:val="18"/>
                <w:szCs w:val="18"/>
              </w:rPr>
              <w:t>Teams may combine bulk-system context, weather, customer-level traces, and synthetic feeder models when it improves realism and predictive value.</w:t>
            </w:r>
          </w:p>
        </w:tc>
      </w:tr>
      <w:tr w:rsidR="00050AED" w:rsidRPr="00050AED" w14:paraId="5ECEC3F7" w14:textId="77777777" w:rsidTr="00050AED">
        <w:tc>
          <w:tcPr>
            <w:cnfStyle w:val="001000000000" w:firstRow="0" w:lastRow="0" w:firstColumn="1" w:lastColumn="0" w:oddVBand="0" w:evenVBand="0" w:oddHBand="0" w:evenHBand="0" w:firstRowFirstColumn="0" w:firstRowLastColumn="0" w:lastRowFirstColumn="0" w:lastRowLastColumn="0"/>
            <w:tcW w:w="0" w:type="auto"/>
            <w:hideMark/>
          </w:tcPr>
          <w:p w14:paraId="7ACC91B6" w14:textId="77777777" w:rsidR="00050AED" w:rsidRPr="00050AED" w:rsidRDefault="00050AED" w:rsidP="00050AED">
            <w:pPr>
              <w:spacing w:after="0" w:line="240" w:lineRule="auto"/>
              <w:rPr>
                <w:rFonts w:eastAsia="Times New Roman" w:cs="Times New Roman"/>
                <w:sz w:val="18"/>
                <w:szCs w:val="18"/>
              </w:rPr>
            </w:pPr>
            <w:r w:rsidRPr="00050AED">
              <w:rPr>
                <w:rFonts w:eastAsia="Times New Roman" w:cs="Times New Roman"/>
                <w:sz w:val="18"/>
                <w:szCs w:val="18"/>
              </w:rPr>
              <w:t>Tools and AI methods</w:t>
            </w:r>
          </w:p>
        </w:tc>
        <w:tc>
          <w:tcPr>
            <w:tcW w:w="0" w:type="auto"/>
            <w:hideMark/>
          </w:tcPr>
          <w:p w14:paraId="14FEFE7D" w14:textId="77777777" w:rsidR="00050AED" w:rsidRPr="00050AED" w:rsidRDefault="00050AED" w:rsidP="00050AE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050AED">
              <w:rPr>
                <w:rFonts w:eastAsia="Times New Roman" w:cs="Times New Roman"/>
                <w:sz w:val="18"/>
                <w:szCs w:val="18"/>
              </w:rPr>
              <w:t xml:space="preserve">Neural networks, graph neural networks, transformers, temporal models, hybrid physics-ML models, physics-informed neural networks, and </w:t>
            </w:r>
            <w:hyperlink r:id="rId18" w:history="1">
              <w:r w:rsidRPr="00050AED">
                <w:rPr>
                  <w:rFonts w:eastAsia="Times New Roman" w:cs="Times New Roman"/>
                  <w:color w:val="0000FF"/>
                  <w:sz w:val="18"/>
                  <w:szCs w:val="18"/>
                  <w:u w:val="single"/>
                </w:rPr>
                <w:t>OpenDSS</w:t>
              </w:r>
            </w:hyperlink>
            <w:r w:rsidRPr="00050AED">
              <w:rPr>
                <w:rFonts w:eastAsia="Times New Roman" w:cs="Times New Roman"/>
                <w:sz w:val="18"/>
                <w:szCs w:val="18"/>
              </w:rPr>
              <w:t xml:space="preserve"> or equivalent power-system simulators.</w:t>
            </w:r>
          </w:p>
        </w:tc>
        <w:tc>
          <w:tcPr>
            <w:tcW w:w="0" w:type="auto"/>
            <w:hideMark/>
          </w:tcPr>
          <w:p w14:paraId="1575AF32" w14:textId="774697DA" w:rsidR="00050AED" w:rsidRPr="00050AED" w:rsidRDefault="00050AED" w:rsidP="00050AED">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050AED">
              <w:rPr>
                <w:rFonts w:eastAsia="Times New Roman" w:cs="Times New Roman"/>
                <w:sz w:val="18"/>
                <w:szCs w:val="18"/>
              </w:rPr>
              <w:t>Any tool stack is allowed, but the core submission must include a real trainable AI model with learned parameters. A pure LLM wrapper, chatbot, or prompt-only interface without substantive model weights is out of scope.</w:t>
            </w:r>
          </w:p>
        </w:tc>
      </w:tr>
    </w:tbl>
    <w:p w14:paraId="474BAB65" w14:textId="77777777" w:rsidR="00050AED" w:rsidRDefault="00050AED">
      <w:pPr>
        <w:pStyle w:val="Heading2Custom"/>
      </w:pPr>
    </w:p>
    <w:p w14:paraId="6EEB9DCA" w14:textId="77777777" w:rsidR="00E768ED" w:rsidRDefault="00E768ED"/>
    <w:p w14:paraId="60114E6F" w14:textId="77777777" w:rsidR="00E768ED" w:rsidRDefault="00000000">
      <w:pPr>
        <w:pStyle w:val="Heading2Custom"/>
      </w:pPr>
      <w:r>
        <w:t>Required submission package</w:t>
      </w:r>
    </w:p>
    <w:tbl>
      <w:tblPr>
        <w:tblStyle w:val="TableGrid"/>
        <w:tblW w:w="0" w:type="auto"/>
        <w:jc w:val="center"/>
        <w:tblLayout w:type="fixed"/>
        <w:tblLook w:val="04A0" w:firstRow="1" w:lastRow="0" w:firstColumn="1" w:lastColumn="0" w:noHBand="0" w:noVBand="1"/>
      </w:tblPr>
      <w:tblGrid>
        <w:gridCol w:w="2232"/>
        <w:gridCol w:w="7848"/>
      </w:tblGrid>
      <w:tr w:rsidR="00E768ED" w14:paraId="7138BE03" w14:textId="77777777">
        <w:trPr>
          <w:jc w:val="center"/>
        </w:trPr>
        <w:tc>
          <w:tcPr>
            <w:tcW w:w="2232" w:type="dxa"/>
            <w:shd w:val="clear" w:color="auto" w:fill="F2EEDC"/>
            <w:tcMar>
              <w:top w:w="70" w:type="dxa"/>
              <w:left w:w="90" w:type="dxa"/>
              <w:bottom w:w="70" w:type="dxa"/>
              <w:right w:w="90" w:type="dxa"/>
            </w:tcMar>
            <w:vAlign w:val="center"/>
          </w:tcPr>
          <w:p w14:paraId="12FAE280" w14:textId="77777777" w:rsidR="00E768ED" w:rsidRDefault="00000000">
            <w:pPr>
              <w:spacing w:after="20" w:line="240" w:lineRule="auto"/>
            </w:pPr>
            <w:r>
              <w:rPr>
                <w:b/>
                <w:color w:val="16365C"/>
                <w:sz w:val="18"/>
              </w:rPr>
              <w:t>Deliverable</w:t>
            </w:r>
          </w:p>
        </w:tc>
        <w:tc>
          <w:tcPr>
            <w:tcW w:w="7848" w:type="dxa"/>
            <w:shd w:val="clear" w:color="auto" w:fill="F2EEDC"/>
            <w:tcMar>
              <w:top w:w="70" w:type="dxa"/>
              <w:left w:w="90" w:type="dxa"/>
              <w:bottom w:w="70" w:type="dxa"/>
              <w:right w:w="90" w:type="dxa"/>
            </w:tcMar>
            <w:vAlign w:val="center"/>
          </w:tcPr>
          <w:p w14:paraId="3DD00ABD" w14:textId="77777777" w:rsidR="00E768ED" w:rsidRDefault="00000000">
            <w:pPr>
              <w:spacing w:after="20" w:line="240" w:lineRule="auto"/>
            </w:pPr>
            <w:r>
              <w:rPr>
                <w:b/>
                <w:color w:val="16365C"/>
                <w:sz w:val="18"/>
              </w:rPr>
              <w:t>Minimum expectation</w:t>
            </w:r>
          </w:p>
        </w:tc>
      </w:tr>
      <w:tr w:rsidR="00E768ED" w14:paraId="4B8E173C" w14:textId="77777777">
        <w:trPr>
          <w:jc w:val="center"/>
        </w:trPr>
        <w:tc>
          <w:tcPr>
            <w:tcW w:w="2232" w:type="dxa"/>
            <w:tcMar>
              <w:top w:w="70" w:type="dxa"/>
              <w:left w:w="90" w:type="dxa"/>
              <w:bottom w:w="70" w:type="dxa"/>
              <w:right w:w="90" w:type="dxa"/>
            </w:tcMar>
            <w:vAlign w:val="center"/>
          </w:tcPr>
          <w:p w14:paraId="28DE72A0" w14:textId="77777777" w:rsidR="00E768ED" w:rsidRDefault="00000000">
            <w:pPr>
              <w:spacing w:after="20" w:line="240" w:lineRule="auto"/>
            </w:pPr>
            <w:r>
              <w:rPr>
                <w:sz w:val="18"/>
              </w:rPr>
              <w:t>GitHub repository</w:t>
            </w:r>
          </w:p>
        </w:tc>
        <w:tc>
          <w:tcPr>
            <w:tcW w:w="7848" w:type="dxa"/>
            <w:tcMar>
              <w:top w:w="70" w:type="dxa"/>
              <w:left w:w="90" w:type="dxa"/>
              <w:bottom w:w="70" w:type="dxa"/>
              <w:right w:w="90" w:type="dxa"/>
            </w:tcMar>
            <w:vAlign w:val="center"/>
          </w:tcPr>
          <w:p w14:paraId="78E02F93" w14:textId="77777777" w:rsidR="00E768ED" w:rsidRDefault="00000000">
            <w:pPr>
              <w:spacing w:after="20" w:line="240" w:lineRule="auto"/>
            </w:pPr>
            <w:r>
              <w:rPr>
                <w:sz w:val="18"/>
              </w:rPr>
              <w:t>Codebase that includes model weights or checkpoints, documentation, setup instructions, and a clean dashboard or decision layer that represents the final utility-facing outputs.</w:t>
            </w:r>
          </w:p>
        </w:tc>
      </w:tr>
      <w:tr w:rsidR="00E768ED" w14:paraId="4EA09349" w14:textId="77777777">
        <w:trPr>
          <w:jc w:val="center"/>
        </w:trPr>
        <w:tc>
          <w:tcPr>
            <w:tcW w:w="2232" w:type="dxa"/>
            <w:tcMar>
              <w:top w:w="70" w:type="dxa"/>
              <w:left w:w="90" w:type="dxa"/>
              <w:bottom w:w="70" w:type="dxa"/>
              <w:right w:w="90" w:type="dxa"/>
            </w:tcMar>
            <w:vAlign w:val="center"/>
          </w:tcPr>
          <w:p w14:paraId="251E23F4" w14:textId="77777777" w:rsidR="00E768ED" w:rsidRDefault="00000000">
            <w:pPr>
              <w:spacing w:after="20" w:line="240" w:lineRule="auto"/>
            </w:pPr>
            <w:r>
              <w:rPr>
                <w:sz w:val="18"/>
              </w:rPr>
              <w:t>Pitch deck</w:t>
            </w:r>
          </w:p>
        </w:tc>
        <w:tc>
          <w:tcPr>
            <w:tcW w:w="7848" w:type="dxa"/>
            <w:tcMar>
              <w:top w:w="70" w:type="dxa"/>
              <w:left w:w="90" w:type="dxa"/>
              <w:bottom w:w="70" w:type="dxa"/>
              <w:right w:w="90" w:type="dxa"/>
            </w:tcMar>
            <w:vAlign w:val="center"/>
          </w:tcPr>
          <w:p w14:paraId="1056023D" w14:textId="77777777" w:rsidR="00E768ED" w:rsidRDefault="00000000">
            <w:pPr>
              <w:spacing w:after="20" w:line="240" w:lineRule="auto"/>
            </w:pPr>
            <w:r>
              <w:rPr>
                <w:sz w:val="18"/>
              </w:rPr>
              <w:t>A concise 5-slide presentation covering the problem, data, model, scenarios, and why the solution matters for APS-like operations.</w:t>
            </w:r>
          </w:p>
        </w:tc>
      </w:tr>
      <w:tr w:rsidR="00E768ED" w14:paraId="46FF503F" w14:textId="77777777">
        <w:trPr>
          <w:jc w:val="center"/>
        </w:trPr>
        <w:tc>
          <w:tcPr>
            <w:tcW w:w="2232" w:type="dxa"/>
            <w:tcMar>
              <w:top w:w="70" w:type="dxa"/>
              <w:left w:w="90" w:type="dxa"/>
              <w:bottom w:w="70" w:type="dxa"/>
              <w:right w:w="90" w:type="dxa"/>
            </w:tcMar>
            <w:vAlign w:val="center"/>
          </w:tcPr>
          <w:p w14:paraId="013F290C" w14:textId="77777777" w:rsidR="00E768ED" w:rsidRDefault="00000000">
            <w:pPr>
              <w:spacing w:after="20" w:line="240" w:lineRule="auto"/>
            </w:pPr>
            <w:r>
              <w:rPr>
                <w:sz w:val="18"/>
              </w:rPr>
              <w:t>Short reel</w:t>
            </w:r>
          </w:p>
        </w:tc>
        <w:tc>
          <w:tcPr>
            <w:tcW w:w="7848" w:type="dxa"/>
            <w:tcMar>
              <w:top w:w="70" w:type="dxa"/>
              <w:left w:w="90" w:type="dxa"/>
              <w:bottom w:w="70" w:type="dxa"/>
              <w:right w:w="90" w:type="dxa"/>
            </w:tcMar>
            <w:vAlign w:val="center"/>
          </w:tcPr>
          <w:p w14:paraId="6F165672" w14:textId="77777777" w:rsidR="00E768ED" w:rsidRDefault="00000000">
            <w:pPr>
              <w:spacing w:after="20" w:line="240" w:lineRule="auto"/>
            </w:pPr>
            <w:r>
              <w:rPr>
                <w:sz w:val="18"/>
              </w:rPr>
              <w:t>A 60-90 second product reel that demonstrates what the system does and how a utility user would interact with it.</w:t>
            </w:r>
          </w:p>
        </w:tc>
      </w:tr>
    </w:tbl>
    <w:p w14:paraId="4BB6576E" w14:textId="77777777" w:rsidR="00E768ED" w:rsidRDefault="00E768ED"/>
    <w:tbl>
      <w:tblPr>
        <w:tblW w:w="0" w:type="auto"/>
        <w:jc w:val="center"/>
        <w:tblLook w:val="04A0" w:firstRow="1" w:lastRow="0" w:firstColumn="1" w:lastColumn="0" w:noHBand="0" w:noVBand="1"/>
      </w:tblPr>
      <w:tblGrid>
        <w:gridCol w:w="10166"/>
      </w:tblGrid>
      <w:tr w:rsidR="00E768ED" w14:paraId="47A8E7B9" w14:textId="77777777">
        <w:trPr>
          <w:jc w:val="center"/>
        </w:trPr>
        <w:tc>
          <w:tcPr>
            <w:tcW w:w="10166" w:type="dxa"/>
            <w:shd w:val="clear" w:color="auto" w:fill="EAF6F7"/>
            <w:tcMar>
              <w:top w:w="80" w:type="dxa"/>
              <w:left w:w="120" w:type="dxa"/>
              <w:bottom w:w="80" w:type="dxa"/>
              <w:right w:w="120" w:type="dxa"/>
            </w:tcMar>
          </w:tcPr>
          <w:p w14:paraId="2D44E8EF" w14:textId="77777777" w:rsidR="00E768ED" w:rsidRDefault="00000000">
            <w:r>
              <w:rPr>
                <w:b/>
                <w:color w:val="176976"/>
              </w:rPr>
              <w:t>Organizer note</w:t>
            </w:r>
            <w:r>
              <w:t>: Public datasets that can support this challenge include NOAA weather data, NREL SMART-DS and NSRDB resources, EIA-930 balancing-authority data, Pecan Street Dataport, Census or ACS spatial context, and other open utility-adjacent datasets. Organizers may also provide curated synthetic files to reduce setup time and keep the event focused on modeling rather than data wrangling.</w:t>
            </w:r>
          </w:p>
        </w:tc>
      </w:tr>
    </w:tbl>
    <w:p w14:paraId="35CE8850" w14:textId="77777777" w:rsidR="00E768ED" w:rsidRDefault="00E768ED"/>
    <w:p w14:paraId="4F503250" w14:textId="77777777" w:rsidR="00E768ED" w:rsidRDefault="00000000">
      <w:pPr>
        <w:pStyle w:val="CalloutCustom"/>
      </w:pPr>
      <w:r>
        <w:rPr>
          <w:b/>
        </w:rPr>
        <w:t xml:space="preserve">Scoring implication: </w:t>
      </w:r>
      <w:r>
        <w:t>A more realistic Arizona-oriented grid model, a stronger treatment of heat and EV behavior, and a decision layer that clearly supports utility action should score better than a generic AI demo.</w:t>
      </w:r>
    </w:p>
    <w:p w14:paraId="52A70B51" w14:textId="77777777" w:rsidR="00E768ED" w:rsidRDefault="00E768ED"/>
    <w:p w14:paraId="6D69FD9C" w14:textId="77777777" w:rsidR="00E768ED" w:rsidRDefault="00000000">
      <w:pPr>
        <w:pStyle w:val="Heading2Custom"/>
      </w:pPr>
      <w:r>
        <w:t>Source note for organizers</w:t>
      </w:r>
    </w:p>
    <w:p w14:paraId="16334C0D" w14:textId="77777777" w:rsidR="00E768ED" w:rsidRDefault="00000000">
      <w:r>
        <w:rPr>
          <w:i/>
        </w:rPr>
        <w:t>This brief aligns with public references from APS, EIA, EPRI OpenDSS, NREL, NOAA, IEEE PES test feeders, and Pecan Street.</w:t>
      </w:r>
    </w:p>
    <w:sectPr w:rsidR="00E768ED" w:rsidSect="00034616">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4845710">
    <w:abstractNumId w:val="8"/>
  </w:num>
  <w:num w:numId="2" w16cid:durableId="395664516">
    <w:abstractNumId w:val="6"/>
  </w:num>
  <w:num w:numId="3" w16cid:durableId="552691961">
    <w:abstractNumId w:val="5"/>
  </w:num>
  <w:num w:numId="4" w16cid:durableId="1590503720">
    <w:abstractNumId w:val="4"/>
  </w:num>
  <w:num w:numId="5" w16cid:durableId="1508516746">
    <w:abstractNumId w:val="7"/>
  </w:num>
  <w:num w:numId="6" w16cid:durableId="73091495">
    <w:abstractNumId w:val="3"/>
  </w:num>
  <w:num w:numId="7" w16cid:durableId="219363653">
    <w:abstractNumId w:val="2"/>
  </w:num>
  <w:num w:numId="8" w16cid:durableId="82722642">
    <w:abstractNumId w:val="1"/>
  </w:num>
  <w:num w:numId="9" w16cid:durableId="379668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AED"/>
    <w:rsid w:val="0006063C"/>
    <w:rsid w:val="0015074B"/>
    <w:rsid w:val="0029639D"/>
    <w:rsid w:val="00326F90"/>
    <w:rsid w:val="004F4BF1"/>
    <w:rsid w:val="00AA1D8D"/>
    <w:rsid w:val="00B47730"/>
    <w:rsid w:val="00BC1D29"/>
    <w:rsid w:val="00CB0664"/>
    <w:rsid w:val="00E768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52446"/>
  <w14:defaultImageDpi w14:val="300"/>
  <w15:docId w15:val="{4E2ABFE0-B0C5-40B0-B2EC-B324D43A7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b/>
      <w:color w:val="16365C"/>
      <w:sz w:val="38"/>
    </w:rPr>
  </w:style>
  <w:style w:type="paragraph" w:customStyle="1" w:styleId="SubtitleCustom">
    <w:name w:val="SubtitleCustom"/>
    <w:basedOn w:val="Normal"/>
    <w:pPr>
      <w:spacing w:after="160"/>
    </w:pPr>
    <w:rPr>
      <w:color w:val="585F69"/>
    </w:rPr>
  </w:style>
  <w:style w:type="paragraph" w:customStyle="1" w:styleId="Heading1Custom">
    <w:name w:val="Heading1Custom"/>
    <w:basedOn w:val="Normal"/>
    <w:pPr>
      <w:spacing w:before="120" w:after="60"/>
    </w:pPr>
    <w:rPr>
      <w:b/>
      <w:color w:val="16365C"/>
      <w:sz w:val="26"/>
    </w:rPr>
  </w:style>
  <w:style w:type="paragraph" w:customStyle="1" w:styleId="Heading2Custom">
    <w:name w:val="Heading2Custom"/>
    <w:basedOn w:val="Normal"/>
    <w:pPr>
      <w:spacing w:before="120" w:after="60"/>
    </w:pPr>
    <w:rPr>
      <w:b/>
      <w:color w:val="176976"/>
      <w:sz w:val="22"/>
    </w:rPr>
  </w:style>
  <w:style w:type="paragraph" w:customStyle="1" w:styleId="CalloutCustom">
    <w:name w:val="CalloutCustom"/>
    <w:basedOn w:val="Normal"/>
    <w:rPr>
      <w:color w:val="2C2C2C"/>
      <w:sz w:val="19"/>
    </w:rPr>
  </w:style>
  <w:style w:type="table" w:styleId="GridTable1Light-Accent5">
    <w:name w:val="Grid Table 1 Light Accent 5"/>
    <w:basedOn w:val="TableNormal"/>
    <w:uiPriority w:val="46"/>
    <w:rsid w:val="00050AED"/>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050AED"/>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rel.gov/grid/smart-ds" TargetMode="External"/><Relationship Id="rId13" Type="http://schemas.openxmlformats.org/officeDocument/2006/relationships/hyperlink" Target="https://www.nrel.gov/transportation/evi-pro" TargetMode="External"/><Relationship Id="rId18" Type="http://schemas.openxmlformats.org/officeDocument/2006/relationships/hyperlink" Target="https://opendss.epri.com/" TargetMode="External"/><Relationship Id="rId3" Type="http://schemas.openxmlformats.org/officeDocument/2006/relationships/styles" Target="styles.xml"/><Relationship Id="rId7" Type="http://schemas.openxmlformats.org/officeDocument/2006/relationships/hyperlink" Target="https://www.pecanstreet.org/dataport/about-dataport/" TargetMode="External"/><Relationship Id="rId12" Type="http://schemas.openxmlformats.org/officeDocument/2006/relationships/hyperlink" Target="https://www.pecanstreet.org/dataport/about-dataport/" TargetMode="External"/><Relationship Id="rId17" Type="http://schemas.openxmlformats.org/officeDocument/2006/relationships/hyperlink" Target="https://www.pecanstreet.org/dataport/about-dataport/" TargetMode="External"/><Relationship Id="rId2" Type="http://schemas.openxmlformats.org/officeDocument/2006/relationships/numbering" Target="numbering.xml"/><Relationship Id="rId16" Type="http://schemas.openxmlformats.org/officeDocument/2006/relationships/hyperlink" Target="https://www.nrel.gov/grid/smart-d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mte.ieee.org/pes-testfeeders/resources/" TargetMode="External"/><Relationship Id="rId11" Type="http://schemas.openxmlformats.org/officeDocument/2006/relationships/hyperlink" Target="https://developer.nrel.gov/docs/solar/nsrdb/" TargetMode="External"/><Relationship Id="rId5" Type="http://schemas.openxmlformats.org/officeDocument/2006/relationships/webSettings" Target="webSettings.xml"/><Relationship Id="rId15" Type="http://schemas.openxmlformats.org/officeDocument/2006/relationships/hyperlink" Target="https://www.eia.gov/todayinenergy/detail.php?id=43295" TargetMode="External"/><Relationship Id="rId10" Type="http://schemas.openxmlformats.org/officeDocument/2006/relationships/hyperlink" Target="https://www.ncei.noaa.gov/maps/hourl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cei.noaa.gov/index.php/products/global-historical-climatology-network-hourly" TargetMode="External"/><Relationship Id="rId14" Type="http://schemas.openxmlformats.org/officeDocument/2006/relationships/hyperlink" Target="https://www.nrel.gov/transportation/electric-vehicle-infrastructure-distribution-system-integration-too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Vladimir Abdelnour (Student)</cp:lastModifiedBy>
  <cp:revision>3</cp:revision>
  <dcterms:created xsi:type="dcterms:W3CDTF">2013-12-23T23:15:00Z</dcterms:created>
  <dcterms:modified xsi:type="dcterms:W3CDTF">2026-04-17T19:39:00Z</dcterms:modified>
  <cp:category/>
</cp:coreProperties>
</file>