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de formation du personnel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Formation du Personnel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Comprendre l'importance de la sécurité des données.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Connaître les menaces potentielles pour les données.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Définition de la sécurité des données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Qu'est-ce que la sécurité des données ?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Pourquoi est-elle cruciale dans le secteur médical 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Les risques liés à la sécurité des données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Les menaces internes et externes.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Les attaques courantes (malware, phishing, etc.).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Les conséquences d'une violation de la sécurité des données.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Règles de Base de la Sécurité des Données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Apprendre les règles de base de la gestion des données sensibles.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Politique de confidentialité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L'importance de la confidentialité des données médicales.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Règles de base pour protéger la confidentialité.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Politique de mot de passe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Bonnes pratiques de gestion des mots de passe.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Authentification à deux facteurs.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 Protection des données sur les appareils mobiles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Sécurité des smartphones et tablettes.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Gestion des applications mobiles.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Accès et Gestion des Données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Comprendre comment gérer l'accès aux données sensibles.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Apprendre à classer les données en catégories (administratives, médicales, de direction).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Principe du moindre privilège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Accorder des autorisations d'accès uniquement en fonction des besoins.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Contrôle des droits d'accès.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Classification des données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Différenciation des données administratives, médicales et de direction.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Balisage des données sensibles.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 Contrôle d'accès et authentification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Les mécanismes de contrôle d'accès.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L'authentification forte.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Sécurité du Réseau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Comprendre l'importance de la sécurité du réseau.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Apprendre à identifier et à prévenir les menaces réseau.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Utilisation de VPN sécurisés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Les avantages des VPN pour sécuriser les communications entre cliniques.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Configuration et utilisation des VPN.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Pare-feu et systèmes de détection d'intrusion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Rôle des pare-feu dans la protection du réseau.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Détection et prévention des intrusions.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 Mises à jour et correctifs logiciels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L'importance des mises à jour de sécurité.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Gestion des correctifs logiciels pour prévenir les vulnérabilités.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Protection des Salles Sensibles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Apprendre à utiliser les équipements de sécurité pour protéger les salles sensibles.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Utilisation des lecteurs de badge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Installation et utilisation des lecteurs de badge.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Gestion des autorisations d'accès.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 Surveillance par caméras de sécurité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Installation et configuration des caméras de sécurité.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Utilisation des enregistrements pour la sécurité.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 Procédures d'alerte en cas d'intrusion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Actions à entreprendre en cas d'intrusion ou d'incident de sécurité.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Qui contacter en cas d'urgence.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Conformité Légale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Comprendre les réglementations de protection des données et la conformité légale.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 Exigences de conformité locales et nationales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Réglementations de protection des données applicables (RGPD, HIPAA, etc.).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Responsabilités légales en matière de protection des données.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 Gestion de l'accès aux données médicales (le cas échéant)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Autorisations pour accéder aux données médicales.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Consentement du patient et confidentialité.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Plan de Reprise d'Activité (PRA) et Sauvegarde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Apprendre l'importance de la sauvegarde des données et la préparation au PRA.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Stratégies de sauvegarde des données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Types de sauvegarde (complète, différentielle, etc.).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Fréquence des sauvegardes.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 Plan de reprise d'activité en cas de défaillance du système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Comment planifier et mettre en œuvre un PRA.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Rôle de chaque membre de l'équipe en cas de défaillance.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Évaluation et Certification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: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Évaluation des connaissances acquises pendant la formation.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 Examen de certification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 examen écrit ou un test pour évaluer la compréhension des participants.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Les critères de réussite.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 Remise des certificats aux participants réussis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Distribution des certificats de formation aux participants ayant réussi l'examen.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