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jc w:val="left"/>
      </w:pPr>
      <w:r>
        <w:rPr>
          <w:rFonts w:ascii="Arial" w:cs="Arial" w:eastAsia="Arial" w:hAnsi="Arial"/>
          <w:b/>
          <w:bCs/>
          <w:color w:val="1F4E79"/>
          <w:sz w:val="52"/>
          <w:szCs w:val="52"/>
        </w:rPr>
        <w:t xml:space="preserve">BUSINESS RECOMMENDATIONS REPORT</w:t>
      </w:r>
    </w:p>
    <w:p>
      <w:pPr>
        <w:spacing w:after="60" w:before="0"/>
        <w:jc w:val="left"/>
      </w:pPr>
      <w:r>
        <w:rPr>
          <w:rFonts w:ascii="Arial" w:cs="Arial" w:eastAsia="Arial" w:hAnsi="Arial"/>
          <w:color w:val="2E75B6"/>
          <w:sz w:val="30"/>
          <w:szCs w:val="30"/>
        </w:rPr>
        <w:t xml:space="preserve">E-Commerce Funnel Performance Analysis</w:t>
      </w:r>
    </w:p>
    <w:p>
      <w:pPr>
        <w:spacing w:after="400" w:before="0"/>
        <w:jc w:val="left"/>
      </w:pPr>
      <w:r>
        <w:rPr>
          <w:rFonts w:ascii="Arial" w:cs="Arial" w:eastAsia="Arial" w:hAnsi="Arial"/>
          <w:color w:val="595959"/>
          <w:sz w:val="18"/>
          <w:szCs w:val="18"/>
        </w:rPr>
        <w:t xml:space="preserve">Prepared: April 16, 2026   |   Prepared by: Data Analytics Team</w:t>
      </w:r>
    </w:p>
    <w:p>
      <w:pPr>
        <w:pBdr>
          <w:bottom w:val="single" w:color="2E75B6" w:sz="12" w:space="1"/>
        </w:pBdr>
        <w:spacing w:after="160" w:before="0"/>
      </w:pPr>
      <w:r>
        <w:t xml:space="preserve"/>
      </w:r>
    </w:p>
    <w:p>
      <w:pPr>
        <w:pStyle w:val="Heading1"/>
      </w:pPr>
      <w:r>
        <w:t xml:space="preserve">Executive Summary</w:t>
      </w:r>
    </w:p>
    <w:p>
      <w:pPr>
        <w:spacing w:after="180"/>
      </w:pPr>
      <w:r>
        <w:rPr>
          <w:rFonts w:ascii="Arial" w:cs="Arial" w:eastAsia="Arial" w:hAnsi="Arial"/>
          <w:color w:val="2F2F2F"/>
          <w:sz w:val="21"/>
          <w:szCs w:val="21"/>
        </w:rPr>
        <w:t xml:space="preserve">This report presents four strategic business recommendations derived from a comprehensive funnel analysis of 5,000 unique visitors across a five-stage e-commerce conversion funnel. The analysis was conducted using Google BigQuery and covers user behavior from initial page view through final purchase completion.</w:t>
      </w:r>
    </w:p>
    <w:p>
      <w:pPr>
        <w:pStyle w:val="Heading2"/>
      </w:pPr>
      <w:r>
        <w:t xml:space="preserve">Funnel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Users</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Conversion</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Page Views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5,000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
            </w:r>
          </w:p>
        </w:tc>
      </w:tr>
      <w:tr>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Add to Cart</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1,553</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31%</w:t>
            </w:r>
          </w:p>
        </w:tc>
        <w:tc>
          <w:tcPr>
            <w:tcW w:type="dxa" w:w="234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 Critical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Checkout Start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1,103</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71%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 Moderate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Payment Info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899</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82%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 Good</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Purchase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826</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92%</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2F2F2F"/>
                <w:sz w:val="20"/>
                <w:szCs w:val="20"/>
              </w:rPr>
              <w:t xml:space="preserve">✓ Strong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28"/>
                <w:szCs w:val="28"/>
              </w:rPr>
              <w:t xml:space="preserve">$87,975</w:t>
            </w:r>
          </w:p>
          <w:p>
            <w:pPr>
              <w:jc w:val="center"/>
            </w:pPr>
            <w:r>
              <w:rPr>
                <w:rFonts w:ascii="Arial" w:cs="Arial" w:eastAsia="Arial" w:hAnsi="Arial"/>
                <w:color w:val="595959"/>
                <w:sz w:val="17"/>
                <w:szCs w:val="17"/>
              </w:rPr>
              <w:t xml:space="preserve">Total Revenue</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28"/>
                <w:szCs w:val="28"/>
              </w:rPr>
              <w:t xml:space="preserve">$106.51</w:t>
            </w:r>
          </w:p>
          <w:p>
            <w:pPr>
              <w:jc w:val="center"/>
            </w:pPr>
            <w:r>
              <w:rPr>
                <w:rFonts w:ascii="Arial" w:cs="Arial" w:eastAsia="Arial" w:hAnsi="Arial"/>
                <w:color w:val="595959"/>
                <w:sz w:val="17"/>
                <w:szCs w:val="17"/>
              </w:rPr>
              <w:t xml:space="preserve">Avg. Order Value</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28"/>
                <w:szCs w:val="28"/>
              </w:rPr>
              <w:t xml:space="preserve">$17.60</w:t>
            </w:r>
          </w:p>
          <w:p>
            <w:pPr>
              <w:jc w:val="center"/>
            </w:pPr>
            <w:r>
              <w:rPr>
                <w:rFonts w:ascii="Arial" w:cs="Arial" w:eastAsia="Arial" w:hAnsi="Arial"/>
                <w:color w:val="595959"/>
                <w:sz w:val="17"/>
                <w:szCs w:val="17"/>
              </w:rPr>
              <w:t xml:space="preserve">Revenue / Visitor</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vAlign w:val="center"/>
          </w:tcPr>
          <w:p>
            <w:pPr>
              <w:jc w:val="center"/>
            </w:pPr>
            <w:r>
              <w:rPr>
                <w:rFonts w:ascii="Arial" w:cs="Arial" w:eastAsia="Arial" w:hAnsi="Arial"/>
                <w:b/>
                <w:bCs/>
                <w:color w:val="1F4E79"/>
                <w:sz w:val="28"/>
                <w:szCs w:val="28"/>
              </w:rPr>
              <w:t xml:space="preserve">~25 min</w:t>
            </w:r>
          </w:p>
          <w:p>
            <w:pPr>
              <w:jc w:val="center"/>
            </w:pPr>
            <w:r>
              <w:rPr>
                <w:rFonts w:ascii="Arial" w:cs="Arial" w:eastAsia="Arial" w:hAnsi="Arial"/>
                <w:color w:val="595959"/>
                <w:sz w:val="17"/>
                <w:szCs w:val="17"/>
              </w:rPr>
              <w:t xml:space="preserve">Avg. Purchase Journey</w:t>
            </w:r>
          </w:p>
        </w:tc>
      </w:tr>
    </w:tbl>
    <w:p>
      <w:pPr>
        <w:spacing w:after="0" w:before="360"/>
      </w:pPr>
      <w:r>
        <w:t xml:space="preserve"/>
      </w:r>
    </w:p>
    <w:p>
      <w:pPr>
        <w:pBdr>
          <w:bottom w:val="single" w:color="2E75B6" w:sz="12" w:space="1"/>
        </w:pBdr>
        <w:spacing w:after="160" w:before="0"/>
      </w:pPr>
      <w:r>
        <w:t xml:space="preserve"/>
      </w:r>
    </w:p>
    <w:p>
      <w:pPr>
        <w:pStyle w:val="Heading1"/>
      </w:pPr>
      <w:r>
        <w:t xml:space="preserve">Strategic Business Recommendations</w:t>
      </w:r>
    </w:p>
    <w:p>
      <w:pPr>
        <w:spacing w:after="280"/>
      </w:pPr>
      <w:r>
        <w:rPr>
          <w:rFonts w:ascii="Arial" w:cs="Arial" w:eastAsia="Arial" w:hAnsi="Arial"/>
          <w:color w:val="2F2F2F"/>
          <w:sz w:val="21"/>
          <w:szCs w:val="21"/>
        </w:rPr>
        <w:t xml:space="preserve">The following four recommendations are prioritized by revenue impact and operational feasibility. Each recommendation is grounded in quantitative evidence from the funnel data and includes actionable steps and measurable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300"/>
        </w:tblCellMar>
      </w:tblPr>
      <w:tblGrid>
        <w:gridCol w:w="9360"/>
      </w:tblGrid>
      <w:tr>
        <w:tc>
          <w:tcPr>
            <w:tcW w:type="dxa" w:w="9360"/>
            <w:tcBorders>
              <w:top w:val="single" w:color="CCCCCC" w:sz="1"/>
              <w:left w:val="single" w:color="CCCCCC" w:sz="1"/>
              <w:bottom w:val="single" w:color="CCCCCC" w:sz="1"/>
              <w:right w:val="single" w:color="CCCCCC" w:sz="1"/>
            </w:tcBorders>
            <w:shd w:fill="C00000" w:val="clear"/>
            <w:tcMar>
              <w:top w:type="dxa" w:w="160"/>
              <w:left w:type="dxa" w:w="200"/>
              <w:bottom w:type="dxa" w:w="160"/>
              <w:right w:type="dxa" w:w="200"/>
            </w:tcMar>
          </w:tcPr>
          <w:p>
            <w:pPr>
              <w:jc w:val="left"/>
            </w:pPr>
            <w:r>
              <w:rPr>
                <w:rFonts w:ascii="Arial" w:cs="Arial" w:eastAsia="Arial" w:hAnsi="Arial"/>
                <w:b/>
                <w:bCs/>
                <w:color w:val="FFFFFF"/>
                <w:sz w:val="18"/>
                <w:szCs w:val="18"/>
              </w:rPr>
              <w:t xml:space="preserve">RECOMMENDATION 1   </w:t>
            </w:r>
            <w:r>
              <w:rPr>
                <w:rFonts w:ascii="Arial" w:cs="Arial" w:eastAsia="Arial" w:hAnsi="Arial"/>
                <w:color w:val="FFFFFF"/>
                <w:sz w:val="18"/>
                <w:szCs w:val="18"/>
              </w:rPr>
              <w:t xml:space="preserve">Top-Funnel Optimization</w:t>
            </w:r>
          </w:p>
          <w:p>
            <w:pPr>
              <w:spacing w:before="60"/>
              <w:jc w:val="left"/>
            </w:pPr>
            <w:r>
              <w:rPr>
                <w:rFonts w:ascii="Arial" w:cs="Arial" w:eastAsia="Arial" w:hAnsi="Arial"/>
                <w:b/>
                <w:bCs/>
                <w:color w:val="FFFFFF"/>
                <w:sz w:val="26"/>
                <w:szCs w:val="26"/>
              </w:rPr>
              <w:t xml:space="preserve">Reduce the View-to-Cart Drop-Off Rate</w:t>
            </w:r>
          </w:p>
        </w:tc>
      </w:tr>
      <w:tr>
        <w:tc>
          <w:tcPr>
            <w:tcW w:type="dxa" w:w="9360"/>
            <w:tcBorders>
              <w:top w:val="single" w:color="CCCCCC" w:sz="1"/>
              <w:left w:val="single" w:color="CCCCCC" w:sz="1"/>
              <w:bottom w:val="single" w:color="CCCCCC" w:sz="1"/>
              <w:right w:val="single" w:color="CCCCCC" w:sz="1"/>
            </w:tcBorders>
            <w:shd w:fill="FFF8F8"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Business Rationale</w:t>
            </w:r>
          </w:p>
          <w:p>
            <w:pPr>
              <w:spacing w:after="160"/>
            </w:pPr>
            <w:r>
              <w:rPr>
                <w:rFonts w:ascii="Arial" w:cs="Arial" w:eastAsia="Arial" w:hAnsi="Arial"/>
                <w:color w:val="2F2F2F"/>
                <w:sz w:val="20"/>
                <w:szCs w:val="20"/>
              </w:rPr>
              <w:t xml:space="preserve">The most significant revenue leak in the funnel occurs between page view and cart addition, where 68.9% of visitors (3,447 users) disengage without taking action. At the current average order value of $106.51, closing even a fraction of this gap yields substantial incremental revenue. Improving the view-to-cart rate from 31% to 40% is estimated to generate over $25,000 in additional revenue per cycle.</w:t>
            </w:r>
          </w:p>
          <w:p>
            <w:pPr>
              <w:spacing w:after="80" w:before="60"/>
            </w:pPr>
            <w:r>
              <w:rPr>
                <w:rFonts w:ascii="Arial" w:cs="Arial" w:eastAsia="Arial" w:hAnsi="Arial"/>
                <w:b/>
                <w:bCs/>
                <w:color w:val="1F4E79"/>
                <w:sz w:val="22"/>
                <w:szCs w:val="22"/>
              </w:rPr>
              <w:t xml:space="preserve">Recommended Actions</w:t>
            </w:r>
          </w:p>
          <w:p>
            <w:pPr>
              <w:pStyle w:val="ListParagraph"/>
              <w:numPr>
                <w:ilvl w:val="0"/>
                <w:numId w:val="2"/>
              </w:numPr>
              <w:spacing w:after="60"/>
            </w:pPr>
            <w:r>
              <w:rPr>
                <w:rFonts w:ascii="Arial" w:cs="Arial" w:eastAsia="Arial" w:hAnsi="Arial"/>
                <w:color w:val="2F2F2F"/>
                <w:sz w:val="20"/>
                <w:szCs w:val="20"/>
              </w:rPr>
              <w:t xml:space="preserve">Redesign product pages with clearer, high-contrast Call-To-Action (CTA) buttons and stronger value propositions above the fold.</w:t>
            </w:r>
          </w:p>
          <w:p>
            <w:pPr>
              <w:pStyle w:val="ListParagraph"/>
              <w:numPr>
                <w:ilvl w:val="0"/>
                <w:numId w:val="2"/>
              </w:numPr>
              <w:spacing w:after="60"/>
            </w:pPr>
            <w:r>
              <w:rPr>
                <w:rFonts w:ascii="Arial" w:cs="Arial" w:eastAsia="Arial" w:hAnsi="Arial"/>
                <w:color w:val="2F2F2F"/>
                <w:sz w:val="20"/>
                <w:szCs w:val="20"/>
              </w:rPr>
              <w:t xml:space="preserve">Implement social proof elements including customer reviews, star ratings, purchase counts, and trust badges on all product listing pages.</w:t>
            </w:r>
          </w:p>
          <w:p>
            <w:pPr>
              <w:pStyle w:val="ListParagraph"/>
              <w:numPr>
                <w:ilvl w:val="0"/>
                <w:numId w:val="2"/>
              </w:numPr>
              <w:spacing w:after="60"/>
            </w:pPr>
            <w:r>
              <w:rPr>
                <w:rFonts w:ascii="Arial" w:cs="Arial" w:eastAsia="Arial" w:hAnsi="Arial"/>
                <w:color w:val="2F2F2F"/>
                <w:sz w:val="20"/>
                <w:szCs w:val="20"/>
              </w:rPr>
              <w:t xml:space="preserve">Deploy AI-driven personalized product recommendations to surface relevant items and increase browse-to-intent conversion.</w:t>
            </w:r>
          </w:p>
          <w:p>
            <w:pPr>
              <w:pStyle w:val="ListParagraph"/>
              <w:numPr>
                <w:ilvl w:val="0"/>
                <w:numId w:val="2"/>
              </w:numPr>
              <w:spacing w:after="60"/>
            </w:pPr>
            <w:r>
              <w:rPr>
                <w:rFonts w:ascii="Arial" w:cs="Arial" w:eastAsia="Arial" w:hAnsi="Arial"/>
                <w:color w:val="2F2F2F"/>
                <w:sz w:val="20"/>
                <w:szCs w:val="20"/>
              </w:rPr>
              <w:t xml:space="preserve">Conduct A/B testing on product page layouts, imagery, pricing presentation, and CTA copy to identify highest-performing combinations.</w:t>
            </w:r>
          </w:p>
          <w:p>
            <w:pPr>
              <w:pStyle w:val="ListParagraph"/>
              <w:numPr>
                <w:ilvl w:val="0"/>
                <w:numId w:val="2"/>
              </w:numPr>
              <w:spacing w:after="60"/>
            </w:pPr>
            <w:r>
              <w:rPr>
                <w:rFonts w:ascii="Arial" w:cs="Arial" w:eastAsia="Arial" w:hAnsi="Arial"/>
                <w:color w:val="2F2F2F"/>
                <w:sz w:val="20"/>
                <w:szCs w:val="20"/>
              </w:rPr>
              <w:t xml:space="preserve">Introduce exit-intent popups with targeted offers (e.g., free shipping threshold) for visitors who are about to leave without adding to cart.</w:t>
            </w:r>
          </w:p>
          <w:p>
            <w:pPr>
              <w:spacing w:after="80" w:before="160"/>
            </w:pPr>
            <w:r>
              <w:rPr>
                <w:rFonts w:ascii="Arial" w:cs="Arial" w:eastAsia="Arial" w:hAnsi="Arial"/>
                <w:b/>
                <w:bCs/>
                <w:color w:val="1F4E79"/>
                <w:sz w:val="22"/>
                <w:szCs w:val="22"/>
              </w:rPr>
              <w:t xml:space="preserve">Key Performance Indicators</w:t>
            </w:r>
          </w:p>
          <w:p>
            <w:pPr>
              <w:pStyle w:val="ListParagraph"/>
              <w:numPr>
                <w:ilvl w:val="0"/>
                <w:numId w:val="2"/>
              </w:numPr>
              <w:spacing w:after="60"/>
            </w:pPr>
            <w:r>
              <w:rPr>
                <w:rFonts w:ascii="Arial" w:cs="Arial" w:eastAsia="Arial" w:hAnsi="Arial"/>
                <w:color w:val="2F2F2F"/>
                <w:sz w:val="20"/>
                <w:szCs w:val="20"/>
              </w:rPr>
              <w:t xml:space="preserve">View-to-Cart conversion rate (target: increase from 31% to 40%+)</w:t>
            </w:r>
          </w:p>
          <w:p>
            <w:pPr>
              <w:pStyle w:val="ListParagraph"/>
              <w:numPr>
                <w:ilvl w:val="0"/>
                <w:numId w:val="2"/>
              </w:numPr>
              <w:spacing w:after="60"/>
            </w:pPr>
            <w:r>
              <w:rPr>
                <w:rFonts w:ascii="Arial" w:cs="Arial" w:eastAsia="Arial" w:hAnsi="Arial"/>
                <w:color w:val="2F2F2F"/>
                <w:sz w:val="20"/>
                <w:szCs w:val="20"/>
              </w:rPr>
              <w:t xml:space="preserve">Bounce rate on product listing pages</w:t>
            </w:r>
          </w:p>
          <w:p>
            <w:pPr>
              <w:pStyle w:val="ListParagraph"/>
              <w:numPr>
                <w:ilvl w:val="0"/>
                <w:numId w:val="2"/>
              </w:numPr>
              <w:spacing w:after="60"/>
            </w:pPr>
            <w:r>
              <w:rPr>
                <w:rFonts w:ascii="Arial" w:cs="Arial" w:eastAsia="Arial" w:hAnsi="Arial"/>
                <w:color w:val="2F2F2F"/>
                <w:sz w:val="20"/>
                <w:szCs w:val="20"/>
              </w:rPr>
              <w:t xml:space="preserve">Time-on-page for product detail pages</w:t>
            </w:r>
          </w:p>
          <w:p>
            <w:pPr>
              <w:pStyle w:val="ListParagraph"/>
              <w:numPr>
                <w:ilvl w:val="0"/>
                <w:numId w:val="2"/>
              </w:numPr>
              <w:spacing w:after="60"/>
            </w:pPr>
            <w:r>
              <w:rPr>
                <w:rFonts w:ascii="Arial" w:cs="Arial" w:eastAsia="Arial" w:hAnsi="Arial"/>
                <w:color w:val="2F2F2F"/>
                <w:sz w:val="20"/>
                <w:szCs w:val="20"/>
              </w:rPr>
              <w:t xml:space="preserve">Incremental revenue per 1,000 visitors</w:t>
            </w:r>
          </w:p>
          <w:p>
            <w:pPr>
              <w:spacing w:after="60" w:before="140"/>
            </w:pPr>
            <w:r>
              <w:rPr>
                <w:rFonts w:ascii="Arial" w:cs="Arial" w:eastAsia="Arial" w:hAnsi="Arial"/>
                <w:b/>
                <w:bCs/>
                <w:color w:val="2F2F2F"/>
                <w:sz w:val="20"/>
                <w:szCs w:val="20"/>
              </w:rPr>
              <w:t xml:space="preserve">Priority Level:  </w:t>
            </w:r>
            <w:r>
              <w:rPr>
                <w:rFonts w:ascii="Arial" w:cs="Arial" w:eastAsia="Arial" w:hAnsi="Arial"/>
                <w:b/>
                <w:bCs/>
                <w:color w:val="C00000"/>
                <w:sz w:val="20"/>
                <w:szCs w:val="20"/>
                <w:highlight w:val="red"/>
                <w:highlightCs w:val="red"/>
              </w:rPr>
              <w:t xml:space="preserve">  Critical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300"/>
        </w:tblCellMar>
      </w:tblPr>
      <w:tblGrid>
        <w:gridCol w:w="9360"/>
      </w:tblGrid>
      <w:tr>
        <w:tc>
          <w:tcPr>
            <w:tcW w:type="dxa" w:w="9360"/>
            <w:tcBorders>
              <w:top w:val="single" w:color="CCCCCC" w:sz="1"/>
              <w:left w:val="single" w:color="CCCCCC" w:sz="1"/>
              <w:bottom w:val="single" w:color="CCCCCC" w:sz="1"/>
              <w:right w:val="single" w:color="CCCCCC" w:sz="1"/>
            </w:tcBorders>
            <w:shd w:fill="375623" w:val="clear"/>
            <w:tcMar>
              <w:top w:type="dxa" w:w="160"/>
              <w:left w:type="dxa" w:w="200"/>
              <w:bottom w:type="dxa" w:w="160"/>
              <w:right w:type="dxa" w:w="200"/>
            </w:tcMar>
          </w:tcPr>
          <w:p>
            <w:pPr>
              <w:jc w:val="left"/>
            </w:pPr>
            <w:r>
              <w:rPr>
                <w:rFonts w:ascii="Arial" w:cs="Arial" w:eastAsia="Arial" w:hAnsi="Arial"/>
                <w:b/>
                <w:bCs/>
                <w:color w:val="FFFFFF"/>
                <w:sz w:val="18"/>
                <w:szCs w:val="18"/>
              </w:rPr>
              <w:t xml:space="preserve">RECOMMENDATION 2   </w:t>
            </w:r>
            <w:r>
              <w:rPr>
                <w:rFonts w:ascii="Arial" w:cs="Arial" w:eastAsia="Arial" w:hAnsi="Arial"/>
                <w:color w:val="FFFFFF"/>
                <w:sz w:val="18"/>
                <w:szCs w:val="18"/>
              </w:rPr>
              <w:t xml:space="preserve">Channel Strategy</w:t>
            </w:r>
          </w:p>
          <w:p>
            <w:pPr>
              <w:spacing w:before="60"/>
              <w:jc w:val="left"/>
            </w:pPr>
            <w:r>
              <w:rPr>
                <w:rFonts w:ascii="Arial" w:cs="Arial" w:eastAsia="Arial" w:hAnsi="Arial"/>
                <w:b/>
                <w:bCs/>
                <w:color w:val="FFFFFF"/>
                <w:sz w:val="26"/>
                <w:szCs w:val="26"/>
              </w:rPr>
              <w:t xml:space="preserve">Scale the Email Channel and Apply Its Success Model Across Traffic Sources</w:t>
            </w:r>
          </w:p>
        </w:tc>
      </w:tr>
      <w:tr>
        <w:tc>
          <w:tcPr>
            <w:tcW w:type="dxa" w:w="9360"/>
            <w:tcBorders>
              <w:top w:val="single" w:color="CCCCCC" w:sz="1"/>
              <w:left w:val="single" w:color="CCCCCC" w:sz="1"/>
              <w:bottom w:val="single" w:color="CCCCCC" w:sz="1"/>
              <w:right w:val="single" w:color="CCCCCC" w:sz="1"/>
            </w:tcBorders>
            <w:shd w:fill="F4FBF4"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Business Rationale</w:t>
            </w:r>
          </w:p>
          <w:p>
            <w:pPr>
              <w:spacing w:after="160"/>
            </w:pPr>
            <w:r>
              <w:rPr>
                <w:rFonts w:ascii="Arial" w:cs="Arial" w:eastAsia="Arial" w:hAnsi="Arial"/>
                <w:color w:val="2F2F2F"/>
                <w:sz w:val="20"/>
                <w:szCs w:val="20"/>
              </w:rPr>
              <w:t xml:space="preserve">Email is the highest-quality traffic source in the funnel, converting at 62% view-to-cart and 34% view-to-purchase — more than double the overall average. In contrast, organic traffic (17% purchase conversion) and social media (7% purchase conversion) significantly underperform. The email channel's success should be studied, replicated, and used to elevate performance across all acquisition channels.</w:t>
            </w:r>
          </w:p>
          <w:p>
            <w:pPr>
              <w:spacing w:after="80" w:before="60"/>
            </w:pPr>
            <w:r>
              <w:rPr>
                <w:rFonts w:ascii="Arial" w:cs="Arial" w:eastAsia="Arial" w:hAnsi="Arial"/>
                <w:b/>
                <w:bCs/>
                <w:color w:val="1F4E79"/>
                <w:sz w:val="22"/>
                <w:szCs w:val="22"/>
              </w:rPr>
              <w:t xml:space="preserve">Recommended Actions</w:t>
            </w:r>
          </w:p>
          <w:p>
            <w:pPr>
              <w:pStyle w:val="ListParagraph"/>
              <w:numPr>
                <w:ilvl w:val="0"/>
                <w:numId w:val="2"/>
              </w:numPr>
              <w:spacing w:after="60"/>
            </w:pPr>
            <w:r>
              <w:rPr>
                <w:rFonts w:ascii="Arial" w:cs="Arial" w:eastAsia="Arial" w:hAnsi="Arial"/>
                <w:color w:val="2F2F2F"/>
                <w:sz w:val="20"/>
                <w:szCs w:val="20"/>
              </w:rPr>
              <w:t xml:space="preserve">Accelerate email list growth through lead magnets, gated content, post-purchase opt-ins, and on-site subscription prompts.</w:t>
            </w:r>
          </w:p>
          <w:p>
            <w:pPr>
              <w:pStyle w:val="ListParagraph"/>
              <w:numPr>
                <w:ilvl w:val="0"/>
                <w:numId w:val="2"/>
              </w:numPr>
              <w:spacing w:after="60"/>
            </w:pPr>
            <w:r>
              <w:rPr>
                <w:rFonts w:ascii="Arial" w:cs="Arial" w:eastAsia="Arial" w:hAnsi="Arial"/>
                <w:color w:val="2F2F2F"/>
                <w:sz w:val="20"/>
                <w:szCs w:val="20"/>
              </w:rPr>
              <w:t xml:space="preserve">Invest in advanced email segmentation and behavioural triggers (browse abandonment, wishlist reminders, replenishment sequences).</w:t>
            </w:r>
          </w:p>
          <w:p>
            <w:pPr>
              <w:pStyle w:val="ListParagraph"/>
              <w:numPr>
                <w:ilvl w:val="0"/>
                <w:numId w:val="2"/>
              </w:numPr>
              <w:spacing w:after="60"/>
            </w:pPr>
            <w:r>
              <w:rPr>
                <w:rFonts w:ascii="Arial" w:cs="Arial" w:eastAsia="Arial" w:hAnsi="Arial"/>
                <w:color w:val="2F2F2F"/>
                <w:sz w:val="20"/>
                <w:szCs w:val="20"/>
              </w:rPr>
              <w:t xml:space="preserve">Audit email campaign messaging, offers, and targeting to identify the specific factors driving high purchase intent.</w:t>
            </w:r>
          </w:p>
          <w:p>
            <w:pPr>
              <w:pStyle w:val="ListParagraph"/>
              <w:numPr>
                <w:ilvl w:val="0"/>
                <w:numId w:val="2"/>
              </w:numPr>
              <w:spacing w:after="60"/>
            </w:pPr>
            <w:r>
              <w:rPr>
                <w:rFonts w:ascii="Arial" w:cs="Arial" w:eastAsia="Arial" w:hAnsi="Arial"/>
                <w:color w:val="2F2F2F"/>
                <w:sz w:val="20"/>
                <w:szCs w:val="20"/>
              </w:rPr>
              <w:t xml:space="preserve">Apply email-proven messaging frameworks (urgency, personalization, clear CTAs) to organic landing pages and paid ad creatives.</w:t>
            </w:r>
          </w:p>
          <w:p>
            <w:pPr>
              <w:pStyle w:val="ListParagraph"/>
              <w:numPr>
                <w:ilvl w:val="0"/>
                <w:numId w:val="2"/>
              </w:numPr>
              <w:spacing w:after="60"/>
            </w:pPr>
            <w:r>
              <w:rPr>
                <w:rFonts w:ascii="Arial" w:cs="Arial" w:eastAsia="Arial" w:hAnsi="Arial"/>
                <w:color w:val="2F2F2F"/>
                <w:sz w:val="20"/>
                <w:szCs w:val="20"/>
              </w:rPr>
              <w:t xml:space="preserve">Establish a monthly channel performance review comparing conversion rates, revenue per visitor, and ROI across all traffic sources.</w:t>
            </w:r>
          </w:p>
          <w:p>
            <w:pPr>
              <w:spacing w:after="80" w:before="160"/>
            </w:pPr>
            <w:r>
              <w:rPr>
                <w:rFonts w:ascii="Arial" w:cs="Arial" w:eastAsia="Arial" w:hAnsi="Arial"/>
                <w:b/>
                <w:bCs/>
                <w:color w:val="1F4E79"/>
                <w:sz w:val="22"/>
                <w:szCs w:val="22"/>
              </w:rPr>
              <w:t xml:space="preserve">Key Performance Indicators</w:t>
            </w:r>
          </w:p>
          <w:p>
            <w:pPr>
              <w:pStyle w:val="ListParagraph"/>
              <w:numPr>
                <w:ilvl w:val="0"/>
                <w:numId w:val="2"/>
              </w:numPr>
              <w:spacing w:after="60"/>
            </w:pPr>
            <w:r>
              <w:rPr>
                <w:rFonts w:ascii="Arial" w:cs="Arial" w:eastAsia="Arial" w:hAnsi="Arial"/>
                <w:color w:val="2F2F2F"/>
                <w:sz w:val="20"/>
                <w:szCs w:val="20"/>
              </w:rPr>
              <w:t xml:space="preserve">Email list growth rate (month-over-month)</w:t>
            </w:r>
          </w:p>
          <w:p>
            <w:pPr>
              <w:pStyle w:val="ListParagraph"/>
              <w:numPr>
                <w:ilvl w:val="0"/>
                <w:numId w:val="2"/>
              </w:numPr>
              <w:spacing w:after="60"/>
            </w:pPr>
            <w:r>
              <w:rPr>
                <w:rFonts w:ascii="Arial" w:cs="Arial" w:eastAsia="Arial" w:hAnsi="Arial"/>
                <w:color w:val="2F2F2F"/>
                <w:sz w:val="20"/>
                <w:szCs w:val="20"/>
              </w:rPr>
              <w:t xml:space="preserve">Email view-to-cart and view-to-purchase rates (baseline: 62% and 34%)</w:t>
            </w:r>
          </w:p>
          <w:p>
            <w:pPr>
              <w:pStyle w:val="ListParagraph"/>
              <w:numPr>
                <w:ilvl w:val="0"/>
                <w:numId w:val="2"/>
              </w:numPr>
              <w:spacing w:after="60"/>
            </w:pPr>
            <w:r>
              <w:rPr>
                <w:rFonts w:ascii="Arial" w:cs="Arial" w:eastAsia="Arial" w:hAnsi="Arial"/>
                <w:color w:val="2F2F2F"/>
                <w:sz w:val="20"/>
                <w:szCs w:val="20"/>
              </w:rPr>
              <w:t xml:space="preserve">Revenue attributed to email channel per campaign cycle</w:t>
            </w:r>
          </w:p>
          <w:p>
            <w:pPr>
              <w:pStyle w:val="ListParagraph"/>
              <w:numPr>
                <w:ilvl w:val="0"/>
                <w:numId w:val="2"/>
              </w:numPr>
              <w:spacing w:after="60"/>
            </w:pPr>
            <w:r>
              <w:rPr>
                <w:rFonts w:ascii="Arial" w:cs="Arial" w:eastAsia="Arial" w:hAnsi="Arial"/>
                <w:color w:val="2F2F2F"/>
                <w:sz w:val="20"/>
                <w:szCs w:val="20"/>
              </w:rPr>
              <w:t xml:space="preserve">Cross-channel conversion rate improvement after messaging alignment</w:t>
            </w:r>
          </w:p>
          <w:p>
            <w:pPr>
              <w:spacing w:after="60" w:before="140"/>
            </w:pPr>
            <w:r>
              <w:rPr>
                <w:rFonts w:ascii="Arial" w:cs="Arial" w:eastAsia="Arial" w:hAnsi="Arial"/>
                <w:b/>
                <w:bCs/>
                <w:color w:val="2F2F2F"/>
                <w:sz w:val="20"/>
                <w:szCs w:val="20"/>
              </w:rPr>
              <w:t xml:space="preserve">Priority Level:  </w:t>
            </w:r>
            <w:r>
              <w:rPr>
                <w:rFonts w:ascii="Arial" w:cs="Arial" w:eastAsia="Arial" w:hAnsi="Arial"/>
                <w:b/>
                <w:bCs/>
                <w:color w:val="7F4000"/>
                <w:sz w:val="20"/>
                <w:szCs w:val="20"/>
              </w:rPr>
              <w:t xml:space="preserve">  High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300"/>
        </w:tblCellMar>
      </w:tblPr>
      <w:tblGrid>
        <w:gridCol w:w="9360"/>
      </w:tblGrid>
      <w:tr>
        <w:tc>
          <w:tcPr>
            <w:tcW w:type="dxa" w:w="9360"/>
            <w:tcBorders>
              <w:top w:val="single" w:color="CCCCCC" w:sz="1"/>
              <w:left w:val="single" w:color="CCCCCC" w:sz="1"/>
              <w:bottom w:val="single" w:color="CCCCCC" w:sz="1"/>
              <w:right w:val="single" w:color="CCCCCC" w:sz="1"/>
            </w:tcBorders>
            <w:shd w:fill="7F4000" w:val="clear"/>
            <w:tcMar>
              <w:top w:type="dxa" w:w="160"/>
              <w:left w:type="dxa" w:w="200"/>
              <w:bottom w:type="dxa" w:w="160"/>
              <w:right w:type="dxa" w:w="200"/>
            </w:tcMar>
          </w:tcPr>
          <w:p>
            <w:pPr>
              <w:jc w:val="left"/>
            </w:pPr>
            <w:r>
              <w:rPr>
                <w:rFonts w:ascii="Arial" w:cs="Arial" w:eastAsia="Arial" w:hAnsi="Arial"/>
                <w:b/>
                <w:bCs/>
                <w:color w:val="FFFFFF"/>
                <w:sz w:val="18"/>
                <w:szCs w:val="18"/>
              </w:rPr>
              <w:t xml:space="preserve">RECOMMENDATION 3   </w:t>
            </w:r>
            <w:r>
              <w:rPr>
                <w:rFonts w:ascii="Arial" w:cs="Arial" w:eastAsia="Arial" w:hAnsi="Arial"/>
                <w:color w:val="FFFFFF"/>
                <w:sz w:val="18"/>
                <w:szCs w:val="18"/>
              </w:rPr>
              <w:t xml:space="preserve">Channel Reallocation</w:t>
            </w:r>
          </w:p>
          <w:p>
            <w:pPr>
              <w:spacing w:before="60"/>
              <w:jc w:val="left"/>
            </w:pPr>
            <w:r>
              <w:rPr>
                <w:rFonts w:ascii="Arial" w:cs="Arial" w:eastAsia="Arial" w:hAnsi="Arial"/>
                <w:b/>
                <w:bCs/>
                <w:color w:val="FFFFFF"/>
                <w:sz w:val="26"/>
                <w:szCs w:val="26"/>
              </w:rPr>
              <w:t xml:space="preserve">Audit and Restructure the Social Media Acquisition Strategy</w:t>
            </w:r>
          </w:p>
        </w:tc>
      </w:tr>
      <w:tr>
        <w:tc>
          <w:tcPr>
            <w:tcW w:type="dxa" w:w="9360"/>
            <w:tcBorders>
              <w:top w:val="single" w:color="CCCCCC" w:sz="1"/>
              <w:left w:val="single" w:color="CCCCCC" w:sz="1"/>
              <w:bottom w:val="single" w:color="CCCCCC" w:sz="1"/>
              <w:right w:val="single" w:color="CCCCCC" w:sz="1"/>
            </w:tcBorders>
            <w:shd w:fill="FFFCF0"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Business Rationale</w:t>
            </w:r>
          </w:p>
          <w:p>
            <w:pPr>
              <w:spacing w:after="160"/>
            </w:pPr>
            <w:r>
              <w:rPr>
                <w:rFonts w:ascii="Arial" w:cs="Arial" w:eastAsia="Arial" w:hAnsi="Arial"/>
                <w:color w:val="2F2F2F"/>
                <w:sz w:val="20"/>
                <w:szCs w:val="20"/>
              </w:rPr>
              <w:t xml:space="preserve">Social media traffic delivers the lowest funnel performance of all channels, with only a 14% view-to-cart rate and a 7% view-to-purchase rate from 200 visitors. This indicates a fundamental misalignment between social audience intent and the product or landing page experience. Without intervention, continued social media spend risks delivering low-value traffic that inflates visitor counts without contributing meaningfully to revenue.</w:t>
            </w:r>
          </w:p>
          <w:p>
            <w:pPr>
              <w:spacing w:after="80" w:before="60"/>
            </w:pPr>
            <w:r>
              <w:rPr>
                <w:rFonts w:ascii="Arial" w:cs="Arial" w:eastAsia="Arial" w:hAnsi="Arial"/>
                <w:b/>
                <w:bCs/>
                <w:color w:val="1F4E79"/>
                <w:sz w:val="22"/>
                <w:szCs w:val="22"/>
              </w:rPr>
              <w:t xml:space="preserve">Recommended Actions</w:t>
            </w:r>
          </w:p>
          <w:p>
            <w:pPr>
              <w:pStyle w:val="ListParagraph"/>
              <w:numPr>
                <w:ilvl w:val="0"/>
                <w:numId w:val="2"/>
              </w:numPr>
              <w:spacing w:after="60"/>
            </w:pPr>
            <w:r>
              <w:rPr>
                <w:rFonts w:ascii="Arial" w:cs="Arial" w:eastAsia="Arial" w:hAnsi="Arial"/>
                <w:color w:val="2F2F2F"/>
                <w:sz w:val="20"/>
                <w:szCs w:val="20"/>
              </w:rPr>
              <w:t xml:space="preserve">Commission a full audit of social media ad targeting parameters, creative formats, and audience segmentation to identify intent mismatches.</w:t>
            </w:r>
          </w:p>
          <w:p>
            <w:pPr>
              <w:pStyle w:val="ListParagraph"/>
              <w:numPr>
                <w:ilvl w:val="0"/>
                <w:numId w:val="2"/>
              </w:numPr>
              <w:spacing w:after="60"/>
            </w:pPr>
            <w:r>
              <w:rPr>
                <w:rFonts w:ascii="Arial" w:cs="Arial" w:eastAsia="Arial" w:hAnsi="Arial"/>
                <w:color w:val="2F2F2F"/>
                <w:sz w:val="20"/>
                <w:szCs w:val="20"/>
              </w:rPr>
              <w:t xml:space="preserve">Realign social media landing pages to match the specific messaging, offers, and visual language used in social creatives.</w:t>
            </w:r>
          </w:p>
          <w:p>
            <w:pPr>
              <w:pStyle w:val="ListParagraph"/>
              <w:numPr>
                <w:ilvl w:val="0"/>
                <w:numId w:val="2"/>
              </w:numPr>
              <w:spacing w:after="60"/>
            </w:pPr>
            <w:r>
              <w:rPr>
                <w:rFonts w:ascii="Arial" w:cs="Arial" w:eastAsia="Arial" w:hAnsi="Arial"/>
                <w:color w:val="2F2F2F"/>
                <w:sz w:val="20"/>
                <w:szCs w:val="20"/>
              </w:rPr>
              <w:t xml:space="preserve">Shift social media strategy from broad awareness campaigns toward retargeting campaigns focused on users with demonstrated purchase intent.</w:t>
            </w:r>
          </w:p>
          <w:p>
            <w:pPr>
              <w:pStyle w:val="ListParagraph"/>
              <w:numPr>
                <w:ilvl w:val="0"/>
                <w:numId w:val="2"/>
              </w:numPr>
              <w:spacing w:after="60"/>
            </w:pPr>
            <w:r>
              <w:rPr>
                <w:rFonts w:ascii="Arial" w:cs="Arial" w:eastAsia="Arial" w:hAnsi="Arial"/>
                <w:color w:val="2F2F2F"/>
                <w:sz w:val="20"/>
                <w:szCs w:val="20"/>
              </w:rPr>
              <w:t xml:space="preserve">Reallocate a portion of underperforming social media budget toward email acquisition and paid search, which demonstrate stronger ROI.</w:t>
            </w:r>
          </w:p>
          <w:p>
            <w:pPr>
              <w:pStyle w:val="ListParagraph"/>
              <w:numPr>
                <w:ilvl w:val="0"/>
                <w:numId w:val="2"/>
              </w:numPr>
              <w:spacing w:after="60"/>
            </w:pPr>
            <w:r>
              <w:rPr>
                <w:rFonts w:ascii="Arial" w:cs="Arial" w:eastAsia="Arial" w:hAnsi="Arial"/>
                <w:color w:val="2F2F2F"/>
                <w:sz w:val="20"/>
                <w:szCs w:val="20"/>
              </w:rPr>
              <w:t xml:space="preserve">Test shoppable social formats (Instagram Shopping, TikTok Shop) to reduce friction between social discovery and purchase completion.</w:t>
            </w:r>
          </w:p>
          <w:p>
            <w:pPr>
              <w:spacing w:after="80" w:before="160"/>
            </w:pPr>
            <w:r>
              <w:rPr>
                <w:rFonts w:ascii="Arial" w:cs="Arial" w:eastAsia="Arial" w:hAnsi="Arial"/>
                <w:b/>
                <w:bCs/>
                <w:color w:val="1F4E79"/>
                <w:sz w:val="22"/>
                <w:szCs w:val="22"/>
              </w:rPr>
              <w:t xml:space="preserve">Key Performance Indicators</w:t>
            </w:r>
          </w:p>
          <w:p>
            <w:pPr>
              <w:pStyle w:val="ListParagraph"/>
              <w:numPr>
                <w:ilvl w:val="0"/>
                <w:numId w:val="2"/>
              </w:numPr>
              <w:spacing w:after="60"/>
            </w:pPr>
            <w:r>
              <w:rPr>
                <w:rFonts w:ascii="Arial" w:cs="Arial" w:eastAsia="Arial" w:hAnsi="Arial"/>
                <w:color w:val="2F2F2F"/>
                <w:sz w:val="20"/>
                <w:szCs w:val="20"/>
              </w:rPr>
              <w:t xml:space="preserve">Social media view-to-cart rate (target: increase from 14% to 25%+)</w:t>
            </w:r>
          </w:p>
          <w:p>
            <w:pPr>
              <w:pStyle w:val="ListParagraph"/>
              <w:numPr>
                <w:ilvl w:val="0"/>
                <w:numId w:val="2"/>
              </w:numPr>
              <w:spacing w:after="60"/>
            </w:pPr>
            <w:r>
              <w:rPr>
                <w:rFonts w:ascii="Arial" w:cs="Arial" w:eastAsia="Arial" w:hAnsi="Arial"/>
                <w:color w:val="2F2F2F"/>
                <w:sz w:val="20"/>
                <w:szCs w:val="20"/>
              </w:rPr>
              <w:t xml:space="preserve">Social media view-to-purchase rate (target: increase from 7% to 15%+)</w:t>
            </w:r>
          </w:p>
          <w:p>
            <w:pPr>
              <w:pStyle w:val="ListParagraph"/>
              <w:numPr>
                <w:ilvl w:val="0"/>
                <w:numId w:val="2"/>
              </w:numPr>
              <w:spacing w:after="60"/>
            </w:pPr>
            <w:r>
              <w:rPr>
                <w:rFonts w:ascii="Arial" w:cs="Arial" w:eastAsia="Arial" w:hAnsi="Arial"/>
                <w:color w:val="2F2F2F"/>
                <w:sz w:val="20"/>
                <w:szCs w:val="20"/>
              </w:rPr>
              <w:t xml:space="preserve">Cost per acquisition (CPA) by channel before and after reallocation</w:t>
            </w:r>
          </w:p>
          <w:p>
            <w:pPr>
              <w:pStyle w:val="ListParagraph"/>
              <w:numPr>
                <w:ilvl w:val="0"/>
                <w:numId w:val="2"/>
              </w:numPr>
              <w:spacing w:after="60"/>
            </w:pPr>
            <w:r>
              <w:rPr>
                <w:rFonts w:ascii="Arial" w:cs="Arial" w:eastAsia="Arial" w:hAnsi="Arial"/>
                <w:color w:val="2F2F2F"/>
                <w:sz w:val="20"/>
                <w:szCs w:val="20"/>
              </w:rPr>
              <w:t xml:space="preserve">Revenue contribution from social media as a percentage of total revenue</w:t>
            </w:r>
          </w:p>
          <w:p>
            <w:pPr>
              <w:spacing w:after="60" w:before="140"/>
            </w:pPr>
            <w:r>
              <w:rPr>
                <w:rFonts w:ascii="Arial" w:cs="Arial" w:eastAsia="Arial" w:hAnsi="Arial"/>
                <w:b/>
                <w:bCs/>
                <w:color w:val="2F2F2F"/>
                <w:sz w:val="20"/>
                <w:szCs w:val="20"/>
              </w:rPr>
              <w:t xml:space="preserve">Priority Level:  </w:t>
            </w:r>
            <w:r>
              <w:rPr>
                <w:rFonts w:ascii="Arial" w:cs="Arial" w:eastAsia="Arial" w:hAnsi="Arial"/>
                <w:b/>
                <w:bCs/>
                <w:color w:val="7F4000"/>
                <w:sz w:val="20"/>
                <w:szCs w:val="20"/>
              </w:rPr>
              <w:t xml:space="preserve">  High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300"/>
        </w:tblCellMar>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60"/>
              <w:left w:type="dxa" w:w="200"/>
              <w:bottom w:type="dxa" w:w="160"/>
              <w:right w:type="dxa" w:w="200"/>
            </w:tcMar>
          </w:tcPr>
          <w:p>
            <w:pPr>
              <w:jc w:val="left"/>
            </w:pPr>
            <w:r>
              <w:rPr>
                <w:rFonts w:ascii="Arial" w:cs="Arial" w:eastAsia="Arial" w:hAnsi="Arial"/>
                <w:b/>
                <w:bCs/>
                <w:color w:val="FFFFFF"/>
                <w:sz w:val="18"/>
                <w:szCs w:val="18"/>
              </w:rPr>
              <w:t xml:space="preserve">RECOMMENDATION 4   </w:t>
            </w:r>
            <w:r>
              <w:rPr>
                <w:rFonts w:ascii="Arial" w:cs="Arial" w:eastAsia="Arial" w:hAnsi="Arial"/>
                <w:color w:val="FFFFFF"/>
                <w:sz w:val="18"/>
                <w:szCs w:val="18"/>
              </w:rPr>
              <w:t xml:space="preserve">Checkout Optimization</w:t>
            </w:r>
          </w:p>
          <w:p>
            <w:pPr>
              <w:spacing w:before="60"/>
              <w:jc w:val="left"/>
            </w:pPr>
            <w:r>
              <w:rPr>
                <w:rFonts w:ascii="Arial" w:cs="Arial" w:eastAsia="Arial" w:hAnsi="Arial"/>
                <w:b/>
                <w:bCs/>
                <w:color w:val="FFFFFF"/>
                <w:sz w:val="26"/>
                <w:szCs w:val="26"/>
              </w:rPr>
              <w:t xml:space="preserve">Reduce Cart-to-Purchase Friction to Recover Lost Revenue at the Final Stage</w:t>
            </w:r>
          </w:p>
        </w:tc>
      </w:tr>
      <w:tr>
        <w:tc>
          <w:tcPr>
            <w:tcW w:type="dxa" w:w="9360"/>
            <w:tcBorders>
              <w:top w:val="single" w:color="CCCCCC" w:sz="1"/>
              <w:left w:val="single" w:color="CCCCCC" w:sz="1"/>
              <w:bottom w:val="single" w:color="CCCCCC" w:sz="1"/>
              <w:right w:val="single" w:color="CCCCCC" w:sz="1"/>
            </w:tcBorders>
            <w:shd w:fill="EFF4FB" w:val="clear"/>
            <w:tcMar>
              <w:top w:type="dxa" w:w="160"/>
              <w:left w:type="dxa" w:w="200"/>
              <w:bottom w:type="dxa" w:w="160"/>
              <w:right w:type="dxa" w:w="200"/>
            </w:tcMar>
          </w:tcPr>
          <w:p>
            <w:pPr>
              <w:spacing w:after="80" w:before="60"/>
            </w:pPr>
            <w:r>
              <w:rPr>
                <w:rFonts w:ascii="Arial" w:cs="Arial" w:eastAsia="Arial" w:hAnsi="Arial"/>
                <w:b/>
                <w:bCs/>
                <w:color w:val="1F4E79"/>
                <w:sz w:val="22"/>
                <w:szCs w:val="22"/>
              </w:rPr>
              <w:t xml:space="preserve">Business Rationale</w:t>
            </w:r>
          </w:p>
          <w:p>
            <w:pPr>
              <w:spacing w:after="160"/>
            </w:pPr>
            <w:r>
              <w:rPr>
                <w:rFonts w:ascii="Arial" w:cs="Arial" w:eastAsia="Arial" w:hAnsi="Arial"/>
                <w:color w:val="2F2F2F"/>
                <w:sz w:val="20"/>
                <w:szCs w:val="20"/>
              </w:rPr>
              <w:t xml:space="preserve">While the bottom of the funnel is relatively strong, 73 users (8.1%) are lost between payment information entry and purchase completion — representing approximately $7,775 in unrealized revenue per cycle at the current AOV. Additionally, the 13.47-minute average time from cart to purchase suggests hesitation or friction in the checkout process. Streamlining this final journey segment and recovering hesitant buyers through automated re-engagement represents a low-effort, high-return opportunity.</w:t>
            </w:r>
          </w:p>
          <w:p>
            <w:pPr>
              <w:spacing w:after="80" w:before="60"/>
            </w:pPr>
            <w:r>
              <w:rPr>
                <w:rFonts w:ascii="Arial" w:cs="Arial" w:eastAsia="Arial" w:hAnsi="Arial"/>
                <w:b/>
                <w:bCs/>
                <w:color w:val="1F4E79"/>
                <w:sz w:val="22"/>
                <w:szCs w:val="22"/>
              </w:rPr>
              <w:t xml:space="preserve">Recommended Actions</w:t>
            </w:r>
          </w:p>
          <w:p>
            <w:pPr>
              <w:pStyle w:val="ListParagraph"/>
              <w:numPr>
                <w:ilvl w:val="0"/>
                <w:numId w:val="2"/>
              </w:numPr>
              <w:spacing w:after="60"/>
            </w:pPr>
            <w:r>
              <w:rPr>
                <w:rFonts w:ascii="Arial" w:cs="Arial" w:eastAsia="Arial" w:hAnsi="Arial"/>
                <w:color w:val="2F2F2F"/>
                <w:sz w:val="20"/>
                <w:szCs w:val="20"/>
              </w:rPr>
              <w:t xml:space="preserve">Implement abandoned cart email automation with a 3-sequence cadence (1 hour, 24 hours, 72 hours post-abandonment) including incentive escalation.</w:t>
            </w:r>
          </w:p>
          <w:p>
            <w:pPr>
              <w:pStyle w:val="ListParagraph"/>
              <w:numPr>
                <w:ilvl w:val="0"/>
                <w:numId w:val="2"/>
              </w:numPr>
              <w:spacing w:after="60"/>
            </w:pPr>
            <w:r>
              <w:rPr>
                <w:rFonts w:ascii="Arial" w:cs="Arial" w:eastAsia="Arial" w:hAnsi="Arial"/>
                <w:color w:val="2F2F2F"/>
                <w:sz w:val="20"/>
                <w:szCs w:val="20"/>
              </w:rPr>
              <w:t xml:space="preserve">Introduce guest checkout as a primary option to eliminate account creation friction for first-time buyers.</w:t>
            </w:r>
          </w:p>
          <w:p>
            <w:pPr>
              <w:pStyle w:val="ListParagraph"/>
              <w:numPr>
                <w:ilvl w:val="0"/>
                <w:numId w:val="2"/>
              </w:numPr>
              <w:spacing w:after="60"/>
            </w:pPr>
            <w:r>
              <w:rPr>
                <w:rFonts w:ascii="Arial" w:cs="Arial" w:eastAsia="Arial" w:hAnsi="Arial"/>
                <w:color w:val="2F2F2F"/>
                <w:sz w:val="20"/>
                <w:szCs w:val="20"/>
              </w:rPr>
              <w:t xml:space="preserve">Add trust signals at checkout: SSL badges, money-back guarantee, secure payment icons, and real-time customer support chat.</w:t>
            </w:r>
          </w:p>
          <w:p>
            <w:pPr>
              <w:pStyle w:val="ListParagraph"/>
              <w:numPr>
                <w:ilvl w:val="0"/>
                <w:numId w:val="2"/>
              </w:numPr>
              <w:spacing w:after="60"/>
            </w:pPr>
            <w:r>
              <w:rPr>
                <w:rFonts w:ascii="Arial" w:cs="Arial" w:eastAsia="Arial" w:hAnsi="Arial"/>
                <w:color w:val="2F2F2F"/>
                <w:sz w:val="20"/>
                <w:szCs w:val="20"/>
              </w:rPr>
              <w:t xml:space="preserve">Optimize the payment page for mobile responsiveness and minimize the number of required form fields to reduce cognitive load.</w:t>
            </w:r>
          </w:p>
          <w:p>
            <w:pPr>
              <w:pStyle w:val="ListParagraph"/>
              <w:numPr>
                <w:ilvl w:val="0"/>
                <w:numId w:val="2"/>
              </w:numPr>
              <w:spacing w:after="60"/>
            </w:pPr>
            <w:r>
              <w:rPr>
                <w:rFonts w:ascii="Arial" w:cs="Arial" w:eastAsia="Arial" w:hAnsi="Arial"/>
                <w:color w:val="2F2F2F"/>
                <w:sz w:val="20"/>
                <w:szCs w:val="20"/>
              </w:rPr>
              <w:t xml:space="preserve">Enable one-click payment options (Apple Pay, Google Pay, Shop Pay) to accelerate completion for returning visitors.</w:t>
            </w:r>
          </w:p>
          <w:p>
            <w:pPr>
              <w:spacing w:after="80" w:before="160"/>
            </w:pPr>
            <w:r>
              <w:rPr>
                <w:rFonts w:ascii="Arial" w:cs="Arial" w:eastAsia="Arial" w:hAnsi="Arial"/>
                <w:b/>
                <w:bCs/>
                <w:color w:val="1F4E79"/>
                <w:sz w:val="22"/>
                <w:szCs w:val="22"/>
              </w:rPr>
              <w:t xml:space="preserve">Key Performance Indicators</w:t>
            </w:r>
          </w:p>
          <w:p>
            <w:pPr>
              <w:pStyle w:val="ListParagraph"/>
              <w:numPr>
                <w:ilvl w:val="0"/>
                <w:numId w:val="2"/>
              </w:numPr>
              <w:spacing w:after="60"/>
            </w:pPr>
            <w:r>
              <w:rPr>
                <w:rFonts w:ascii="Arial" w:cs="Arial" w:eastAsia="Arial" w:hAnsi="Arial"/>
                <w:color w:val="2F2F2F"/>
                <w:sz w:val="20"/>
                <w:szCs w:val="20"/>
              </w:rPr>
              <w:t xml:space="preserve">Cart-to-purchase conversion rate (target: increase from 92% to 96%+)</w:t>
            </w:r>
          </w:p>
          <w:p>
            <w:pPr>
              <w:pStyle w:val="ListParagraph"/>
              <w:numPr>
                <w:ilvl w:val="0"/>
                <w:numId w:val="2"/>
              </w:numPr>
              <w:spacing w:after="60"/>
            </w:pPr>
            <w:r>
              <w:rPr>
                <w:rFonts w:ascii="Arial" w:cs="Arial" w:eastAsia="Arial" w:hAnsi="Arial"/>
                <w:color w:val="2F2F2F"/>
                <w:sz w:val="20"/>
                <w:szCs w:val="20"/>
              </w:rPr>
              <w:t xml:space="preserve">Abandoned cart recovery rate from automated email sequences</w:t>
            </w:r>
          </w:p>
          <w:p>
            <w:pPr>
              <w:pStyle w:val="ListParagraph"/>
              <w:numPr>
                <w:ilvl w:val="0"/>
                <w:numId w:val="2"/>
              </w:numPr>
              <w:spacing w:after="60"/>
            </w:pPr>
            <w:r>
              <w:rPr>
                <w:rFonts w:ascii="Arial" w:cs="Arial" w:eastAsia="Arial" w:hAnsi="Arial"/>
                <w:color w:val="2F2F2F"/>
                <w:sz w:val="20"/>
                <w:szCs w:val="20"/>
              </w:rPr>
              <w:t xml:space="preserve">Average time from cart to purchase (target: reduce from 13.47 minutes)</w:t>
            </w:r>
          </w:p>
          <w:p>
            <w:pPr>
              <w:pStyle w:val="ListParagraph"/>
              <w:numPr>
                <w:ilvl w:val="0"/>
                <w:numId w:val="2"/>
              </w:numPr>
              <w:spacing w:after="60"/>
            </w:pPr>
            <w:r>
              <w:rPr>
                <w:rFonts w:ascii="Arial" w:cs="Arial" w:eastAsia="Arial" w:hAnsi="Arial"/>
                <w:color w:val="2F2F2F"/>
                <w:sz w:val="20"/>
                <w:szCs w:val="20"/>
              </w:rPr>
              <w:t xml:space="preserve">Revenue recovered per month from cart abandonment interventions</w:t>
            </w:r>
          </w:p>
          <w:p>
            <w:pPr>
              <w:spacing w:after="60" w:before="140"/>
            </w:pPr>
            <w:r>
              <w:rPr>
                <w:rFonts w:ascii="Arial" w:cs="Arial" w:eastAsia="Arial" w:hAnsi="Arial"/>
                <w:b/>
                <w:bCs/>
                <w:color w:val="2F2F2F"/>
                <w:sz w:val="20"/>
                <w:szCs w:val="20"/>
              </w:rPr>
              <w:t xml:space="preserve">Priority Level:  </w:t>
            </w:r>
            <w:r>
              <w:rPr>
                <w:rFonts w:ascii="Arial" w:cs="Arial" w:eastAsia="Arial" w:hAnsi="Arial"/>
                <w:b/>
                <w:bCs/>
                <w:color w:val="375623"/>
                <w:sz w:val="20"/>
                <w:szCs w:val="20"/>
              </w:rPr>
              <w:t xml:space="preserve">  Moderate  </w:t>
            </w:r>
          </w:p>
        </w:tc>
      </w:tr>
    </w:tbl>
    <w:p>
      <w:pPr>
        <w:spacing w:after="0" w:before="360"/>
      </w:pPr>
      <w:r>
        <w:t xml:space="preserve"/>
      </w:r>
    </w:p>
    <w:p>
      <w:pPr>
        <w:pBdr>
          <w:bottom w:val="single" w:color="2E75B6" w:sz="12" w:space="1"/>
        </w:pBdr>
        <w:spacing w:after="160" w:before="0"/>
      </w:pPr>
      <w:r>
        <w:t xml:space="preserve"/>
      </w:r>
    </w:p>
    <w:p>
      <w:pPr>
        <w:pStyle w:val="Heading1"/>
      </w:pPr>
      <w:r>
        <w:t xml:space="preserve">Conclusion &amp; Next Steps</w:t>
      </w:r>
    </w:p>
    <w:p>
      <w:pPr>
        <w:spacing w:after="200"/>
      </w:pPr>
      <w:r>
        <w:rPr>
          <w:rFonts w:ascii="Arial" w:cs="Arial" w:eastAsia="Arial" w:hAnsi="Arial"/>
          <w:color w:val="2F2F2F"/>
          <w:sz w:val="21"/>
          <w:szCs w:val="21"/>
        </w:rPr>
        <w:t xml:space="preserve">The four recommendations outlined in this report address the full funnel from audience acquisition through final purchase, with the greatest revenue opportunity residing at the top of the funnel. Implementation should be sequenced by priority level, beginning with top-funnel optimization and email channel scaling, followed by social media restructuring and checkout refinement.</w:t>
      </w:r>
    </w:p>
    <w:p>
      <w:pPr>
        <w:spacing w:after="200"/>
      </w:pPr>
      <w:r>
        <w:rPr>
          <w:rFonts w:ascii="Arial" w:cs="Arial" w:eastAsia="Arial" w:hAnsi="Arial"/>
          <w:color w:val="2F2F2F"/>
          <w:sz w:val="21"/>
          <w:szCs w:val="21"/>
        </w:rPr>
        <w:t xml:space="preserve">It is recommended that a cross-functional working group comprising Marketing, Product, and Data teams convene within two weeks to assign ownership, establish timelines, and define measurement frameworks for each initiative. A follow-up funnel analysis should be conducted 60 days after implementation to assess impact and recalibrate strategy as needed.</w:t>
      </w:r>
    </w:p>
    <w:p>
      <w:pPr>
        <w:pStyle w:val="Heading2"/>
      </w:pPr>
      <w:r>
        <w:t xml:space="preserve">Estimated Revenue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20"/>
        <w:gridCol w:w="2520"/>
        <w:gridCol w:w="1320"/>
      </w:tblGrid>
      <w:tr>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Recommendation</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Primary Metric Target</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Est. Revenue Impact</w:t>
            </w:r>
          </w:p>
        </w:tc>
        <w:tc>
          <w:tcPr>
            <w:tcW w:type="dxa" w:w="234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1. Fix View-to-Cart Drop-Off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31% → 40% cart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+$25,000+ per cycle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Critical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19"/>
                <w:szCs w:val="19"/>
              </w:rPr>
              <w:t xml:space="preserve">2. Scale Email Channel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19"/>
                <w:szCs w:val="19"/>
              </w:rPr>
              <w:t xml:space="preserve">34% → 40%+ purchase rate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19"/>
                <w:szCs w:val="19"/>
              </w:rPr>
              <w:t xml:space="preserve">+$15,000+ per cycle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19"/>
                <w:szCs w:val="19"/>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3. Restructure Social Strategy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7% → 15% purchase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+$8,000+ per cycle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F2F2F"/>
                <w:sz w:val="19"/>
                <w:szCs w:val="19"/>
              </w:rPr>
              <w:t xml:space="preserve">High</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19"/>
                <w:szCs w:val="19"/>
              </w:rPr>
              <w:t xml:space="preserve">4. Reduce Checkout Friction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19"/>
                <w:szCs w:val="19"/>
              </w:rPr>
              <w:t xml:space="preserve">92% → 96% cart-to-purchase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19"/>
                <w:szCs w:val="19"/>
              </w:rPr>
              <w:t xml:space="preserve">+$5,300+ per cycle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F2F2F"/>
                <w:sz w:val="19"/>
                <w:szCs w:val="19"/>
              </w:rPr>
              <w:t xml:space="preserve">Moderate</w:t>
            </w:r>
          </w:p>
        </w:tc>
      </w:tr>
    </w:tbl>
    <w:p>
      <w:pPr>
        <w:spacing w:after="0" w:before="400"/>
      </w:pPr>
      <w:r>
        <w:t xml:space="preserve"/>
      </w:r>
    </w:p>
    <w:p>
      <w:pPr>
        <w:jc w:val="center"/>
      </w:pPr>
      <w:r>
        <w:rPr>
          <w:rFonts w:ascii="Arial" w:cs="Arial" w:eastAsia="Arial" w:hAnsi="Arial"/>
          <w:i/>
          <w:iCs/>
          <w:color w:val="595959"/>
          <w:sz w:val="18"/>
          <w:szCs w:val="18"/>
        </w:rPr>
        <w:t xml:space="preserve">— End of Report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120"/>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2E75B6"/>
        <w:sz w:val="18"/>
        <w:szCs w:val="18"/>
      </w:rPr>
      <w:t xml:space="preserve">E-Commerce Funnel Analysis</w:t>
    </w:r>
    <w:r>
      <w:rPr>
        <w:rFonts w:ascii="Arial" w:cs="Arial" w:eastAsia="Arial" w:hAnsi="Arial"/>
        <w:color w:val="595959"/>
        <w:sz w:val="18"/>
        <w:szCs w:val="18"/>
      </w:rPr>
      <w:t xml:space="preserve">   |   Business Recommendations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F2F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2026-04-16T14:20:58.505Z</dcterms:created>
  <dcterms:modified xsi:type="dcterms:W3CDTF">2026-04-16T14:20:58.506Z</dcterms:modified>
</cp:coreProperties>
</file>

<file path=docProps/custom.xml><?xml version="1.0" encoding="utf-8"?>
<Properties xmlns="http://schemas.openxmlformats.org/officeDocument/2006/custom-properties" xmlns:vt="http://schemas.openxmlformats.org/officeDocument/2006/docPropsVTypes"/>
</file>