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2193" w14:textId="77777777" w:rsidR="00467E6B" w:rsidRDefault="00000000">
      <w:pPr>
        <w:pStyle w:val="DocTitle"/>
      </w:pPr>
      <w:r>
        <w:t>Данные для начисления ЖКУ и взыскания задолженности</w:t>
      </w:r>
    </w:p>
    <w:p w14:paraId="78ACA298" w14:textId="77777777" w:rsidR="00467E6B" w:rsidRDefault="00000000">
      <w:pPr>
        <w:pStyle w:val="Infoline"/>
      </w:pPr>
      <w:r>
        <w:t>УК, ТСЖ, РСО, операторы ТКО и фонды капремонта  |  Жилые помещения в многоквартирных домах  |  Октябрь 2026</w:t>
      </w:r>
    </w:p>
    <w:p w14:paraId="11E6A925" w14:textId="77777777" w:rsidR="00467E6B" w:rsidRDefault="00000000">
      <w:pPr>
        <w:pStyle w:val="1"/>
      </w:pPr>
      <w:r>
        <w:t>1. По каким данным рассчитываются платежи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83"/>
        <w:gridCol w:w="3702"/>
        <w:gridCol w:w="4184"/>
      </w:tblGrid>
      <w:tr w:rsidR="00467E6B" w14:paraId="32AF721A" w14:textId="77777777">
        <w:trPr>
          <w:cantSplit/>
          <w:tblHeader/>
          <w:jc w:val="center"/>
        </w:trPr>
        <w:tc>
          <w:tcPr>
            <w:tcW w:w="2183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58F39C20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Платёж</w:t>
            </w:r>
          </w:p>
        </w:tc>
        <w:tc>
          <w:tcPr>
            <w:tcW w:w="3702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14B94D7F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Основа начисления</w:t>
            </w:r>
          </w:p>
        </w:tc>
        <w:tc>
          <w:tcPr>
            <w:tcW w:w="4184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23DEBAC2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Нужные данные</w:t>
            </w:r>
          </w:p>
        </w:tc>
      </w:tr>
      <w:tr w:rsidR="00467E6B" w14:paraId="6FA3E4AE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FB9302E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ХВС и ГВС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4E7A1B4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 показаниям квартирных счётчиков; в предусмотренных случаях — по нормативу на человека.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D75EA22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Показания; при нормативном расчёте — число постоянно и временно проживающих, региональный норматив и тариф. Для ГВС при двухкомпонентном тарифе учитываются стоимость воды и тепловой энергии на её подогрев.</w:t>
            </w:r>
          </w:p>
        </w:tc>
      </w:tr>
      <w:tr w:rsidR="00467E6B" w14:paraId="05498616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D88C83D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Водоотведение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376D50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Обычно по сумме объёмов ХВС и ГВС; если невозможно определить объём — по установленному порядку расчёта.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0D84E8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Объёмы воды, нормативы и тариф.</w:t>
            </w:r>
          </w:p>
        </w:tc>
      </w:tr>
      <w:tr w:rsidR="00467E6B" w14:paraId="76EBDFB5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0A9A2D4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Электроэнергия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6D88421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 счётчику; при нормативном расчёте — по числу проживающих, комнат и характеристикам электроснабжения жилья.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B51A9CD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Показания и тариф; при нормативном расчёте — число проживающих, количество комнат, наличие стационарной электроплиты / электроотопления, норматив.</w:t>
            </w:r>
          </w:p>
        </w:tc>
      </w:tr>
      <w:tr w:rsidR="00467E6B" w14:paraId="7FD7CFAA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1F2127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Отопление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4EBB7F34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 площади помещения и объёму тепловой энергии по общедомовому/индивидуальному учёту либо нормативу.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A0BC02A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Площадь квартиры и помещений дома, приборы учёта, норматив, тариф.</w:t>
            </w:r>
          </w:p>
        </w:tc>
      </w:tr>
      <w:tr w:rsidR="00467E6B" w14:paraId="7CB2CB92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1546A6BE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Газ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27795C6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 счётчику; без него: приготовление пищи/нагрев воды — по проживающим, отопление газом — по отапливаемой площади.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0B9A31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Показания, число проживающих, отапливаемая площадь, оборудование и тариф.</w:t>
            </w:r>
          </w:p>
        </w:tc>
      </w:tr>
      <w:tr w:rsidR="00467E6B" w14:paraId="730A16D7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238A9E8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ТКО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2DB0B84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По общей площади квартиры либо по числу проживающих — зависит от субъекта РФ.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8557F8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Площадь или число проживающих; при их отсутствии в расчёте по людям — число собственников.</w:t>
            </w:r>
          </w:p>
        </w:tc>
      </w:tr>
      <w:tr w:rsidR="00467E6B" w14:paraId="4ED908BA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51B1AC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Содержание жилья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BE055D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Плата за управление домом, уборку, обслуживание и текущий ремонт общего имущества. Расчёт: общая площадь помещения × размер платы за 1 м², утверждённый для данного дома.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4849B60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Общая площадь; размер платы по дому (обычно утверждается собранием собственников, в предусмотренных законом случаях — органом власти); плательщик.</w:t>
            </w:r>
          </w:p>
        </w:tc>
      </w:tr>
      <w:tr w:rsidR="00467E6B" w14:paraId="3DF7FBFA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730ADC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Коммунальные ресурсы на содержание общего имущества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187557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Объёмы по общедомовым приборам/нормативам распределяются по установленным правилам, преимущественно пропорционально площади.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FE70D5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Площади квартиры, всех помещений и общего имущества; общедомовые показания.</w:t>
            </w:r>
          </w:p>
        </w:tc>
      </w:tr>
      <w:tr w:rsidR="00467E6B" w14:paraId="51BD8950" w14:textId="77777777">
        <w:trPr>
          <w:cantSplit/>
          <w:jc w:val="center"/>
        </w:trPr>
        <w:tc>
          <w:tcPr>
            <w:tcW w:w="2183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D8A8E31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Капитальный ремонт</w:t>
            </w:r>
          </w:p>
        </w:tc>
        <w:tc>
          <w:tcPr>
            <w:tcW w:w="3702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77DEEF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Общая площадь × размер взноса на 1 м², установленный в регионе (возможен повышенный взнос).</w:t>
            </w:r>
          </w:p>
        </w:tc>
        <w:tc>
          <w:tcPr>
            <w:tcW w:w="41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545CC5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Площадь, собственник, размер взноса, история задолженности.</w:t>
            </w:r>
          </w:p>
        </w:tc>
      </w:tr>
    </w:tbl>
    <w:p w14:paraId="6F499C20" w14:textId="77777777" w:rsidR="00467E6B" w:rsidRDefault="00467E6B">
      <w:pPr>
        <w:spacing w:after="0"/>
      </w:pPr>
    </w:p>
    <w:p w14:paraId="75F75E33" w14:textId="77777777" w:rsidR="00467E6B" w:rsidRDefault="00000000">
      <w:pPr>
        <w:pStyle w:val="FootnoteInfo"/>
      </w:pPr>
      <w:r>
        <w:t>Норматив — утверждённый расчётный объём потребления при начислении не по показаниям; тариф — цена единицы ресурса. При непередаче показаний счётчика сначала может применяться средний объём, затем норматив [1–2].</w:t>
      </w:r>
    </w:p>
    <w:p w14:paraId="2DE5BDFE" w14:textId="77777777" w:rsidR="00467E6B" w:rsidRDefault="00000000">
      <w:r>
        <w:br w:type="page"/>
      </w:r>
    </w:p>
    <w:p w14:paraId="61B68FAA" w14:textId="77777777" w:rsidR="00467E6B" w:rsidRDefault="00000000">
      <w:pPr>
        <w:pStyle w:val="1"/>
      </w:pPr>
      <w:r>
        <w:lastRenderedPageBreak/>
        <w:t>2. Региональные отличия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581"/>
        <w:gridCol w:w="3560"/>
      </w:tblGrid>
      <w:tr w:rsidR="00467E6B" w14:paraId="54CC616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33B25728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Что различается</w:t>
            </w:r>
          </w:p>
        </w:tc>
        <w:tc>
          <w:tcPr>
            <w:tcW w:w="4581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5BC670AC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Примеры регионов</w:t>
            </w:r>
          </w:p>
        </w:tc>
        <w:tc>
          <w:tcPr>
            <w:tcW w:w="3560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66DD59D6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Последствия для расчёта</w:t>
            </w:r>
          </w:p>
        </w:tc>
      </w:tr>
      <w:tr w:rsidR="00467E6B" w14:paraId="3561771D" w14:textId="77777777">
        <w:trPr>
          <w:cantSplit/>
          <w:jc w:val="center"/>
        </w:trPr>
        <w:tc>
          <w:tcPr>
            <w:tcW w:w="1928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FC16D28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ТКО — база начисления</w:t>
            </w:r>
          </w:p>
        </w:tc>
        <w:tc>
          <w:tcPr>
            <w:tcW w:w="4581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A856EF8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Москва и Санкт-Петербург: площадь квартир в МКД. Новосибирская область: количество проживающих.</w:t>
            </w:r>
          </w:p>
        </w:tc>
        <w:tc>
          <w:tcPr>
            <w:tcW w:w="3560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BFF1F52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В первом случае нужны м²; во втором — данные о людях. Примеры: [4–6].</w:t>
            </w:r>
          </w:p>
        </w:tc>
      </w:tr>
      <w:tr w:rsidR="00467E6B" w14:paraId="574F0443" w14:textId="77777777">
        <w:trPr>
          <w:cantSplit/>
          <w:jc w:val="center"/>
        </w:trPr>
        <w:tc>
          <w:tcPr>
            <w:tcW w:w="1928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72363C8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Отопление — период платы</w:t>
            </w:r>
          </w:p>
        </w:tc>
        <w:tc>
          <w:tcPr>
            <w:tcW w:w="4581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3B7DE1A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Москва: равномерно за календарный год в домах с годовой системой. Санкт-Петербург: в отопительный период (расчётная модель — 8 месяцев).</w:t>
            </w:r>
          </w:p>
        </w:tc>
        <w:tc>
          <w:tcPr>
            <w:tcW w:w="3560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FD05B64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Отличается распределение платы по месяцам: равномерно в течение года или в отопительный период [7–8].</w:t>
            </w:r>
          </w:p>
        </w:tc>
      </w:tr>
      <w:tr w:rsidR="00467E6B" w14:paraId="278ED5F0" w14:textId="77777777">
        <w:trPr>
          <w:cantSplit/>
          <w:jc w:val="center"/>
        </w:trPr>
        <w:tc>
          <w:tcPr>
            <w:tcW w:w="1928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D635EA0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ХВС и ГВС — норматив</w:t>
            </w:r>
          </w:p>
        </w:tc>
        <w:tc>
          <w:tcPr>
            <w:tcW w:w="4581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831E343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Санкт-Петербург: 4,90 м³ ХВС и 3,48 м³ ГВС на человека/мес.; Новосибирская область: 5,194 и 3,687 м³ соответственно.</w:t>
            </w:r>
          </w:p>
        </w:tc>
        <w:tc>
          <w:tcPr>
            <w:tcW w:w="3560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CE85196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Значения для категорий благоустроенных квартир, указанных в региональных актах; применяются при нормативном расчёте [9–10].</w:t>
            </w:r>
          </w:p>
        </w:tc>
      </w:tr>
      <w:tr w:rsidR="00467E6B" w14:paraId="4E2952F9" w14:textId="77777777">
        <w:trPr>
          <w:cantSplit/>
          <w:jc w:val="center"/>
        </w:trPr>
        <w:tc>
          <w:tcPr>
            <w:tcW w:w="1928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DB22823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Капремонт — ставка</w:t>
            </w:r>
          </w:p>
        </w:tc>
        <w:tc>
          <w:tcPr>
            <w:tcW w:w="4581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6BA994A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Москва: 32,63 руб./м² в 2026 г.; Свердловская область: 18,81 руб./м². В Санкт-Петербурге ставка дополнительно различается по типу дома/лифту.</w:t>
            </w:r>
          </w:p>
        </w:tc>
        <w:tc>
          <w:tcPr>
            <w:tcW w:w="3560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F9765CD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Площадь нужна везде, но региональные ставки и категории домов различаются [11–13].</w:t>
            </w:r>
          </w:p>
        </w:tc>
      </w:tr>
      <w:tr w:rsidR="00467E6B" w14:paraId="05694736" w14:textId="77777777">
        <w:trPr>
          <w:cantSplit/>
          <w:jc w:val="center"/>
        </w:trPr>
        <w:tc>
          <w:tcPr>
            <w:tcW w:w="1928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260EAB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Прочие различия</w:t>
            </w:r>
          </w:p>
        </w:tc>
        <w:tc>
          <w:tcPr>
            <w:tcW w:w="4581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B18E9D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Региональные тарифы и нормативы на воду, свет, газ и тепло различаются. Для электричества отдельные тарифные категории предусмотрены в том числе для домов, оборудованных стационарными электроплитами.</w:t>
            </w:r>
          </w:p>
        </w:tc>
        <w:tc>
          <w:tcPr>
            <w:tcW w:w="3560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5CF868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Тариф/норматив берётся для адреса и периода. Плата за содержание жилья определяется для конкретного дома.</w:t>
            </w:r>
          </w:p>
        </w:tc>
      </w:tr>
    </w:tbl>
    <w:p w14:paraId="32DD8563" w14:textId="77777777" w:rsidR="00467E6B" w:rsidRDefault="00467E6B">
      <w:pPr>
        <w:spacing w:after="0"/>
      </w:pPr>
    </w:p>
    <w:p w14:paraId="7752E53A" w14:textId="77777777" w:rsidR="00467E6B" w:rsidRDefault="00000000">
      <w:pPr>
        <w:pStyle w:val="FootnoteInfo"/>
      </w:pPr>
      <w:r>
        <w:t>Региональные примеры не образуют полный перечень субъектов РФ. Для конкретного счёта применяются акты и тарифы соответствующего периода. Обязательного перехода всех регионов на расчёт ТКО по площади нет: способ выбирает субъект РФ (п. 148(30) Правил № 354) [1].</w:t>
      </w:r>
    </w:p>
    <w:p w14:paraId="4230E01A" w14:textId="77777777" w:rsidR="00467E6B" w:rsidRDefault="00000000">
      <w:pPr>
        <w:pStyle w:val="1"/>
      </w:pPr>
      <w:r>
        <w:t>3. Какие сведения — из ЕГРН, какие — из иных источников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649"/>
        <w:gridCol w:w="3436"/>
      </w:tblGrid>
      <w:tr w:rsidR="00467E6B" w14:paraId="17676E8E" w14:textId="77777777">
        <w:trPr>
          <w:cantSplit/>
          <w:tblHeader/>
          <w:jc w:val="center"/>
        </w:trPr>
        <w:tc>
          <w:tcPr>
            <w:tcW w:w="1984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68120D00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Источник</w:t>
            </w:r>
          </w:p>
        </w:tc>
        <w:tc>
          <w:tcPr>
            <w:tcW w:w="4649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1789A4C0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Что содержит</w:t>
            </w:r>
          </w:p>
        </w:tc>
        <w:tc>
          <w:tcPr>
            <w:tcW w:w="3436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168214DF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Для чего</w:t>
            </w:r>
          </w:p>
        </w:tc>
      </w:tr>
      <w:tr w:rsidR="00467E6B" w14:paraId="45A933E6" w14:textId="77777777">
        <w:trPr>
          <w:cantSplit/>
          <w:jc w:val="center"/>
        </w:trPr>
        <w:tc>
          <w:tcPr>
            <w:tcW w:w="19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608F242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ЕГРН</w:t>
            </w:r>
          </w:p>
        </w:tc>
        <w:tc>
          <w:tcPr>
            <w:tcW w:w="464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042C26A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Кадастровый номер, адрес, площадь, назначение, сведения о зарегистрированных правах и долях, даты регистрации и прекращения права, переходы права.</w:t>
            </w:r>
          </w:p>
        </w:tc>
        <w:tc>
          <w:tcPr>
            <w:tcW w:w="3436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C2940D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Расчёт по площади; идентификация объекта; подтверждение периода владения.</w:t>
            </w:r>
          </w:p>
        </w:tc>
      </w:tr>
      <w:tr w:rsidR="00467E6B" w14:paraId="24D7384E" w14:textId="77777777">
        <w:trPr>
          <w:cantSplit/>
          <w:jc w:val="center"/>
        </w:trPr>
        <w:tc>
          <w:tcPr>
            <w:tcW w:w="19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0738D673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Учётные системы УК / РСО / расчётных центров</w:t>
            </w:r>
          </w:p>
        </w:tc>
        <w:tc>
          <w:tcPr>
            <w:tcW w:w="464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A87AFBA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Лицевой счёт, договор/основание начисления, показания индивидуальных и общедомовых счётчиков, начисления, платежи, долг.</w:t>
            </w:r>
          </w:p>
        </w:tc>
        <w:tc>
          <w:tcPr>
            <w:tcW w:w="3436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26D440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Объём услуги, расчёт и взыскание задолженности.</w:t>
            </w:r>
          </w:p>
        </w:tc>
      </w:tr>
      <w:tr w:rsidR="00467E6B" w14:paraId="3C4988B1" w14:textId="77777777">
        <w:trPr>
          <w:cantSplit/>
          <w:jc w:val="center"/>
        </w:trPr>
        <w:tc>
          <w:tcPr>
            <w:tcW w:w="19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F97BC8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МВД → ГИС ЖКХ</w:t>
            </w:r>
          </w:p>
        </w:tc>
        <w:tc>
          <w:tcPr>
            <w:tcW w:w="464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B29AAF1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МВД ведёт регистрационный учёт; в ГИС ЖКХ предусмотрены данные о количестве зарегистрированных по месту жительства и пребывания. Сведения в системе могут быть неполными.</w:t>
            </w:r>
          </w:p>
        </w:tc>
        <w:tc>
          <w:tcPr>
            <w:tcW w:w="3436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88FB61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Исходные сведения для начислений по числу людей. Для незарегистрированных проживающих организация уточняет численность отдельно.</w:t>
            </w:r>
          </w:p>
        </w:tc>
      </w:tr>
      <w:tr w:rsidR="00467E6B" w14:paraId="0192E6DA" w14:textId="77777777">
        <w:trPr>
          <w:cantSplit/>
          <w:jc w:val="center"/>
        </w:trPr>
        <w:tc>
          <w:tcPr>
            <w:tcW w:w="19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C0DBD5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Сообщения собственников / нанимателей и акты исполнителя</w:t>
            </w:r>
          </w:p>
        </w:tc>
        <w:tc>
          <w:tcPr>
            <w:tcW w:w="464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625F15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Количество фактически или временно проживающих и периоды проживания. Сведения передают жители; при предусмотренных Правилами № 354 основаниях исполнитель составляет акт. Единого госреестра фактически проживающих нет.</w:t>
            </w:r>
          </w:p>
        </w:tc>
        <w:tc>
          <w:tcPr>
            <w:tcW w:w="3436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8A9B508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Нормативные начисления по числу проживающих. Полученные данные учитываются в собственной расчётной системе организации.</w:t>
            </w:r>
          </w:p>
        </w:tc>
      </w:tr>
      <w:tr w:rsidR="00467E6B" w14:paraId="278AA168" w14:textId="77777777">
        <w:trPr>
          <w:cantSplit/>
          <w:jc w:val="center"/>
        </w:trPr>
        <w:tc>
          <w:tcPr>
            <w:tcW w:w="198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BAEDEB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6"/>
              </w:rPr>
              <w:t>Региональные акты, решения собственников, договор и техническая документация дома</w:t>
            </w:r>
          </w:p>
        </w:tc>
        <w:tc>
          <w:tcPr>
            <w:tcW w:w="464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EA3AC3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Региональные нормативы и тарифы; утверждённая для дома плата за содержание; минимальный взнос на капремонт; проектные характеристики и оборудование дома.</w:t>
            </w:r>
          </w:p>
        </w:tc>
        <w:tc>
          <w:tcPr>
            <w:tcW w:w="3436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81277CB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6"/>
              </w:rPr>
              <w:t>Определение применимого расчёта, цены, платы за содержание и характеристик благоустройства дома.</w:t>
            </w:r>
          </w:p>
        </w:tc>
      </w:tr>
    </w:tbl>
    <w:p w14:paraId="0C5ED386" w14:textId="77777777" w:rsidR="00467E6B" w:rsidRDefault="00467E6B">
      <w:pPr>
        <w:spacing w:after="0"/>
      </w:pPr>
    </w:p>
    <w:p w14:paraId="2CE56CC2" w14:textId="77777777" w:rsidR="00467E6B" w:rsidRDefault="00000000">
      <w:r>
        <w:br w:type="page"/>
      </w:r>
    </w:p>
    <w:p w14:paraId="788A2757" w14:textId="77777777" w:rsidR="00467E6B" w:rsidRDefault="00000000">
      <w:pPr>
        <w:pStyle w:val="1"/>
      </w:pPr>
      <w:r>
        <w:lastRenderedPageBreak/>
        <w:t>4. Откуда конкретные организации получают сведения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329"/>
        <w:gridCol w:w="2925"/>
      </w:tblGrid>
      <w:tr w:rsidR="00467E6B" w14:paraId="021349ED" w14:textId="77777777">
        <w:trPr>
          <w:cantSplit/>
          <w:tblHeader/>
          <w:jc w:val="center"/>
        </w:trPr>
        <w:tc>
          <w:tcPr>
            <w:tcW w:w="1814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67141EC7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Организация</w:t>
            </w:r>
          </w:p>
        </w:tc>
        <w:tc>
          <w:tcPr>
            <w:tcW w:w="5329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09EDA0F9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Источники, используемые в работе</w:t>
            </w:r>
          </w:p>
        </w:tc>
        <w:tc>
          <w:tcPr>
            <w:tcW w:w="2925" w:type="dxa"/>
            <w:shd w:val="clear" w:color="auto" w:fill="ECF1F5"/>
            <w:tcMar>
              <w:top w:w="120" w:type="dxa"/>
              <w:left w:w="128" w:type="dxa"/>
              <w:bottom w:w="118" w:type="dxa"/>
              <w:right w:w="128" w:type="dxa"/>
            </w:tcMar>
            <w:vAlign w:val="center"/>
          </w:tcPr>
          <w:p w14:paraId="7C451A6A" w14:textId="77777777" w:rsidR="00467E6B" w:rsidRDefault="00000000">
            <w:pPr>
              <w:spacing w:after="0" w:line="252" w:lineRule="auto"/>
            </w:pPr>
            <w:r>
              <w:rPr>
                <w:rFonts w:eastAsia="Arial"/>
                <w:b/>
                <w:sz w:val="17"/>
              </w:rPr>
              <w:t>Ограничения</w:t>
            </w:r>
          </w:p>
        </w:tc>
      </w:tr>
      <w:tr w:rsidR="00467E6B" w14:paraId="673754A5" w14:textId="77777777">
        <w:trPr>
          <w:cantSplit/>
          <w:jc w:val="center"/>
        </w:trPr>
        <w:tc>
          <w:tcPr>
            <w:tcW w:w="181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907AE7D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7"/>
              </w:rPr>
              <w:t>УК / ТСЖ / ЖСК</w:t>
            </w:r>
          </w:p>
        </w:tc>
        <w:tc>
          <w:tcPr>
            <w:tcW w:w="532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76BDBD63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Реестр собственников; сообщения жителей и акты о проживающих; сведения из ГИС ЖКХ о зарегистрированных (если доступны); ЕГРН; квартирные и общедомовые счётчики; собственная система начислений.</w:t>
            </w:r>
          </w:p>
        </w:tc>
        <w:tc>
          <w:tcPr>
            <w:tcW w:w="2925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81776D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Реестр обязателен по ст. 45 ЖК РФ. Сведения о смене собственника и числе проживающих могут запаздывать.</w:t>
            </w:r>
          </w:p>
        </w:tc>
      </w:tr>
      <w:tr w:rsidR="00467E6B" w14:paraId="72634132" w14:textId="77777777">
        <w:trPr>
          <w:cantSplit/>
          <w:jc w:val="center"/>
        </w:trPr>
        <w:tc>
          <w:tcPr>
            <w:tcW w:w="181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50B73AC5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7"/>
              </w:rPr>
              <w:t>РСО: электро-, тепло-, водо-, газоснабжение</w:t>
            </w:r>
          </w:p>
        </w:tc>
        <w:tc>
          <w:tcPr>
            <w:tcW w:w="532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05688E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Счётчики; собственные договоры и лицевые счета; сведения о проживающих от УК, ТСЖ, расчётного центра и потребителя; при наличии данных — ГИС ЖКХ (число зарегистрированных); ЕГРН для объектов и прав.</w:t>
            </w:r>
          </w:p>
        </w:tc>
        <w:tc>
          <w:tcPr>
            <w:tcW w:w="2925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32D00BD9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ГИС ЖКХ не гарантирует полноты сведений о зарегистрированных и не предоставляет автоматически их ФИО. Данные о фактическом проживании могут требовать уточнения у потребителей.</w:t>
            </w:r>
          </w:p>
        </w:tc>
      </w:tr>
      <w:tr w:rsidR="00467E6B" w14:paraId="2F711FAF" w14:textId="77777777">
        <w:trPr>
          <w:cantSplit/>
          <w:jc w:val="center"/>
        </w:trPr>
        <w:tc>
          <w:tcPr>
            <w:tcW w:w="181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4C9124C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7"/>
              </w:rPr>
              <w:t>Операторы ТКО</w:t>
            </w:r>
          </w:p>
        </w:tc>
        <w:tc>
          <w:tcPr>
            <w:tcW w:w="532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10CFE69F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Собственная база и сведения от УК / расчётных центров; ГИС ЖКХ (число зарегистрированных, если данные есть); сообщения собственников о проживающих и акты исполнителя; ЕГРН для адреса, площади и прав.</w:t>
            </w:r>
          </w:p>
        </w:tc>
        <w:tc>
          <w:tcPr>
            <w:tcW w:w="2925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12CF22A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При расчёте по площади нужно значение площади; по числу людей — сведения о проживающих, а при их отсутствии — число собственников. Полного госреестра фактически проживающих нет.</w:t>
            </w:r>
          </w:p>
        </w:tc>
      </w:tr>
      <w:tr w:rsidR="00467E6B" w14:paraId="66A232BA" w14:textId="77777777">
        <w:trPr>
          <w:cantSplit/>
          <w:jc w:val="center"/>
        </w:trPr>
        <w:tc>
          <w:tcPr>
            <w:tcW w:w="1814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1D94D33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b/>
                <w:sz w:val="17"/>
              </w:rPr>
              <w:t>Фонды капремонта</w:t>
            </w:r>
          </w:p>
        </w:tc>
        <w:tc>
          <w:tcPr>
            <w:tcW w:w="5329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28736217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Реестр помещений и плательщиков; сведения ЕГРН; региональная программа и ставки; УК / ТСЖ; расчётные центры; история взносов и оплат. Для спецсчёта — его владелец.</w:t>
            </w:r>
          </w:p>
        </w:tc>
        <w:tc>
          <w:tcPr>
            <w:tcW w:w="2925" w:type="dxa"/>
            <w:tcBorders>
              <w:bottom w:val="single" w:sz="4" w:space="0" w:color="DCE3E9"/>
            </w:tcBorders>
            <w:tcMar>
              <w:top w:w="95" w:type="dxa"/>
              <w:left w:w="115" w:type="dxa"/>
              <w:bottom w:w="100" w:type="dxa"/>
              <w:right w:w="115" w:type="dxa"/>
            </w:tcMar>
            <w:vAlign w:val="center"/>
          </w:tcPr>
          <w:p w14:paraId="6D86C78C" w14:textId="77777777" w:rsidR="00467E6B" w:rsidRDefault="00000000">
            <w:pPr>
              <w:spacing w:after="0" w:line="262" w:lineRule="auto"/>
            </w:pPr>
            <w:r>
              <w:rPr>
                <w:rFonts w:eastAsia="Arial"/>
                <w:sz w:val="17"/>
              </w:rPr>
              <w:t>Критичны площадь, право собственности и накопленный по помещению долг. Начисления может вести расчётный центр [14].</w:t>
            </w:r>
          </w:p>
        </w:tc>
      </w:tr>
    </w:tbl>
    <w:p w14:paraId="778106EC" w14:textId="77777777" w:rsidR="00467E6B" w:rsidRDefault="00467E6B">
      <w:pPr>
        <w:spacing w:after="0"/>
      </w:pPr>
    </w:p>
    <w:p w14:paraId="2BF38784" w14:textId="77777777" w:rsidR="00467E6B" w:rsidRDefault="00000000">
      <w:pPr>
        <w:pStyle w:val="21"/>
      </w:pPr>
      <w:r>
        <w:t>Особенности при взыскании после продажи квартиры</w:t>
      </w:r>
    </w:p>
    <w:p w14:paraId="38A2AF7E" w14:textId="77777777" w:rsidR="00467E6B" w:rsidRDefault="00000000">
      <w:pPr>
        <w:spacing w:after="80"/>
      </w:pPr>
      <w:r>
        <w:rPr>
          <w:rFonts w:eastAsia="Arial"/>
          <w:b/>
          <w:sz w:val="18"/>
        </w:rPr>
        <w:t xml:space="preserve">Обычные коммунальные и жилищные долги: </w:t>
      </w:r>
      <w:r>
        <w:rPr>
          <w:rFonts w:eastAsia="Arial"/>
          <w:sz w:val="18"/>
        </w:rPr>
        <w:t xml:space="preserve">по общему правилу относятся к обязанному плательщику за период образования долга, а не автоматически к покупателю квартиры. </w:t>
      </w:r>
      <w:r>
        <w:rPr>
          <w:rFonts w:eastAsia="Arial"/>
          <w:b/>
          <w:sz w:val="18"/>
        </w:rPr>
        <w:t xml:space="preserve">Капремонт: </w:t>
      </w:r>
      <w:r>
        <w:rPr>
          <w:rFonts w:eastAsia="Arial"/>
          <w:sz w:val="18"/>
        </w:rPr>
        <w:t>непогашенные взносы прежнего собственника обычно переходят новому (кроме долгов прежнего собственника — публичного образования) [3].</w:t>
      </w:r>
    </w:p>
    <w:p w14:paraId="543334C3" w14:textId="77777777" w:rsidR="00467E6B" w:rsidRDefault="00000000">
      <w:pPr>
        <w:pStyle w:val="21"/>
      </w:pPr>
      <w:r>
        <w:t>Правовые ограничения</w:t>
      </w:r>
    </w:p>
    <w:p w14:paraId="4B7BFB53" w14:textId="77777777" w:rsidR="00467E6B" w:rsidRDefault="00000000">
      <w:pPr>
        <w:spacing w:after="120"/>
      </w:pPr>
      <w:r>
        <w:rPr>
          <w:rFonts w:eastAsia="Arial"/>
          <w:sz w:val="18"/>
        </w:rPr>
        <w:t>ЕГРН не содержит сведений о числе зарегистрированных или фактически проживающих, показаний счётчиков и задолженности. ФИО собственников-физлиц в общедоступных выписках ЕГРН, как правило, скрыты; получение персональных данных зависит от оснований по Закону № 218-ФЗ [15].</w:t>
      </w:r>
    </w:p>
    <w:p w14:paraId="6E657ADD" w14:textId="77777777" w:rsidR="00467E6B" w:rsidRDefault="00000000">
      <w:pPr>
        <w:pStyle w:val="21"/>
      </w:pPr>
      <w:r>
        <w:t>Нормативная база и региональные примеры</w:t>
      </w:r>
    </w:p>
    <w:p w14:paraId="462756B6" w14:textId="77777777" w:rsidR="00467E6B" w:rsidRDefault="00000000">
      <w:pPr>
        <w:spacing w:after="40" w:line="252" w:lineRule="auto"/>
      </w:pPr>
      <w:hyperlink r:id="rId8">
        <w:r>
          <w:rPr>
            <w:color w:val="245780"/>
            <w:sz w:val="15"/>
          </w:rPr>
          <w:t>1. ПП РФ № 354 — расчёт коммунальных услуг</w:t>
        </w:r>
      </w:hyperlink>
      <w:r>
        <w:rPr>
          <w:rFonts w:eastAsia="Arial"/>
          <w:sz w:val="15"/>
        </w:rPr>
        <w:t xml:space="preserve">     </w:t>
      </w:r>
      <w:hyperlink r:id="rId9">
        <w:r>
          <w:rPr>
            <w:color w:val="245780"/>
            <w:sz w:val="15"/>
          </w:rPr>
          <w:t>2. ПП РФ № 306 — нормативы потребления</w:t>
        </w:r>
      </w:hyperlink>
      <w:r>
        <w:rPr>
          <w:rFonts w:eastAsia="Arial"/>
          <w:sz w:val="15"/>
        </w:rPr>
        <w:t xml:space="preserve">     </w:t>
      </w:r>
      <w:hyperlink r:id="rId10">
        <w:r>
          <w:rPr>
            <w:color w:val="245780"/>
            <w:sz w:val="15"/>
          </w:rPr>
          <w:t>3. ЖК РФ, ст. 153, 158 — плательщик и капремонт</w:t>
        </w:r>
      </w:hyperlink>
    </w:p>
    <w:p w14:paraId="6E3669A4" w14:textId="77777777" w:rsidR="00467E6B" w:rsidRDefault="00000000">
      <w:pPr>
        <w:spacing w:after="40" w:line="252" w:lineRule="auto"/>
      </w:pPr>
      <w:hyperlink r:id="rId11">
        <w:r>
          <w:rPr>
            <w:color w:val="245780"/>
            <w:sz w:val="15"/>
          </w:rPr>
          <w:t>4. Москва: ТКО, ПП № 2625-ПП</w:t>
        </w:r>
      </w:hyperlink>
      <w:r>
        <w:rPr>
          <w:rFonts w:eastAsia="Arial"/>
          <w:sz w:val="15"/>
        </w:rPr>
        <w:t xml:space="preserve">     </w:t>
      </w:r>
      <w:hyperlink r:id="rId12">
        <w:r>
          <w:rPr>
            <w:color w:val="245780"/>
            <w:sz w:val="15"/>
          </w:rPr>
          <w:t>5. Санкт-Петербург: ТКО, ПП № 929</w:t>
        </w:r>
      </w:hyperlink>
      <w:r>
        <w:rPr>
          <w:rFonts w:eastAsia="Arial"/>
          <w:sz w:val="15"/>
        </w:rPr>
        <w:t xml:space="preserve">     </w:t>
      </w:r>
      <w:hyperlink r:id="rId13">
        <w:r>
          <w:rPr>
            <w:color w:val="245780"/>
            <w:sz w:val="15"/>
          </w:rPr>
          <w:t>6. Новосибирская область: ТКО, тарифы оператора</w:t>
        </w:r>
      </w:hyperlink>
    </w:p>
    <w:p w14:paraId="387FBD80" w14:textId="77777777" w:rsidR="00467E6B" w:rsidRDefault="00000000">
      <w:pPr>
        <w:spacing w:after="40" w:line="252" w:lineRule="auto"/>
      </w:pPr>
      <w:hyperlink r:id="rId14">
        <w:r>
          <w:rPr>
            <w:color w:val="245780"/>
            <w:sz w:val="15"/>
          </w:rPr>
          <w:t>7. Москва: отопление, ПП № 2340-ПП</w:t>
        </w:r>
      </w:hyperlink>
      <w:r>
        <w:rPr>
          <w:rFonts w:eastAsia="Arial"/>
          <w:sz w:val="15"/>
        </w:rPr>
        <w:t xml:space="preserve">     </w:t>
      </w:r>
      <w:hyperlink r:id="rId15">
        <w:r>
          <w:rPr>
            <w:color w:val="245780"/>
            <w:sz w:val="15"/>
          </w:rPr>
          <w:t>8. Санкт-Петербург: отопление, разъяснения</w:t>
        </w:r>
      </w:hyperlink>
      <w:r>
        <w:rPr>
          <w:rFonts w:eastAsia="Arial"/>
          <w:sz w:val="15"/>
        </w:rPr>
        <w:t xml:space="preserve">     </w:t>
      </w:r>
      <w:hyperlink r:id="rId16">
        <w:r>
          <w:rPr>
            <w:color w:val="245780"/>
            <w:sz w:val="15"/>
          </w:rPr>
          <w:t>9. Санкт-Петербург: нормативы ХВС и ГВС</w:t>
        </w:r>
      </w:hyperlink>
    </w:p>
    <w:p w14:paraId="1795BA55" w14:textId="77777777" w:rsidR="00467E6B" w:rsidRDefault="00000000">
      <w:pPr>
        <w:spacing w:after="40" w:line="252" w:lineRule="auto"/>
      </w:pPr>
      <w:hyperlink r:id="rId17">
        <w:r>
          <w:rPr>
            <w:color w:val="245780"/>
            <w:sz w:val="15"/>
          </w:rPr>
          <w:t>10. Новосибирская область: нормативы ХВС и ГВС</w:t>
        </w:r>
      </w:hyperlink>
      <w:r>
        <w:rPr>
          <w:rFonts w:eastAsia="Arial"/>
          <w:sz w:val="15"/>
        </w:rPr>
        <w:t xml:space="preserve">     </w:t>
      </w:r>
      <w:hyperlink r:id="rId18">
        <w:r>
          <w:rPr>
            <w:color w:val="245780"/>
            <w:sz w:val="15"/>
          </w:rPr>
          <w:t>11. Москва: капремонт, ПП № 2905-ПП</w:t>
        </w:r>
      </w:hyperlink>
      <w:r>
        <w:rPr>
          <w:rFonts w:eastAsia="Arial"/>
          <w:sz w:val="15"/>
        </w:rPr>
        <w:t xml:space="preserve">     </w:t>
      </w:r>
      <w:hyperlink r:id="rId19">
        <w:r>
          <w:rPr>
            <w:color w:val="245780"/>
            <w:sz w:val="15"/>
          </w:rPr>
          <w:t>12. Свердловская область: капремонт, ПП № 532-ПП</w:t>
        </w:r>
      </w:hyperlink>
    </w:p>
    <w:p w14:paraId="661A18C2" w14:textId="77777777" w:rsidR="00467E6B" w:rsidRDefault="00000000">
      <w:pPr>
        <w:spacing w:after="40" w:line="252" w:lineRule="auto"/>
      </w:pPr>
      <w:hyperlink r:id="rId20">
        <w:r>
          <w:rPr>
            <w:color w:val="245780"/>
            <w:sz w:val="15"/>
          </w:rPr>
          <w:t>13. Санкт-Петербург: капремонт, ПП № 1115</w:t>
        </w:r>
      </w:hyperlink>
      <w:r>
        <w:rPr>
          <w:rFonts w:eastAsia="Arial"/>
          <w:sz w:val="15"/>
        </w:rPr>
        <w:t xml:space="preserve">     </w:t>
      </w:r>
      <w:hyperlink r:id="rId21">
        <w:r>
          <w:rPr>
            <w:color w:val="245780"/>
            <w:sz w:val="15"/>
          </w:rPr>
          <w:t>14. Санкт-Петербург: расчёты фонда капремонта</w:t>
        </w:r>
      </w:hyperlink>
      <w:r>
        <w:rPr>
          <w:rFonts w:eastAsia="Arial"/>
          <w:sz w:val="15"/>
        </w:rPr>
        <w:t xml:space="preserve">     </w:t>
      </w:r>
      <w:hyperlink r:id="rId22">
        <w:r>
          <w:rPr>
            <w:color w:val="245780"/>
            <w:sz w:val="15"/>
          </w:rPr>
          <w:t>15. Закон № 218-ФЗ, ст. 36.3 — данные правообладателей</w:t>
        </w:r>
      </w:hyperlink>
      <w:r>
        <w:rPr>
          <w:color w:val="245780"/>
          <w:sz w:val="15"/>
        </w:rPr>
        <w:t xml:space="preserve">     16. Закон № 209-ФЗ, ст. 6 — число зарегистрированных в ГИС ЖКХ</w:t>
      </w:r>
    </w:p>
    <w:sectPr w:rsidR="00467E6B" w:rsidSect="00034616">
      <w:footerReference w:type="default" r:id="rId23"/>
      <w:pgSz w:w="11906" w:h="16838"/>
      <w:pgMar w:top="839" w:right="918" w:bottom="839" w:left="918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6BA45" w14:textId="77777777" w:rsidR="00504B81" w:rsidRDefault="00504B81">
      <w:pPr>
        <w:spacing w:after="0" w:line="240" w:lineRule="auto"/>
      </w:pPr>
      <w:r>
        <w:separator/>
      </w:r>
    </w:p>
  </w:endnote>
  <w:endnote w:type="continuationSeparator" w:id="0">
    <w:p w14:paraId="2F5B9A28" w14:textId="77777777" w:rsidR="00504B81" w:rsidRDefault="00504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B9800" w14:textId="77777777" w:rsidR="00467E6B" w:rsidRDefault="00000000">
    <w:pPr>
      <w:pStyle w:val="a7"/>
      <w:jc w:val="right"/>
    </w:pPr>
    <w:r>
      <w:rPr>
        <w:rFonts w:eastAsia="Arial"/>
        <w:color w:val="5D6C78"/>
        <w:sz w:val="15"/>
      </w:rPr>
      <w:t>Исследование ЖКХ / РСО  •  21.10.2026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33B4E" w14:textId="77777777" w:rsidR="00504B81" w:rsidRDefault="00504B81">
      <w:pPr>
        <w:spacing w:after="0" w:line="240" w:lineRule="auto"/>
      </w:pPr>
      <w:r>
        <w:separator/>
      </w:r>
    </w:p>
  </w:footnote>
  <w:footnote w:type="continuationSeparator" w:id="0">
    <w:p w14:paraId="4129F697" w14:textId="77777777" w:rsidR="00504B81" w:rsidRDefault="00504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917072">
    <w:abstractNumId w:val="8"/>
  </w:num>
  <w:num w:numId="2" w16cid:durableId="282689503">
    <w:abstractNumId w:val="6"/>
  </w:num>
  <w:num w:numId="3" w16cid:durableId="328021372">
    <w:abstractNumId w:val="5"/>
  </w:num>
  <w:num w:numId="4" w16cid:durableId="432826390">
    <w:abstractNumId w:val="4"/>
  </w:num>
  <w:num w:numId="5" w16cid:durableId="997878167">
    <w:abstractNumId w:val="7"/>
  </w:num>
  <w:num w:numId="6" w16cid:durableId="535657815">
    <w:abstractNumId w:val="3"/>
  </w:num>
  <w:num w:numId="7" w16cid:durableId="2109151674">
    <w:abstractNumId w:val="2"/>
  </w:num>
  <w:num w:numId="8" w16cid:durableId="119303129">
    <w:abstractNumId w:val="1"/>
  </w:num>
  <w:num w:numId="9" w16cid:durableId="17114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7E6B"/>
    <w:rsid w:val="004A5990"/>
    <w:rsid w:val="00504B81"/>
    <w:rsid w:val="00AA1D8D"/>
    <w:rsid w:val="00B47730"/>
    <w:rsid w:val="00CB0664"/>
    <w:rsid w:val="00ED7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03F7E"/>
  <w14:defaultImageDpi w14:val="300"/>
  <w15:docId w15:val="{B8CC379C-8E43-4E32-B410-8CD53DDF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hAnsi="Arial"/>
      <w:color w:val="223245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45780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45780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a1"/>
    <w:pPr>
      <w:keepNext/>
    </w:pPr>
    <w:rPr>
      <w:b/>
      <w:sz w:val="32"/>
    </w:rPr>
  </w:style>
  <w:style w:type="paragraph" w:customStyle="1" w:styleId="Infoline">
    <w:name w:val="Info line"/>
    <w:basedOn w:val="a1"/>
    <w:pPr>
      <w:spacing w:after="160" w:line="254" w:lineRule="auto"/>
    </w:pPr>
    <w:rPr>
      <w:color w:val="5D6C78"/>
      <w:sz w:val="16"/>
    </w:rPr>
  </w:style>
  <w:style w:type="paragraph" w:customStyle="1" w:styleId="FootnoteInfo">
    <w:name w:val="FootnoteInfo"/>
    <w:basedOn w:val="a1"/>
    <w:pPr>
      <w:spacing w:before="80" w:after="120" w:line="250" w:lineRule="auto"/>
    </w:pPr>
    <w:rPr>
      <w:color w:val="5D6C7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114247/2c89fbd61239ac65f3203353df59d3c653c9a2f8/" TargetMode="External"/><Relationship Id="rId13" Type="http://schemas.openxmlformats.org/officeDocument/2006/relationships/hyperlink" Target="https://xn--80aa5bmv.xn--p1ai/about/tariffs/" TargetMode="External"/><Relationship Id="rId18" Type="http://schemas.openxmlformats.org/officeDocument/2006/relationships/hyperlink" Target="https://www.garant.ru/hotlaw/moscow/1917081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v.spb.ru/gov/otrasl/gilfond/obrasheniya-grazhdan/faq/13412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ov.spb.ru/gov/otrasl/energ_kom/obrasheniya-grazhdan/faq/12726/" TargetMode="External"/><Relationship Id="rId17" Type="http://schemas.openxmlformats.org/officeDocument/2006/relationships/hyperlink" Target="https://base.garant.ru/7269029/53f89421bbdaf741eb2d1ecc4ddb4c33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gov.spb.ru/gov/otrasl/energ_kom/documents/npa/6285/" TargetMode="External"/><Relationship Id="rId20" Type="http://schemas.openxmlformats.org/officeDocument/2006/relationships/hyperlink" Target="https://base.garant.ru/41343814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se.garant.ru/415021014/53f89421bbdaf741eb2d1ecc4ddb4c33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v.spb.ru/gov/terr/reg_vasileostr/rajonnoe-hozyajstvo/voprosy-oplaty-zhilishno-kommunalnyh-uslug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consultant.ru/document/cons_doc_LAW_51057/fc0ab0537d457cf86182567350b816e931051853/" TargetMode="External"/><Relationship Id="rId19" Type="http://schemas.openxmlformats.org/officeDocument/2006/relationships/hyperlink" Target="https://www.xn--96-mlc8b4a.xn--p1ai/razm_vznos_kapremon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sultant.ru/document/cons_doc_LAW_60527/" TargetMode="External"/><Relationship Id="rId14" Type="http://schemas.openxmlformats.org/officeDocument/2006/relationships/hyperlink" Target="https://base.garant.ru/408110889/" TargetMode="External"/><Relationship Id="rId22" Type="http://schemas.openxmlformats.org/officeDocument/2006/relationships/hyperlink" Target="https://www.consultant.ru/document/cons_doc_LAW_182661/b4f7b7bc6f9a955d28d00a138f99961922f3e7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Данные для начисления ЖКУ и взыскания задолженности</dc:title>
  <dc:subject>Методы начислений, региональные различия, источники данных ЕГРН и организаций ЖКХ</dc:subject>
  <dc:creator>python-docx</dc:creator>
  <cp:keywords/>
  <dc:description>generated by python-docx</dc:description>
  <cp:lastModifiedBy>Лигуэ Ольга Владимировна</cp:lastModifiedBy>
  <cp:revision>2</cp:revision>
  <dcterms:created xsi:type="dcterms:W3CDTF">2026-10-22T05:42:00Z</dcterms:created>
  <dcterms:modified xsi:type="dcterms:W3CDTF">2026-10-22T05:42:00Z</dcterms:modified>
  <cp:category/>
</cp:coreProperties>
</file>