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4D23C" w14:textId="23C774DB" w:rsidR="002E158B" w:rsidRPr="00F22CEF" w:rsidRDefault="002E158B" w:rsidP="002E158B">
      <w:pPr>
        <w:spacing w:line="360" w:lineRule="auto"/>
        <w:jc w:val="center"/>
        <w:rPr>
          <w:rFonts w:ascii="Times New Roman" w:hAnsi="Times New Roman" w:cs="Times New Roman"/>
          <w:sz w:val="32"/>
          <w:szCs w:val="32"/>
        </w:rPr>
      </w:pPr>
      <w:r w:rsidRPr="00F22CEF">
        <w:rPr>
          <w:rFonts w:ascii="Times New Roman" w:hAnsi="Times New Roman" w:cs="Times New Roman"/>
          <w:sz w:val="32"/>
          <w:szCs w:val="32"/>
        </w:rPr>
        <w:t>FINM 25000 Assignment 1</w:t>
      </w:r>
    </w:p>
    <w:p w14:paraId="12D014F0" w14:textId="1415AE29" w:rsidR="00C131C3" w:rsidRDefault="00C131C3" w:rsidP="002E158B">
      <w:pPr>
        <w:spacing w:line="360" w:lineRule="auto"/>
        <w:jc w:val="center"/>
        <w:rPr>
          <w:rFonts w:ascii="Times New Roman" w:hAnsi="Times New Roman" w:cs="Times New Roman"/>
          <w:sz w:val="22"/>
          <w:szCs w:val="22"/>
        </w:rPr>
      </w:pPr>
      <w:r>
        <w:rPr>
          <w:rFonts w:ascii="Times New Roman" w:hAnsi="Times New Roman" w:cs="Times New Roman"/>
          <w:sz w:val="22"/>
          <w:szCs w:val="22"/>
        </w:rPr>
        <w:t>HW Group A 6</w:t>
      </w:r>
    </w:p>
    <w:p w14:paraId="19B08DED" w14:textId="5B6D7FE3" w:rsidR="002E158B" w:rsidRPr="00F22CEF" w:rsidRDefault="002E158B" w:rsidP="002E158B">
      <w:pPr>
        <w:spacing w:line="360" w:lineRule="auto"/>
        <w:jc w:val="center"/>
        <w:rPr>
          <w:rFonts w:ascii="Times New Roman" w:hAnsi="Times New Roman" w:cs="Times New Roman"/>
          <w:sz w:val="22"/>
          <w:szCs w:val="22"/>
        </w:rPr>
      </w:pPr>
      <w:r w:rsidRPr="00F22CEF">
        <w:rPr>
          <w:rFonts w:ascii="Times New Roman" w:hAnsi="Times New Roman" w:cs="Times New Roman"/>
          <w:sz w:val="22"/>
          <w:szCs w:val="22"/>
        </w:rPr>
        <w:t xml:space="preserve">Lucas Morena, Tony Yu, Charlie Wu, </w:t>
      </w:r>
      <w:proofErr w:type="spellStart"/>
      <w:r w:rsidRPr="00F22CEF">
        <w:rPr>
          <w:rFonts w:ascii="Times New Roman" w:hAnsi="Times New Roman" w:cs="Times New Roman"/>
          <w:sz w:val="22"/>
          <w:szCs w:val="22"/>
        </w:rPr>
        <w:t>Cerina</w:t>
      </w:r>
      <w:proofErr w:type="spellEnd"/>
      <w:r w:rsidRPr="00F22CEF">
        <w:rPr>
          <w:rFonts w:ascii="Times New Roman" w:hAnsi="Times New Roman" w:cs="Times New Roman"/>
          <w:sz w:val="22"/>
          <w:szCs w:val="22"/>
        </w:rPr>
        <w:t xml:space="preserve"> Yao</w:t>
      </w:r>
    </w:p>
    <w:p w14:paraId="63F51179" w14:textId="1AE0DCC6" w:rsidR="002E158B" w:rsidRPr="00F22CEF" w:rsidRDefault="002E158B" w:rsidP="002E158B">
      <w:pPr>
        <w:spacing w:line="360" w:lineRule="auto"/>
        <w:rPr>
          <w:rFonts w:ascii="Times New Roman" w:hAnsi="Times New Roman" w:cs="Times New Roman"/>
          <w:sz w:val="22"/>
          <w:szCs w:val="22"/>
          <w:u w:val="single"/>
        </w:rPr>
      </w:pPr>
      <w:r w:rsidRPr="00F22CEF">
        <w:rPr>
          <w:rFonts w:ascii="Times New Roman" w:hAnsi="Times New Roman" w:cs="Times New Roman"/>
          <w:sz w:val="22"/>
          <w:szCs w:val="22"/>
          <w:u w:val="single"/>
        </w:rPr>
        <w:t>Question 1</w:t>
      </w:r>
    </w:p>
    <w:p w14:paraId="5E6B0BE7" w14:textId="1DB0F77F" w:rsidR="002E158B" w:rsidRPr="00F22CEF" w:rsidRDefault="002E158B" w:rsidP="002E158B">
      <w:pPr>
        <w:spacing w:line="360" w:lineRule="auto"/>
        <w:rPr>
          <w:rFonts w:ascii="Times New Roman" w:hAnsi="Times New Roman" w:cs="Times New Roman"/>
          <w:i/>
          <w:iCs/>
          <w:sz w:val="22"/>
          <w:szCs w:val="22"/>
        </w:rPr>
      </w:pPr>
      <w:r w:rsidRPr="00F22CEF">
        <w:rPr>
          <w:rFonts w:ascii="Times New Roman" w:hAnsi="Times New Roman" w:cs="Times New Roman"/>
          <w:i/>
          <w:iCs/>
          <w:sz w:val="22"/>
          <w:szCs w:val="22"/>
        </w:rPr>
        <w:t>Table 1. Mean, Volatility and Sharpe Ratio of each asset</w:t>
      </w:r>
    </w:p>
    <w:p w14:paraId="13609F92" w14:textId="30E6458D" w:rsidR="002E158B" w:rsidRPr="00F22CEF" w:rsidRDefault="002E158B" w:rsidP="002E158B">
      <w:pPr>
        <w:spacing w:line="360" w:lineRule="auto"/>
        <w:rPr>
          <w:rFonts w:ascii="Times New Roman" w:hAnsi="Times New Roman" w:cs="Times New Roman"/>
          <w:sz w:val="22"/>
          <w:szCs w:val="22"/>
        </w:rPr>
      </w:pPr>
      <w:r w:rsidRPr="00F22CEF">
        <w:rPr>
          <w:rFonts w:ascii="Times New Roman" w:hAnsi="Times New Roman" w:cs="Times New Roman"/>
          <w:sz w:val="22"/>
          <w:szCs w:val="22"/>
        </w:rPr>
        <w:drawing>
          <wp:inline distT="0" distB="0" distL="0" distR="0" wp14:anchorId="4E39118E" wp14:editId="1177C88A">
            <wp:extent cx="3148642" cy="3520285"/>
            <wp:effectExtent l="0" t="0" r="127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150734" cy="3522624"/>
                    </a:xfrm>
                    <a:prstGeom prst="rect">
                      <a:avLst/>
                    </a:prstGeom>
                  </pic:spPr>
                </pic:pic>
              </a:graphicData>
            </a:graphic>
          </wp:inline>
        </w:drawing>
      </w:r>
      <w:r w:rsidR="000F3A6B" w:rsidRPr="00AF4FBB">
        <w:rPr>
          <w:rFonts w:ascii="Times New Roman" w:hAnsi="Times New Roman" w:cs="Times New Roman"/>
          <w:sz w:val="22"/>
          <w:szCs w:val="22"/>
        </w:rPr>
        <w:drawing>
          <wp:inline distT="0" distB="0" distL="0" distR="0" wp14:anchorId="0D06F0CB" wp14:editId="7751BB1A">
            <wp:extent cx="2311879" cy="3478722"/>
            <wp:effectExtent l="0" t="0" r="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2338172" cy="3518286"/>
                    </a:xfrm>
                    <a:prstGeom prst="rect">
                      <a:avLst/>
                    </a:prstGeom>
                  </pic:spPr>
                </pic:pic>
              </a:graphicData>
            </a:graphic>
          </wp:inline>
        </w:drawing>
      </w:r>
    </w:p>
    <w:p w14:paraId="5F3A57AF" w14:textId="2EE9151B" w:rsidR="002E158B" w:rsidRPr="00F22CEF" w:rsidRDefault="002E158B" w:rsidP="002E158B">
      <w:pPr>
        <w:spacing w:line="360" w:lineRule="auto"/>
        <w:rPr>
          <w:rFonts w:ascii="Times New Roman" w:hAnsi="Times New Roman" w:cs="Times New Roman"/>
          <w:sz w:val="22"/>
          <w:szCs w:val="22"/>
        </w:rPr>
      </w:pPr>
      <w:r w:rsidRPr="00F22CEF">
        <w:rPr>
          <w:rFonts w:ascii="Times New Roman" w:hAnsi="Times New Roman" w:cs="Times New Roman"/>
          <w:sz w:val="22"/>
          <w:szCs w:val="22"/>
        </w:rPr>
        <w:t>SPY has the best (highest) Sharpe Ratio, while BWX has the worst (lowest) Sharpe Ratio.</w:t>
      </w:r>
    </w:p>
    <w:p w14:paraId="3EDB695A" w14:textId="77777777" w:rsidR="002E158B" w:rsidRPr="00F22CEF" w:rsidRDefault="002E158B" w:rsidP="002E158B">
      <w:pPr>
        <w:spacing w:line="360" w:lineRule="auto"/>
        <w:rPr>
          <w:rFonts w:ascii="Times New Roman" w:hAnsi="Times New Roman" w:cs="Times New Roman"/>
          <w:sz w:val="22"/>
          <w:szCs w:val="22"/>
        </w:rPr>
      </w:pPr>
    </w:p>
    <w:p w14:paraId="05665E78" w14:textId="6F65B279" w:rsidR="002E158B" w:rsidRPr="00F22CEF" w:rsidRDefault="002E158B" w:rsidP="002E158B">
      <w:pPr>
        <w:spacing w:line="360" w:lineRule="auto"/>
        <w:rPr>
          <w:rFonts w:ascii="Times New Roman" w:hAnsi="Times New Roman" w:cs="Times New Roman"/>
          <w:sz w:val="22"/>
          <w:szCs w:val="22"/>
          <w:u w:val="single"/>
        </w:rPr>
      </w:pPr>
      <w:r w:rsidRPr="00F22CEF">
        <w:rPr>
          <w:rFonts w:ascii="Times New Roman" w:hAnsi="Times New Roman" w:cs="Times New Roman"/>
          <w:sz w:val="22"/>
          <w:szCs w:val="22"/>
          <w:u w:val="single"/>
        </w:rPr>
        <w:t>Question 2</w:t>
      </w:r>
    </w:p>
    <w:p w14:paraId="2B7CB90E" w14:textId="06240093" w:rsidR="002E158B" w:rsidRPr="00F22CEF" w:rsidRDefault="002E158B" w:rsidP="002E158B">
      <w:pPr>
        <w:spacing w:line="360" w:lineRule="auto"/>
        <w:rPr>
          <w:rFonts w:ascii="Times New Roman" w:hAnsi="Times New Roman" w:cs="Times New Roman"/>
          <w:i/>
          <w:iCs/>
          <w:sz w:val="22"/>
          <w:szCs w:val="22"/>
        </w:rPr>
      </w:pPr>
      <w:r w:rsidRPr="00F22CEF">
        <w:rPr>
          <w:rFonts w:ascii="Times New Roman" w:hAnsi="Times New Roman" w:cs="Times New Roman"/>
          <w:i/>
          <w:iCs/>
          <w:sz w:val="22"/>
          <w:szCs w:val="22"/>
        </w:rPr>
        <w:t>Table 2. Correlation matrix</w:t>
      </w:r>
    </w:p>
    <w:p w14:paraId="2E36C7B1" w14:textId="5E32D493" w:rsidR="002E158B" w:rsidRPr="00F22CEF" w:rsidRDefault="00F22CEF" w:rsidP="00FD0AD1">
      <w:pPr>
        <w:spacing w:line="360" w:lineRule="auto"/>
        <w:jc w:val="center"/>
        <w:rPr>
          <w:rFonts w:ascii="Times New Roman" w:hAnsi="Times New Roman" w:cs="Times New Roman"/>
          <w:sz w:val="22"/>
          <w:szCs w:val="22"/>
        </w:rPr>
      </w:pPr>
      <w:r w:rsidRPr="00F22CEF">
        <w:rPr>
          <w:rFonts w:ascii="Times New Roman" w:hAnsi="Times New Roman" w:cs="Times New Roman"/>
          <w:sz w:val="22"/>
          <w:szCs w:val="22"/>
        </w:rPr>
        <w:drawing>
          <wp:inline distT="0" distB="0" distL="0" distR="0" wp14:anchorId="20B5F65C" wp14:editId="370DC620">
            <wp:extent cx="5357004" cy="2414984"/>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361503" cy="2417012"/>
                    </a:xfrm>
                    <a:prstGeom prst="rect">
                      <a:avLst/>
                    </a:prstGeom>
                  </pic:spPr>
                </pic:pic>
              </a:graphicData>
            </a:graphic>
          </wp:inline>
        </w:drawing>
      </w:r>
    </w:p>
    <w:p w14:paraId="5F11F3A0" w14:textId="4EBC345D" w:rsidR="00F22CEF" w:rsidRPr="00F22CEF" w:rsidRDefault="00F22CEF" w:rsidP="002E158B">
      <w:pPr>
        <w:spacing w:line="360" w:lineRule="auto"/>
        <w:rPr>
          <w:rFonts w:ascii="Times New Roman" w:hAnsi="Times New Roman" w:cs="Times New Roman"/>
          <w:sz w:val="22"/>
          <w:szCs w:val="22"/>
        </w:rPr>
      </w:pPr>
    </w:p>
    <w:p w14:paraId="2531BB90" w14:textId="5D3F8723" w:rsidR="00F22CEF" w:rsidRPr="00F22CEF" w:rsidRDefault="00F22CEF" w:rsidP="00FD0AD1">
      <w:pPr>
        <w:spacing w:line="360" w:lineRule="auto"/>
        <w:jc w:val="center"/>
        <w:rPr>
          <w:rFonts w:ascii="Times New Roman" w:hAnsi="Times New Roman" w:cs="Times New Roman"/>
          <w:sz w:val="22"/>
          <w:szCs w:val="22"/>
        </w:rPr>
      </w:pPr>
      <w:r w:rsidRPr="00F22CEF">
        <w:rPr>
          <w:rFonts w:ascii="Times New Roman" w:hAnsi="Times New Roman" w:cs="Times New Roman"/>
          <w:sz w:val="22"/>
          <w:szCs w:val="22"/>
        </w:rPr>
        <w:lastRenderedPageBreak/>
        <w:drawing>
          <wp:inline distT="0" distB="0" distL="0" distR="0" wp14:anchorId="4B9B067D" wp14:editId="53255C8C">
            <wp:extent cx="4295954" cy="3090839"/>
            <wp:effectExtent l="0" t="0" r="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9"/>
                    <a:stretch>
                      <a:fillRect/>
                    </a:stretch>
                  </pic:blipFill>
                  <pic:spPr>
                    <a:xfrm>
                      <a:off x="0" y="0"/>
                      <a:ext cx="4322066" cy="3109626"/>
                    </a:xfrm>
                    <a:prstGeom prst="rect">
                      <a:avLst/>
                    </a:prstGeom>
                  </pic:spPr>
                </pic:pic>
              </a:graphicData>
            </a:graphic>
          </wp:inline>
        </w:drawing>
      </w:r>
    </w:p>
    <w:p w14:paraId="43CBBD3A" w14:textId="450AD577" w:rsidR="00F22CEF" w:rsidRDefault="00F22CEF" w:rsidP="002E158B">
      <w:pPr>
        <w:spacing w:line="360" w:lineRule="auto"/>
        <w:rPr>
          <w:rFonts w:ascii="Times New Roman" w:hAnsi="Times New Roman" w:cs="Times New Roman"/>
          <w:i/>
          <w:iCs/>
          <w:sz w:val="22"/>
          <w:szCs w:val="22"/>
        </w:rPr>
      </w:pPr>
      <w:r w:rsidRPr="00F22CEF">
        <w:rPr>
          <w:rFonts w:ascii="Times New Roman" w:hAnsi="Times New Roman" w:cs="Times New Roman"/>
          <w:i/>
          <w:iCs/>
          <w:sz w:val="22"/>
          <w:szCs w:val="22"/>
        </w:rPr>
        <w:t>Figure 1. Heat map of correlation matrix</w:t>
      </w:r>
    </w:p>
    <w:p w14:paraId="4BABFF36" w14:textId="77777777" w:rsidR="00FD0AD1" w:rsidRPr="00F22CEF" w:rsidRDefault="00FD0AD1" w:rsidP="002E158B">
      <w:pPr>
        <w:spacing w:line="360" w:lineRule="auto"/>
        <w:rPr>
          <w:rFonts w:ascii="Times New Roman" w:hAnsi="Times New Roman" w:cs="Times New Roman"/>
          <w:i/>
          <w:iCs/>
          <w:sz w:val="22"/>
          <w:szCs w:val="22"/>
        </w:rPr>
      </w:pPr>
    </w:p>
    <w:p w14:paraId="0FBBF63F" w14:textId="158444C1" w:rsidR="00F22CEF" w:rsidRPr="00F22CEF" w:rsidRDefault="00F22CEF" w:rsidP="002E158B">
      <w:pPr>
        <w:spacing w:line="360" w:lineRule="auto"/>
        <w:rPr>
          <w:rFonts w:ascii="Times New Roman" w:hAnsi="Times New Roman" w:cs="Times New Roman"/>
          <w:sz w:val="22"/>
          <w:szCs w:val="22"/>
        </w:rPr>
      </w:pPr>
      <w:r w:rsidRPr="00F22CEF">
        <w:rPr>
          <w:rFonts w:ascii="Times New Roman" w:hAnsi="Times New Roman" w:cs="Times New Roman"/>
          <w:sz w:val="22"/>
          <w:szCs w:val="22"/>
        </w:rPr>
        <w:t>The assets with most negative correlation are DBC and IEF, with a correlation coefficient of -0.41.</w:t>
      </w:r>
    </w:p>
    <w:p w14:paraId="3984AD9C" w14:textId="7A27431E" w:rsidR="00F22CEF" w:rsidRDefault="00F22CEF" w:rsidP="002E158B">
      <w:pPr>
        <w:spacing w:line="360" w:lineRule="auto"/>
        <w:rPr>
          <w:rFonts w:ascii="Times New Roman" w:hAnsi="Times New Roman" w:cs="Times New Roman"/>
          <w:sz w:val="22"/>
          <w:szCs w:val="22"/>
        </w:rPr>
      </w:pPr>
      <w:r w:rsidRPr="00F22CEF">
        <w:rPr>
          <w:rFonts w:ascii="Times New Roman" w:hAnsi="Times New Roman" w:cs="Times New Roman"/>
          <w:sz w:val="22"/>
          <w:szCs w:val="22"/>
        </w:rPr>
        <w:t xml:space="preserve">The </w:t>
      </w:r>
      <w:r>
        <w:rPr>
          <w:rFonts w:ascii="Times New Roman" w:hAnsi="Times New Roman" w:cs="Times New Roman"/>
          <w:sz w:val="22"/>
          <w:szCs w:val="22"/>
        </w:rPr>
        <w:t>assets with most positive correlation are PSP and EFA, with a correlation coefficient of 0.91.</w:t>
      </w:r>
    </w:p>
    <w:p w14:paraId="2C10C02F" w14:textId="27C5F02C" w:rsidR="00F22CEF" w:rsidRDefault="00F22CEF" w:rsidP="002E158B">
      <w:pPr>
        <w:spacing w:line="360" w:lineRule="auto"/>
        <w:rPr>
          <w:rFonts w:ascii="Times New Roman" w:hAnsi="Times New Roman" w:cs="Times New Roman"/>
          <w:sz w:val="22"/>
          <w:szCs w:val="22"/>
        </w:rPr>
      </w:pPr>
      <w:r>
        <w:rPr>
          <w:rFonts w:ascii="Times New Roman" w:hAnsi="Times New Roman" w:cs="Times New Roman"/>
          <w:sz w:val="22"/>
          <w:szCs w:val="22"/>
        </w:rPr>
        <w:t>Using Sharpe Ratio as a measure of performance, TIP with SR = 0.70 outperformed both domestic bonds (IEF) with SR = 0.40 and foreign bonds (</w:t>
      </w:r>
      <w:r w:rsidR="009B1678">
        <w:rPr>
          <w:rFonts w:ascii="Times New Roman" w:hAnsi="Times New Roman" w:cs="Times New Roman"/>
          <w:sz w:val="22"/>
          <w:szCs w:val="22"/>
        </w:rPr>
        <w:t>BWX) with SR = 0.08.</w:t>
      </w:r>
    </w:p>
    <w:p w14:paraId="6F9B8D71" w14:textId="170C420B" w:rsidR="009B1678" w:rsidRDefault="009B1678" w:rsidP="002E158B">
      <w:pPr>
        <w:spacing w:line="360" w:lineRule="auto"/>
        <w:rPr>
          <w:rFonts w:ascii="Times New Roman" w:hAnsi="Times New Roman" w:cs="Times New Roman"/>
          <w:sz w:val="22"/>
          <w:szCs w:val="22"/>
        </w:rPr>
      </w:pPr>
      <w:r>
        <w:rPr>
          <w:rFonts w:ascii="Times New Roman" w:hAnsi="Times New Roman" w:cs="Times New Roman"/>
          <w:sz w:val="22"/>
          <w:szCs w:val="22"/>
        </w:rPr>
        <w:t>Looking at the heat map, TIP seems to have relatively low correlation with all assets except domestic and foreign bonds. Therefore, TIP does seem to expand the investment opportunity set, and Harvard should consider them a separate asset.</w:t>
      </w:r>
    </w:p>
    <w:p w14:paraId="4C4E62E8" w14:textId="545CADBA" w:rsidR="00FD0AD1" w:rsidRDefault="00FD0AD1" w:rsidP="002E158B">
      <w:pPr>
        <w:spacing w:line="360" w:lineRule="auto"/>
        <w:rPr>
          <w:rFonts w:ascii="Times New Roman" w:hAnsi="Times New Roman" w:cs="Times New Roman"/>
          <w:sz w:val="22"/>
          <w:szCs w:val="22"/>
        </w:rPr>
      </w:pPr>
    </w:p>
    <w:p w14:paraId="0281AD8A" w14:textId="54C9437F" w:rsidR="00FD0AD1" w:rsidRPr="00FD0AD1" w:rsidRDefault="00FD0AD1" w:rsidP="002E158B">
      <w:pPr>
        <w:spacing w:line="360" w:lineRule="auto"/>
        <w:rPr>
          <w:rFonts w:ascii="Times New Roman" w:hAnsi="Times New Roman" w:cs="Times New Roman"/>
          <w:sz w:val="22"/>
          <w:szCs w:val="22"/>
          <w:u w:val="single"/>
        </w:rPr>
      </w:pPr>
      <w:r w:rsidRPr="00FD0AD1">
        <w:rPr>
          <w:rFonts w:ascii="Times New Roman" w:hAnsi="Times New Roman" w:cs="Times New Roman"/>
          <w:sz w:val="22"/>
          <w:szCs w:val="22"/>
          <w:u w:val="single"/>
        </w:rPr>
        <w:t>Question 3</w:t>
      </w:r>
    </w:p>
    <w:p w14:paraId="482F3348" w14:textId="6559C0BD" w:rsidR="00FD0AD1" w:rsidRPr="00FD0AD1" w:rsidRDefault="00FD0AD1" w:rsidP="002E158B">
      <w:pPr>
        <w:spacing w:line="360" w:lineRule="auto"/>
        <w:rPr>
          <w:rFonts w:ascii="Times New Roman" w:hAnsi="Times New Roman" w:cs="Times New Roman"/>
          <w:i/>
          <w:iCs/>
          <w:sz w:val="22"/>
          <w:szCs w:val="22"/>
        </w:rPr>
      </w:pPr>
      <w:r w:rsidRPr="00FD0AD1">
        <w:rPr>
          <w:rFonts w:ascii="Times New Roman" w:hAnsi="Times New Roman" w:cs="Times New Roman"/>
          <w:i/>
          <w:iCs/>
          <w:sz w:val="22"/>
          <w:szCs w:val="22"/>
        </w:rPr>
        <w:t>Table 3. Weights of the tangency portfolio</w:t>
      </w:r>
    </w:p>
    <w:p w14:paraId="54C4A5E2" w14:textId="57432782" w:rsidR="00F22CEF" w:rsidRDefault="00FD0AD1" w:rsidP="002E158B">
      <w:pPr>
        <w:spacing w:line="360" w:lineRule="auto"/>
        <w:rPr>
          <w:rFonts w:ascii="Times New Roman" w:hAnsi="Times New Roman" w:cs="Times New Roman"/>
          <w:sz w:val="22"/>
          <w:szCs w:val="22"/>
        </w:rPr>
      </w:pPr>
      <w:r w:rsidRPr="00FD0AD1">
        <w:rPr>
          <w:rFonts w:ascii="Times New Roman" w:hAnsi="Times New Roman" w:cs="Times New Roman"/>
          <w:sz w:val="22"/>
          <w:szCs w:val="22"/>
        </w:rPr>
        <w:drawing>
          <wp:inline distT="0" distB="0" distL="0" distR="0" wp14:anchorId="6A71D37F" wp14:editId="1495F0CA">
            <wp:extent cx="1621766" cy="2761819"/>
            <wp:effectExtent l="0" t="0" r="4445"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0"/>
                    <a:stretch>
                      <a:fillRect/>
                    </a:stretch>
                  </pic:blipFill>
                  <pic:spPr>
                    <a:xfrm>
                      <a:off x="0" y="0"/>
                      <a:ext cx="1638308" cy="2789990"/>
                    </a:xfrm>
                    <a:prstGeom prst="rect">
                      <a:avLst/>
                    </a:prstGeom>
                  </pic:spPr>
                </pic:pic>
              </a:graphicData>
            </a:graphic>
          </wp:inline>
        </w:drawing>
      </w:r>
    </w:p>
    <w:p w14:paraId="464F93EC" w14:textId="2DCB28DD" w:rsidR="00FD0AD1" w:rsidRDefault="00FD0AD1" w:rsidP="002E158B">
      <w:pPr>
        <w:spacing w:line="360" w:lineRule="auto"/>
        <w:rPr>
          <w:rFonts w:ascii="Times New Roman" w:hAnsi="Times New Roman" w:cs="Times New Roman"/>
          <w:sz w:val="22"/>
          <w:szCs w:val="22"/>
        </w:rPr>
      </w:pPr>
      <w:r>
        <w:rPr>
          <w:rFonts w:ascii="Times New Roman" w:hAnsi="Times New Roman" w:cs="Times New Roman"/>
          <w:sz w:val="22"/>
          <w:szCs w:val="22"/>
        </w:rPr>
        <w:lastRenderedPageBreak/>
        <w:t>For the tangency portfolio:</w:t>
      </w:r>
    </w:p>
    <w:p w14:paraId="623ADFB3" w14:textId="27465B94" w:rsidR="00FD0AD1" w:rsidRDefault="00C131C3" w:rsidP="002E158B">
      <w:pPr>
        <w:spacing w:line="360" w:lineRule="auto"/>
        <w:rPr>
          <w:rFonts w:ascii="Times New Roman" w:hAnsi="Times New Roman" w:cs="Times New Roman"/>
          <w:sz w:val="22"/>
          <w:szCs w:val="22"/>
        </w:rPr>
      </w:pPr>
      <w:r>
        <w:rPr>
          <w:rFonts w:ascii="Times New Roman" w:hAnsi="Times New Roman" w:cs="Times New Roman"/>
          <w:sz w:val="22"/>
          <w:szCs w:val="22"/>
        </w:rPr>
        <w:t>M</w:t>
      </w:r>
      <w:r w:rsidR="00FD0AD1">
        <w:rPr>
          <w:rFonts w:ascii="Times New Roman" w:hAnsi="Times New Roman" w:cs="Times New Roman"/>
          <w:sz w:val="22"/>
          <w:szCs w:val="22"/>
        </w:rPr>
        <w:t>ean = 0.34</w:t>
      </w:r>
    </w:p>
    <w:p w14:paraId="1AA3ED1C" w14:textId="0312E86A" w:rsidR="00C131C3" w:rsidRDefault="00C131C3" w:rsidP="002E158B">
      <w:pPr>
        <w:spacing w:line="360" w:lineRule="auto"/>
        <w:rPr>
          <w:rFonts w:ascii="Times New Roman" w:hAnsi="Times New Roman" w:cs="Times New Roman"/>
          <w:sz w:val="22"/>
          <w:szCs w:val="22"/>
        </w:rPr>
      </w:pPr>
      <w:r>
        <w:rPr>
          <w:rFonts w:ascii="Times New Roman" w:hAnsi="Times New Roman" w:cs="Times New Roman"/>
          <w:sz w:val="22"/>
          <w:szCs w:val="22"/>
        </w:rPr>
        <w:t>V</w:t>
      </w:r>
      <w:r w:rsidR="00FD0AD1">
        <w:rPr>
          <w:rFonts w:ascii="Times New Roman" w:hAnsi="Times New Roman" w:cs="Times New Roman"/>
          <w:sz w:val="22"/>
          <w:szCs w:val="22"/>
        </w:rPr>
        <w:t xml:space="preserve">olatility = </w:t>
      </w:r>
      <w:r>
        <w:rPr>
          <w:rFonts w:ascii="Times New Roman" w:hAnsi="Times New Roman" w:cs="Times New Roman"/>
          <w:sz w:val="22"/>
          <w:szCs w:val="22"/>
        </w:rPr>
        <w:t>0.26</w:t>
      </w:r>
    </w:p>
    <w:p w14:paraId="774AB580" w14:textId="1EC72527" w:rsidR="00FD0AD1" w:rsidRDefault="00C131C3" w:rsidP="002E158B">
      <w:pPr>
        <w:spacing w:line="360" w:lineRule="auto"/>
        <w:rPr>
          <w:rFonts w:ascii="Times New Roman" w:hAnsi="Times New Roman" w:cs="Times New Roman"/>
          <w:sz w:val="22"/>
          <w:szCs w:val="22"/>
        </w:rPr>
      </w:pPr>
      <w:r>
        <w:rPr>
          <w:rFonts w:ascii="Times New Roman" w:hAnsi="Times New Roman" w:cs="Times New Roman"/>
          <w:sz w:val="22"/>
          <w:szCs w:val="22"/>
        </w:rPr>
        <w:t>Sharpe Ratio = 1.28</w:t>
      </w:r>
      <w:r w:rsidR="00FD0AD1">
        <w:rPr>
          <w:rFonts w:ascii="Times New Roman" w:hAnsi="Times New Roman" w:cs="Times New Roman"/>
          <w:sz w:val="22"/>
          <w:szCs w:val="22"/>
        </w:rPr>
        <w:t xml:space="preserve"> </w:t>
      </w:r>
    </w:p>
    <w:p w14:paraId="58E8FCDE" w14:textId="7D39B739" w:rsidR="00C131C3" w:rsidRDefault="00C131C3" w:rsidP="002E158B">
      <w:pPr>
        <w:spacing w:line="360" w:lineRule="auto"/>
        <w:rPr>
          <w:rFonts w:ascii="Times New Roman" w:hAnsi="Times New Roman" w:cs="Times New Roman"/>
          <w:sz w:val="22"/>
          <w:szCs w:val="22"/>
        </w:rPr>
      </w:pPr>
    </w:p>
    <w:p w14:paraId="2B6E220B" w14:textId="5C25C0B1" w:rsidR="00C131C3" w:rsidRDefault="00C131C3" w:rsidP="002E158B">
      <w:pPr>
        <w:spacing w:line="360" w:lineRule="auto"/>
        <w:rPr>
          <w:rFonts w:ascii="Times New Roman" w:hAnsi="Times New Roman" w:cs="Times New Roman"/>
          <w:sz w:val="22"/>
          <w:szCs w:val="22"/>
          <w:u w:val="single"/>
        </w:rPr>
      </w:pPr>
      <w:r w:rsidRPr="00C131C3">
        <w:rPr>
          <w:rFonts w:ascii="Times New Roman" w:hAnsi="Times New Roman" w:cs="Times New Roman"/>
          <w:sz w:val="22"/>
          <w:szCs w:val="22"/>
          <w:u w:val="single"/>
        </w:rPr>
        <w:t>Question 4</w:t>
      </w:r>
    </w:p>
    <w:p w14:paraId="2F5E1AE5" w14:textId="4DC77564" w:rsidR="00C131C3" w:rsidRPr="00C131C3" w:rsidRDefault="00C131C3" w:rsidP="002E158B">
      <w:pPr>
        <w:spacing w:line="360" w:lineRule="auto"/>
        <w:rPr>
          <w:rFonts w:ascii="Times New Roman" w:hAnsi="Times New Roman" w:cs="Times New Roman"/>
          <w:i/>
          <w:iCs/>
          <w:sz w:val="22"/>
          <w:szCs w:val="22"/>
        </w:rPr>
      </w:pPr>
      <w:r w:rsidRPr="00C131C3">
        <w:rPr>
          <w:rFonts w:ascii="Times New Roman" w:hAnsi="Times New Roman" w:cs="Times New Roman"/>
          <w:i/>
          <w:iCs/>
          <w:sz w:val="22"/>
          <w:szCs w:val="22"/>
        </w:rPr>
        <w:t>Table 4.</w:t>
      </w:r>
      <w:r>
        <w:rPr>
          <w:rFonts w:ascii="Times New Roman" w:hAnsi="Times New Roman" w:cs="Times New Roman"/>
          <w:i/>
          <w:iCs/>
          <w:sz w:val="22"/>
          <w:szCs w:val="22"/>
        </w:rPr>
        <w:t xml:space="preserve"> Weights of the MV portfolio with target returns of 0.01</w:t>
      </w:r>
    </w:p>
    <w:p w14:paraId="562B6FD1" w14:textId="5135A56F" w:rsidR="00C131C3" w:rsidRDefault="00AF4FBB" w:rsidP="002E158B">
      <w:pPr>
        <w:spacing w:line="360" w:lineRule="auto"/>
        <w:rPr>
          <w:rFonts w:ascii="Times New Roman" w:hAnsi="Times New Roman" w:cs="Times New Roman"/>
          <w:sz w:val="22"/>
          <w:szCs w:val="22"/>
        </w:rPr>
      </w:pPr>
      <w:r w:rsidRPr="00AF4FBB">
        <w:rPr>
          <w:rFonts w:ascii="Times New Roman" w:hAnsi="Times New Roman" w:cs="Times New Roman"/>
          <w:sz w:val="22"/>
          <w:szCs w:val="22"/>
        </w:rPr>
        <w:drawing>
          <wp:inline distT="0" distB="0" distL="0" distR="0" wp14:anchorId="0C9E1DAC" wp14:editId="42EEB127">
            <wp:extent cx="2069583" cy="3114136"/>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2080150" cy="3130036"/>
                    </a:xfrm>
                    <a:prstGeom prst="rect">
                      <a:avLst/>
                    </a:prstGeom>
                  </pic:spPr>
                </pic:pic>
              </a:graphicData>
            </a:graphic>
          </wp:inline>
        </w:drawing>
      </w:r>
    </w:p>
    <w:p w14:paraId="4D6E7DF3" w14:textId="0F262CB2" w:rsidR="00AF4FBB" w:rsidRDefault="00AF4FBB" w:rsidP="00AF4FBB">
      <w:pPr>
        <w:spacing w:line="360" w:lineRule="auto"/>
        <w:rPr>
          <w:rFonts w:ascii="Times New Roman" w:hAnsi="Times New Roman" w:cs="Times New Roman"/>
          <w:sz w:val="22"/>
          <w:szCs w:val="22"/>
        </w:rPr>
      </w:pPr>
      <w:r>
        <w:rPr>
          <w:rFonts w:ascii="Times New Roman" w:hAnsi="Times New Roman" w:cs="Times New Roman"/>
          <w:sz w:val="22"/>
          <w:szCs w:val="22"/>
        </w:rPr>
        <w:t xml:space="preserve">For the </w:t>
      </w:r>
      <w:r>
        <w:rPr>
          <w:rFonts w:ascii="Times New Roman" w:hAnsi="Times New Roman" w:cs="Times New Roman"/>
          <w:sz w:val="22"/>
          <w:szCs w:val="22"/>
        </w:rPr>
        <w:t>MV</w:t>
      </w:r>
      <w:r>
        <w:rPr>
          <w:rFonts w:ascii="Times New Roman" w:hAnsi="Times New Roman" w:cs="Times New Roman"/>
          <w:sz w:val="22"/>
          <w:szCs w:val="22"/>
        </w:rPr>
        <w:t xml:space="preserve"> portfolio:</w:t>
      </w:r>
    </w:p>
    <w:p w14:paraId="22E29FA2" w14:textId="43493874" w:rsidR="00AF4FBB" w:rsidRDefault="00AF4FBB" w:rsidP="00AF4FBB">
      <w:pPr>
        <w:spacing w:line="360" w:lineRule="auto"/>
        <w:rPr>
          <w:rFonts w:ascii="Times New Roman" w:hAnsi="Times New Roman" w:cs="Times New Roman"/>
          <w:sz w:val="22"/>
          <w:szCs w:val="22"/>
        </w:rPr>
      </w:pPr>
      <w:r>
        <w:rPr>
          <w:rFonts w:ascii="Times New Roman" w:hAnsi="Times New Roman" w:cs="Times New Roman"/>
          <w:sz w:val="22"/>
          <w:szCs w:val="22"/>
        </w:rPr>
        <w:t>Mean = 0.</w:t>
      </w:r>
      <w:r>
        <w:rPr>
          <w:rFonts w:ascii="Times New Roman" w:hAnsi="Times New Roman" w:cs="Times New Roman"/>
          <w:sz w:val="22"/>
          <w:szCs w:val="22"/>
        </w:rPr>
        <w:t>01</w:t>
      </w:r>
    </w:p>
    <w:p w14:paraId="6B12C0D9" w14:textId="55303FF9" w:rsidR="00AF4FBB" w:rsidRDefault="00AF4FBB" w:rsidP="00AF4FBB">
      <w:pPr>
        <w:spacing w:line="360" w:lineRule="auto"/>
        <w:rPr>
          <w:rFonts w:ascii="Times New Roman" w:hAnsi="Times New Roman" w:cs="Times New Roman"/>
          <w:sz w:val="22"/>
          <w:szCs w:val="22"/>
        </w:rPr>
      </w:pPr>
      <w:r>
        <w:rPr>
          <w:rFonts w:ascii="Times New Roman" w:hAnsi="Times New Roman" w:cs="Times New Roman"/>
          <w:sz w:val="22"/>
          <w:szCs w:val="22"/>
        </w:rPr>
        <w:t>Volatility = 0.</w:t>
      </w:r>
      <w:r>
        <w:rPr>
          <w:rFonts w:ascii="Times New Roman" w:hAnsi="Times New Roman" w:cs="Times New Roman"/>
          <w:sz w:val="22"/>
          <w:szCs w:val="22"/>
        </w:rPr>
        <w:t>004</w:t>
      </w:r>
      <w:r w:rsidR="00954ED6">
        <w:rPr>
          <w:rFonts w:ascii="Times New Roman" w:hAnsi="Times New Roman" w:cs="Times New Roman"/>
          <w:sz w:val="22"/>
          <w:szCs w:val="22"/>
        </w:rPr>
        <w:t>9</w:t>
      </w:r>
    </w:p>
    <w:p w14:paraId="497D2B1C" w14:textId="1B800479" w:rsidR="00AF4FBB" w:rsidRDefault="00AF4FBB" w:rsidP="00AF4FBB">
      <w:pPr>
        <w:spacing w:line="360" w:lineRule="auto"/>
        <w:rPr>
          <w:rFonts w:ascii="Times New Roman" w:hAnsi="Times New Roman" w:cs="Times New Roman"/>
          <w:sz w:val="22"/>
          <w:szCs w:val="22"/>
        </w:rPr>
      </w:pPr>
      <w:r>
        <w:rPr>
          <w:rFonts w:ascii="Times New Roman" w:hAnsi="Times New Roman" w:cs="Times New Roman"/>
          <w:sz w:val="22"/>
          <w:szCs w:val="22"/>
        </w:rPr>
        <w:t xml:space="preserve">Sharpe Ratio = </w:t>
      </w:r>
      <w:r>
        <w:rPr>
          <w:rFonts w:ascii="Times New Roman" w:hAnsi="Times New Roman" w:cs="Times New Roman"/>
          <w:sz w:val="22"/>
          <w:szCs w:val="22"/>
        </w:rPr>
        <w:t>2.05</w:t>
      </w:r>
    </w:p>
    <w:p w14:paraId="143574D0" w14:textId="1583BD6C" w:rsidR="00AF4FBB" w:rsidRDefault="00AF4FBB" w:rsidP="00AF4FBB">
      <w:pPr>
        <w:spacing w:line="360" w:lineRule="auto"/>
        <w:rPr>
          <w:rFonts w:ascii="Times New Roman" w:hAnsi="Times New Roman" w:cs="Times New Roman"/>
          <w:sz w:val="22"/>
          <w:szCs w:val="22"/>
        </w:rPr>
      </w:pPr>
      <w:r>
        <w:rPr>
          <w:rFonts w:ascii="Times New Roman" w:hAnsi="Times New Roman" w:cs="Times New Roman"/>
          <w:sz w:val="22"/>
          <w:szCs w:val="22"/>
        </w:rPr>
        <w:t>The asset that has the most long is SPY, and the asset that has the most short is QAI. This portfolio also has heavy long positions in IEF</w:t>
      </w:r>
      <w:r w:rsidR="008C2FAE">
        <w:rPr>
          <w:rFonts w:ascii="Times New Roman" w:hAnsi="Times New Roman" w:cs="Times New Roman"/>
          <w:sz w:val="22"/>
          <w:szCs w:val="22"/>
        </w:rPr>
        <w:t>, HYG and TIP. Since this is an MV portfolio that aims to minimise volatility, the long positions in IEF, HYG and TIP make sense, since all three are bonds and therefore tend to be relatively low-risk and low-volatility. Although SPY is a domestic equity asset and has higher volatility than the three bonds, it has significantly higher mean returns than the bonds and lower volatility than assets with similar mean returns, such as IYR and PSP. This would explain SPY’s heavy long position. On the other hand,</w:t>
      </w:r>
      <w:r w:rsidR="00905ED4">
        <w:rPr>
          <w:rFonts w:ascii="Times New Roman" w:hAnsi="Times New Roman" w:cs="Times New Roman"/>
          <w:sz w:val="22"/>
          <w:szCs w:val="22"/>
        </w:rPr>
        <w:t xml:space="preserve"> QAI is heavily shorted since it has a relatively high correlation with all other assets (seen in the heat map) while having a low volatility, which means that its performance is </w:t>
      </w:r>
      <w:r w:rsidR="000F3A6B">
        <w:rPr>
          <w:rFonts w:ascii="Times New Roman" w:hAnsi="Times New Roman" w:cs="Times New Roman"/>
          <w:sz w:val="22"/>
          <w:szCs w:val="22"/>
        </w:rPr>
        <w:t>relatively stable and the short position is a reliable counterweight against the other assets, which minimises volatility.</w:t>
      </w:r>
    </w:p>
    <w:p w14:paraId="7A069E24" w14:textId="6C9C56F3" w:rsidR="000F3A6B" w:rsidRDefault="000F3A6B" w:rsidP="00AF4FBB">
      <w:pPr>
        <w:spacing w:line="360" w:lineRule="auto"/>
        <w:rPr>
          <w:rFonts w:ascii="Times New Roman" w:hAnsi="Times New Roman" w:cs="Times New Roman"/>
          <w:sz w:val="22"/>
          <w:szCs w:val="22"/>
        </w:rPr>
      </w:pPr>
      <w:r>
        <w:rPr>
          <w:rFonts w:ascii="Times New Roman" w:hAnsi="Times New Roman" w:cs="Times New Roman"/>
          <w:sz w:val="22"/>
          <w:szCs w:val="22"/>
        </w:rPr>
        <w:t xml:space="preserve">The long and short positions of the portfolios don’t necessarily line up with the Sharpe Ratios of the assets; that is, assets with </w:t>
      </w:r>
      <w:r w:rsidR="002E4C6C">
        <w:rPr>
          <w:rFonts w:ascii="Times New Roman" w:hAnsi="Times New Roman" w:cs="Times New Roman"/>
          <w:sz w:val="22"/>
          <w:szCs w:val="22"/>
        </w:rPr>
        <w:t xml:space="preserve">high Sharpe Ratio values don’t necessarily have heavy long positions, and </w:t>
      </w:r>
      <w:r w:rsidR="002E4C6C">
        <w:rPr>
          <w:rFonts w:ascii="Times New Roman" w:hAnsi="Times New Roman" w:cs="Times New Roman"/>
          <w:sz w:val="22"/>
          <w:szCs w:val="22"/>
        </w:rPr>
        <w:lastRenderedPageBreak/>
        <w:t>vice versa.</w:t>
      </w:r>
      <w:r>
        <w:rPr>
          <w:rFonts w:ascii="Times New Roman" w:hAnsi="Times New Roman" w:cs="Times New Roman"/>
          <w:sz w:val="22"/>
          <w:szCs w:val="22"/>
        </w:rPr>
        <w:t xml:space="preserve"> </w:t>
      </w:r>
      <w:r w:rsidR="002E4C6C">
        <w:rPr>
          <w:rFonts w:ascii="Times New Roman" w:hAnsi="Times New Roman" w:cs="Times New Roman"/>
          <w:sz w:val="22"/>
          <w:szCs w:val="22"/>
        </w:rPr>
        <w:t>F</w:t>
      </w:r>
      <w:r>
        <w:rPr>
          <w:rFonts w:ascii="Times New Roman" w:hAnsi="Times New Roman" w:cs="Times New Roman"/>
          <w:sz w:val="22"/>
          <w:szCs w:val="22"/>
        </w:rPr>
        <w:t>or example, QAI, which has an extremely heavy short position, has a Sharpe Ratio higher than four other assets, while IYR, with the second highest Sharpe Ratio</w:t>
      </w:r>
      <w:r w:rsidR="002E4C6C">
        <w:rPr>
          <w:rFonts w:ascii="Times New Roman" w:hAnsi="Times New Roman" w:cs="Times New Roman"/>
          <w:sz w:val="22"/>
          <w:szCs w:val="22"/>
        </w:rPr>
        <w:t>, also has a short position in the portfolio. On the other hand, IEF, which has the second highest long position in the portfolio, has a Sharpe Ratio even lower than QAI.</w:t>
      </w:r>
    </w:p>
    <w:p w14:paraId="44C09659" w14:textId="2B54A7BB" w:rsidR="002E4C6C" w:rsidRDefault="002E4C6C" w:rsidP="00AF4FBB">
      <w:pPr>
        <w:spacing w:line="360" w:lineRule="auto"/>
        <w:rPr>
          <w:rFonts w:ascii="Times New Roman" w:hAnsi="Times New Roman" w:cs="Times New Roman"/>
          <w:sz w:val="22"/>
          <w:szCs w:val="22"/>
        </w:rPr>
      </w:pPr>
    </w:p>
    <w:p w14:paraId="69B36AC7" w14:textId="1F321C51" w:rsidR="002E4C6C" w:rsidRPr="002E4C6C" w:rsidRDefault="002E4C6C" w:rsidP="00AF4FBB">
      <w:pPr>
        <w:spacing w:line="360" w:lineRule="auto"/>
        <w:rPr>
          <w:rFonts w:ascii="Times New Roman" w:hAnsi="Times New Roman" w:cs="Times New Roman"/>
          <w:sz w:val="22"/>
          <w:szCs w:val="22"/>
          <w:u w:val="single"/>
        </w:rPr>
      </w:pPr>
      <w:r w:rsidRPr="002E4C6C">
        <w:rPr>
          <w:rFonts w:ascii="Times New Roman" w:hAnsi="Times New Roman" w:cs="Times New Roman"/>
          <w:sz w:val="22"/>
          <w:szCs w:val="22"/>
          <w:u w:val="single"/>
        </w:rPr>
        <w:t>Question 5</w:t>
      </w:r>
    </w:p>
    <w:p w14:paraId="12186885" w14:textId="13FF0932" w:rsidR="00AF4FBB" w:rsidRDefault="00954ED6" w:rsidP="002E158B">
      <w:pPr>
        <w:spacing w:line="360" w:lineRule="auto"/>
        <w:rPr>
          <w:rFonts w:ascii="Times New Roman" w:hAnsi="Times New Roman" w:cs="Times New Roman"/>
          <w:sz w:val="22"/>
          <w:szCs w:val="22"/>
        </w:rPr>
      </w:pPr>
      <w:r>
        <w:rPr>
          <w:rFonts w:ascii="Times New Roman" w:hAnsi="Times New Roman" w:cs="Times New Roman"/>
          <w:sz w:val="22"/>
          <w:szCs w:val="22"/>
        </w:rPr>
        <w:t>For the equally weighted portfolio:</w:t>
      </w:r>
    </w:p>
    <w:p w14:paraId="3A1073B8" w14:textId="5076ABCD" w:rsidR="00954ED6" w:rsidRDefault="00954ED6" w:rsidP="002E158B">
      <w:pPr>
        <w:spacing w:line="360" w:lineRule="auto"/>
        <w:rPr>
          <w:rFonts w:ascii="Times New Roman" w:hAnsi="Times New Roman" w:cs="Times New Roman"/>
          <w:sz w:val="22"/>
          <w:szCs w:val="22"/>
        </w:rPr>
      </w:pPr>
      <w:r>
        <w:rPr>
          <w:rFonts w:ascii="Times New Roman" w:hAnsi="Times New Roman" w:cs="Times New Roman"/>
          <w:sz w:val="22"/>
          <w:szCs w:val="22"/>
        </w:rPr>
        <w:t>Weight of each asset = 0.0125</w:t>
      </w:r>
    </w:p>
    <w:p w14:paraId="47362E0F" w14:textId="0DE7CC80" w:rsidR="00954ED6" w:rsidRDefault="00954ED6" w:rsidP="002E158B">
      <w:pPr>
        <w:spacing w:line="360" w:lineRule="auto"/>
        <w:rPr>
          <w:rFonts w:ascii="Times New Roman" w:hAnsi="Times New Roman" w:cs="Times New Roman"/>
          <w:sz w:val="22"/>
          <w:szCs w:val="22"/>
        </w:rPr>
      </w:pPr>
      <w:r>
        <w:rPr>
          <w:rFonts w:ascii="Times New Roman" w:hAnsi="Times New Roman" w:cs="Times New Roman"/>
          <w:sz w:val="22"/>
          <w:szCs w:val="22"/>
        </w:rPr>
        <w:t>Mean = 0.01</w:t>
      </w:r>
    </w:p>
    <w:p w14:paraId="109CFA88" w14:textId="73A9C16B" w:rsidR="00954ED6" w:rsidRDefault="00954ED6" w:rsidP="002E158B">
      <w:pPr>
        <w:spacing w:line="360" w:lineRule="auto"/>
        <w:rPr>
          <w:rFonts w:ascii="Times New Roman" w:hAnsi="Times New Roman" w:cs="Times New Roman"/>
          <w:sz w:val="22"/>
          <w:szCs w:val="22"/>
        </w:rPr>
      </w:pPr>
      <w:r>
        <w:rPr>
          <w:rFonts w:ascii="Times New Roman" w:hAnsi="Times New Roman" w:cs="Times New Roman"/>
          <w:sz w:val="22"/>
          <w:szCs w:val="22"/>
        </w:rPr>
        <w:t>Volatility = 0.014</w:t>
      </w:r>
    </w:p>
    <w:p w14:paraId="526E1FEE" w14:textId="20041836" w:rsidR="00954ED6" w:rsidRDefault="00954ED6" w:rsidP="002E158B">
      <w:pPr>
        <w:spacing w:line="360" w:lineRule="auto"/>
        <w:rPr>
          <w:rFonts w:ascii="Times New Roman" w:hAnsi="Times New Roman" w:cs="Times New Roman"/>
          <w:sz w:val="22"/>
          <w:szCs w:val="22"/>
        </w:rPr>
      </w:pPr>
      <w:r>
        <w:rPr>
          <w:rFonts w:ascii="Times New Roman" w:hAnsi="Times New Roman" w:cs="Times New Roman"/>
          <w:sz w:val="22"/>
          <w:szCs w:val="22"/>
        </w:rPr>
        <w:t>Sharpe Ratio = 0.74</w:t>
      </w:r>
    </w:p>
    <w:p w14:paraId="5821A064" w14:textId="1D12EED4" w:rsidR="00954ED6" w:rsidRDefault="00954ED6" w:rsidP="002E158B">
      <w:pPr>
        <w:spacing w:line="360" w:lineRule="auto"/>
        <w:rPr>
          <w:rFonts w:ascii="Times New Roman" w:hAnsi="Times New Roman" w:cs="Times New Roman"/>
          <w:sz w:val="22"/>
          <w:szCs w:val="22"/>
        </w:rPr>
      </w:pPr>
    </w:p>
    <w:p w14:paraId="7A60EDF7" w14:textId="1BA372C6" w:rsidR="00954ED6" w:rsidRPr="00954ED6" w:rsidRDefault="00954ED6" w:rsidP="002E158B">
      <w:pPr>
        <w:spacing w:line="360" w:lineRule="auto"/>
        <w:rPr>
          <w:rFonts w:ascii="Times New Roman" w:hAnsi="Times New Roman" w:cs="Times New Roman"/>
          <w:i/>
          <w:iCs/>
          <w:sz w:val="22"/>
          <w:szCs w:val="22"/>
        </w:rPr>
      </w:pPr>
      <w:r w:rsidRPr="00C131C3">
        <w:rPr>
          <w:rFonts w:ascii="Times New Roman" w:hAnsi="Times New Roman" w:cs="Times New Roman"/>
          <w:i/>
          <w:iCs/>
          <w:sz w:val="22"/>
          <w:szCs w:val="22"/>
        </w:rPr>
        <w:t xml:space="preserve">Table </w:t>
      </w:r>
      <w:r>
        <w:rPr>
          <w:rFonts w:ascii="Times New Roman" w:hAnsi="Times New Roman" w:cs="Times New Roman"/>
          <w:i/>
          <w:iCs/>
          <w:sz w:val="22"/>
          <w:szCs w:val="22"/>
        </w:rPr>
        <w:t>5</w:t>
      </w:r>
      <w:r w:rsidRPr="00C131C3">
        <w:rPr>
          <w:rFonts w:ascii="Times New Roman" w:hAnsi="Times New Roman" w:cs="Times New Roman"/>
          <w:i/>
          <w:iCs/>
          <w:sz w:val="22"/>
          <w:szCs w:val="22"/>
        </w:rPr>
        <w:t>.</w:t>
      </w:r>
      <w:r>
        <w:rPr>
          <w:rFonts w:ascii="Times New Roman" w:hAnsi="Times New Roman" w:cs="Times New Roman"/>
          <w:i/>
          <w:iCs/>
          <w:sz w:val="22"/>
          <w:szCs w:val="22"/>
        </w:rPr>
        <w:t xml:space="preserve"> Weights of the </w:t>
      </w:r>
      <w:r>
        <w:rPr>
          <w:rFonts w:ascii="Times New Roman" w:hAnsi="Times New Roman" w:cs="Times New Roman"/>
          <w:i/>
          <w:iCs/>
          <w:sz w:val="22"/>
          <w:szCs w:val="22"/>
        </w:rPr>
        <w:t>risk-parity</w:t>
      </w:r>
      <w:r>
        <w:rPr>
          <w:rFonts w:ascii="Times New Roman" w:hAnsi="Times New Roman" w:cs="Times New Roman"/>
          <w:i/>
          <w:iCs/>
          <w:sz w:val="22"/>
          <w:szCs w:val="22"/>
        </w:rPr>
        <w:t xml:space="preserve"> portfolio with target returns of 0.01</w:t>
      </w:r>
    </w:p>
    <w:p w14:paraId="700ED87F" w14:textId="66B82342" w:rsidR="00954ED6" w:rsidRDefault="00954ED6" w:rsidP="002E158B">
      <w:pPr>
        <w:spacing w:line="360" w:lineRule="auto"/>
        <w:rPr>
          <w:rFonts w:ascii="Times New Roman" w:hAnsi="Times New Roman" w:cs="Times New Roman"/>
          <w:sz w:val="22"/>
          <w:szCs w:val="22"/>
        </w:rPr>
      </w:pPr>
      <w:r w:rsidRPr="00954ED6">
        <w:rPr>
          <w:rFonts w:ascii="Times New Roman" w:hAnsi="Times New Roman" w:cs="Times New Roman"/>
          <w:sz w:val="22"/>
          <w:szCs w:val="22"/>
        </w:rPr>
        <w:drawing>
          <wp:inline distT="0" distB="0" distL="0" distR="0" wp14:anchorId="3EEA59B0" wp14:editId="2AE4B42D">
            <wp:extent cx="1932317" cy="2939686"/>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stretch>
                      <a:fillRect/>
                    </a:stretch>
                  </pic:blipFill>
                  <pic:spPr>
                    <a:xfrm>
                      <a:off x="0" y="0"/>
                      <a:ext cx="1945317" cy="2959464"/>
                    </a:xfrm>
                    <a:prstGeom prst="rect">
                      <a:avLst/>
                    </a:prstGeom>
                  </pic:spPr>
                </pic:pic>
              </a:graphicData>
            </a:graphic>
          </wp:inline>
        </w:drawing>
      </w:r>
    </w:p>
    <w:p w14:paraId="412D8BAB" w14:textId="04EF7EE1" w:rsidR="00DF5F2C" w:rsidRDefault="00DF5F2C" w:rsidP="002E158B">
      <w:pPr>
        <w:spacing w:line="360" w:lineRule="auto"/>
        <w:rPr>
          <w:rFonts w:ascii="Times New Roman" w:hAnsi="Times New Roman" w:cs="Times New Roman"/>
          <w:sz w:val="22"/>
          <w:szCs w:val="22"/>
        </w:rPr>
      </w:pPr>
      <w:r>
        <w:rPr>
          <w:rFonts w:ascii="Times New Roman" w:hAnsi="Times New Roman" w:cs="Times New Roman"/>
          <w:sz w:val="22"/>
          <w:szCs w:val="22"/>
        </w:rPr>
        <w:t>For the risk-parity portfolio:</w:t>
      </w:r>
    </w:p>
    <w:p w14:paraId="0AE02005" w14:textId="32651B58" w:rsidR="00DF5F2C" w:rsidRDefault="00DF5F2C" w:rsidP="002E158B">
      <w:pPr>
        <w:spacing w:line="360" w:lineRule="auto"/>
        <w:rPr>
          <w:rFonts w:ascii="Times New Roman" w:hAnsi="Times New Roman" w:cs="Times New Roman"/>
          <w:sz w:val="22"/>
          <w:szCs w:val="22"/>
        </w:rPr>
      </w:pPr>
      <w:r>
        <w:rPr>
          <w:rFonts w:ascii="Times New Roman" w:hAnsi="Times New Roman" w:cs="Times New Roman"/>
          <w:sz w:val="22"/>
          <w:szCs w:val="22"/>
        </w:rPr>
        <w:t>Mean = 0.01</w:t>
      </w:r>
    </w:p>
    <w:p w14:paraId="6BD6CED7" w14:textId="2CA8CC16" w:rsidR="00DF5F2C" w:rsidRDefault="00DF5F2C" w:rsidP="002E158B">
      <w:pPr>
        <w:spacing w:line="360" w:lineRule="auto"/>
        <w:rPr>
          <w:rFonts w:ascii="Times New Roman" w:hAnsi="Times New Roman" w:cs="Times New Roman"/>
          <w:sz w:val="22"/>
          <w:szCs w:val="22"/>
        </w:rPr>
      </w:pPr>
      <w:r>
        <w:rPr>
          <w:rFonts w:ascii="Times New Roman" w:hAnsi="Times New Roman" w:cs="Times New Roman"/>
          <w:sz w:val="22"/>
          <w:szCs w:val="22"/>
        </w:rPr>
        <w:t>Volatility = 0.0127</w:t>
      </w:r>
    </w:p>
    <w:p w14:paraId="62AA29B4" w14:textId="40B6DD4F" w:rsidR="00DF5F2C" w:rsidRDefault="00DF5F2C" w:rsidP="002E158B">
      <w:pPr>
        <w:spacing w:line="360" w:lineRule="auto"/>
        <w:rPr>
          <w:rFonts w:ascii="Times New Roman" w:hAnsi="Times New Roman" w:cs="Times New Roman"/>
          <w:sz w:val="22"/>
          <w:szCs w:val="22"/>
        </w:rPr>
      </w:pPr>
      <w:r>
        <w:rPr>
          <w:rFonts w:ascii="Times New Roman" w:hAnsi="Times New Roman" w:cs="Times New Roman"/>
          <w:sz w:val="22"/>
          <w:szCs w:val="22"/>
        </w:rPr>
        <w:t>Sharpe Ratio  = 0.79</w:t>
      </w:r>
    </w:p>
    <w:p w14:paraId="4254F1F8" w14:textId="33DE1F46" w:rsidR="00DF5F2C" w:rsidRDefault="00DF5F2C" w:rsidP="002E158B">
      <w:pPr>
        <w:spacing w:line="360" w:lineRule="auto"/>
        <w:rPr>
          <w:rFonts w:ascii="Times New Roman" w:hAnsi="Times New Roman" w:cs="Times New Roman"/>
          <w:sz w:val="22"/>
          <w:szCs w:val="22"/>
        </w:rPr>
      </w:pPr>
      <w:r>
        <w:rPr>
          <w:rFonts w:ascii="Times New Roman" w:hAnsi="Times New Roman" w:cs="Times New Roman"/>
          <w:sz w:val="22"/>
          <w:szCs w:val="22"/>
        </w:rPr>
        <w:t>Using Sharpe Ratio to measure performance, the MV portfolio with a Sharpe Ratio of 2.05 significantly outperformed both the equally weighted portfolio and the risk-parity portfolio, with Sharpe Ratios of 0.74 and 0.79 respectively.</w:t>
      </w:r>
    </w:p>
    <w:p w14:paraId="763A1733" w14:textId="2D98F3AB" w:rsidR="00DF5F2C" w:rsidRDefault="00DF5F2C" w:rsidP="002E158B">
      <w:pPr>
        <w:spacing w:line="360" w:lineRule="auto"/>
        <w:rPr>
          <w:rFonts w:ascii="Times New Roman" w:hAnsi="Times New Roman" w:cs="Times New Roman"/>
          <w:sz w:val="22"/>
          <w:szCs w:val="22"/>
        </w:rPr>
      </w:pPr>
    </w:p>
    <w:p w14:paraId="169EE9FB" w14:textId="77777777" w:rsidR="00B2469D" w:rsidRDefault="00B2469D" w:rsidP="002E158B">
      <w:pPr>
        <w:spacing w:line="360" w:lineRule="auto"/>
        <w:rPr>
          <w:rFonts w:ascii="Times New Roman" w:hAnsi="Times New Roman" w:cs="Times New Roman"/>
          <w:sz w:val="22"/>
          <w:szCs w:val="22"/>
          <w:u w:val="single"/>
        </w:rPr>
      </w:pPr>
    </w:p>
    <w:p w14:paraId="5F762D4F" w14:textId="77777777" w:rsidR="00B2469D" w:rsidRDefault="00B2469D" w:rsidP="002E158B">
      <w:pPr>
        <w:spacing w:line="360" w:lineRule="auto"/>
        <w:rPr>
          <w:rFonts w:ascii="Times New Roman" w:hAnsi="Times New Roman" w:cs="Times New Roman"/>
          <w:sz w:val="22"/>
          <w:szCs w:val="22"/>
          <w:u w:val="single"/>
        </w:rPr>
      </w:pPr>
    </w:p>
    <w:p w14:paraId="6341848B" w14:textId="77777777" w:rsidR="00B2469D" w:rsidRDefault="00B2469D" w:rsidP="002E158B">
      <w:pPr>
        <w:spacing w:line="360" w:lineRule="auto"/>
        <w:rPr>
          <w:rFonts w:ascii="Times New Roman" w:hAnsi="Times New Roman" w:cs="Times New Roman"/>
          <w:sz w:val="22"/>
          <w:szCs w:val="22"/>
          <w:u w:val="single"/>
        </w:rPr>
      </w:pPr>
    </w:p>
    <w:p w14:paraId="5FC8AF93" w14:textId="68DC1D70" w:rsidR="00DF5F2C" w:rsidRDefault="00DF5F2C" w:rsidP="002E158B">
      <w:pPr>
        <w:spacing w:line="360" w:lineRule="auto"/>
        <w:rPr>
          <w:rFonts w:ascii="Times New Roman" w:hAnsi="Times New Roman" w:cs="Times New Roman"/>
          <w:sz w:val="22"/>
          <w:szCs w:val="22"/>
          <w:u w:val="single"/>
        </w:rPr>
      </w:pPr>
      <w:r w:rsidRPr="00DF5F2C">
        <w:rPr>
          <w:rFonts w:ascii="Times New Roman" w:hAnsi="Times New Roman" w:cs="Times New Roman"/>
          <w:sz w:val="22"/>
          <w:szCs w:val="22"/>
          <w:u w:val="single"/>
        </w:rPr>
        <w:lastRenderedPageBreak/>
        <w:t>Question 6</w:t>
      </w:r>
    </w:p>
    <w:p w14:paraId="71BB9B79" w14:textId="454877AE" w:rsidR="00B2469D" w:rsidRPr="00B2469D" w:rsidRDefault="00B2469D" w:rsidP="002E158B">
      <w:pPr>
        <w:spacing w:line="360" w:lineRule="auto"/>
        <w:rPr>
          <w:rFonts w:ascii="Times New Roman" w:hAnsi="Times New Roman" w:cs="Times New Roman"/>
          <w:i/>
          <w:iCs/>
          <w:sz w:val="22"/>
          <w:szCs w:val="22"/>
        </w:rPr>
      </w:pPr>
      <w:r w:rsidRPr="00C131C3">
        <w:rPr>
          <w:rFonts w:ascii="Times New Roman" w:hAnsi="Times New Roman" w:cs="Times New Roman"/>
          <w:i/>
          <w:iCs/>
          <w:sz w:val="22"/>
          <w:szCs w:val="22"/>
        </w:rPr>
        <w:t xml:space="preserve">Table </w:t>
      </w:r>
      <w:r>
        <w:rPr>
          <w:rFonts w:ascii="Times New Roman" w:hAnsi="Times New Roman" w:cs="Times New Roman"/>
          <w:i/>
          <w:iCs/>
          <w:sz w:val="22"/>
          <w:szCs w:val="22"/>
        </w:rPr>
        <w:t>6</w:t>
      </w:r>
      <w:r w:rsidRPr="00C131C3">
        <w:rPr>
          <w:rFonts w:ascii="Times New Roman" w:hAnsi="Times New Roman" w:cs="Times New Roman"/>
          <w:i/>
          <w:iCs/>
          <w:sz w:val="22"/>
          <w:szCs w:val="22"/>
        </w:rPr>
        <w:t>.</w:t>
      </w:r>
      <w:r>
        <w:rPr>
          <w:rFonts w:ascii="Times New Roman" w:hAnsi="Times New Roman" w:cs="Times New Roman"/>
          <w:i/>
          <w:iCs/>
          <w:sz w:val="22"/>
          <w:szCs w:val="22"/>
        </w:rPr>
        <w:t xml:space="preserve"> Weights of the </w:t>
      </w:r>
      <w:r>
        <w:rPr>
          <w:rFonts w:ascii="Times New Roman" w:hAnsi="Times New Roman" w:cs="Times New Roman"/>
          <w:i/>
          <w:iCs/>
          <w:sz w:val="22"/>
          <w:szCs w:val="22"/>
        </w:rPr>
        <w:t>MV</w:t>
      </w:r>
      <w:r>
        <w:rPr>
          <w:rFonts w:ascii="Times New Roman" w:hAnsi="Times New Roman" w:cs="Times New Roman"/>
          <w:i/>
          <w:iCs/>
          <w:sz w:val="22"/>
          <w:szCs w:val="22"/>
        </w:rPr>
        <w:t xml:space="preserve"> portfolio with target returns of 0.01</w:t>
      </w:r>
      <w:r>
        <w:rPr>
          <w:rFonts w:ascii="Times New Roman" w:hAnsi="Times New Roman" w:cs="Times New Roman"/>
          <w:i/>
          <w:iCs/>
          <w:sz w:val="22"/>
          <w:szCs w:val="22"/>
        </w:rPr>
        <w:t>, using data up to 2020</w:t>
      </w:r>
    </w:p>
    <w:p w14:paraId="4380DBB3" w14:textId="1D538603" w:rsidR="00B2469D" w:rsidRPr="00DF5F2C" w:rsidRDefault="00B2469D" w:rsidP="002E158B">
      <w:pPr>
        <w:spacing w:line="360" w:lineRule="auto"/>
        <w:rPr>
          <w:rFonts w:ascii="Times New Roman" w:hAnsi="Times New Roman" w:cs="Times New Roman"/>
          <w:sz w:val="22"/>
          <w:szCs w:val="22"/>
          <w:u w:val="single"/>
        </w:rPr>
      </w:pPr>
      <w:r w:rsidRPr="00B2469D">
        <w:rPr>
          <w:rFonts w:ascii="Times New Roman" w:hAnsi="Times New Roman" w:cs="Times New Roman"/>
          <w:sz w:val="22"/>
          <w:szCs w:val="22"/>
          <w:u w:val="single"/>
        </w:rPr>
        <w:drawing>
          <wp:inline distT="0" distB="0" distL="0" distR="0" wp14:anchorId="2848E474" wp14:editId="39DC1C7A">
            <wp:extent cx="1897811" cy="2838012"/>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1912819" cy="2860456"/>
                    </a:xfrm>
                    <a:prstGeom prst="rect">
                      <a:avLst/>
                    </a:prstGeom>
                  </pic:spPr>
                </pic:pic>
              </a:graphicData>
            </a:graphic>
          </wp:inline>
        </w:drawing>
      </w:r>
    </w:p>
    <w:p w14:paraId="3586A93E" w14:textId="5003DDD5" w:rsidR="00954ED6" w:rsidRDefault="00B2469D" w:rsidP="002E158B">
      <w:pPr>
        <w:spacing w:line="360" w:lineRule="auto"/>
        <w:rPr>
          <w:rFonts w:ascii="Times New Roman" w:hAnsi="Times New Roman" w:cs="Times New Roman"/>
          <w:sz w:val="22"/>
          <w:szCs w:val="22"/>
        </w:rPr>
      </w:pPr>
      <w:r>
        <w:rPr>
          <w:rFonts w:ascii="Times New Roman" w:hAnsi="Times New Roman" w:cs="Times New Roman"/>
          <w:sz w:val="22"/>
          <w:szCs w:val="22"/>
        </w:rPr>
        <w:t>Sharpe Ratio using data through 2021: 2.25</w:t>
      </w:r>
    </w:p>
    <w:p w14:paraId="4C9108B0" w14:textId="4769E386" w:rsidR="00B2469D" w:rsidRDefault="00B2469D" w:rsidP="002E158B">
      <w:pPr>
        <w:spacing w:line="360" w:lineRule="auto"/>
        <w:rPr>
          <w:rFonts w:ascii="Times New Roman" w:hAnsi="Times New Roman" w:cs="Times New Roman"/>
          <w:sz w:val="22"/>
          <w:szCs w:val="22"/>
        </w:rPr>
      </w:pPr>
      <w:r>
        <w:rPr>
          <w:rFonts w:ascii="Times New Roman" w:hAnsi="Times New Roman" w:cs="Times New Roman"/>
          <w:sz w:val="22"/>
          <w:szCs w:val="22"/>
        </w:rPr>
        <w:t>Sharpe Ratio using data from 2022: -2.06</w:t>
      </w:r>
    </w:p>
    <w:p w14:paraId="444A7062" w14:textId="07C4E91C" w:rsidR="00B2469D" w:rsidRPr="00F22CEF" w:rsidRDefault="00B2469D" w:rsidP="002E158B">
      <w:pPr>
        <w:spacing w:line="360" w:lineRule="auto"/>
        <w:rPr>
          <w:rFonts w:ascii="Times New Roman" w:hAnsi="Times New Roman" w:cs="Times New Roman"/>
          <w:sz w:val="22"/>
          <w:szCs w:val="22"/>
        </w:rPr>
      </w:pPr>
      <w:r>
        <w:rPr>
          <w:rFonts w:ascii="Times New Roman" w:hAnsi="Times New Roman" w:cs="Times New Roman"/>
          <w:sz w:val="22"/>
          <w:szCs w:val="22"/>
        </w:rPr>
        <w:t>The raw data in 2022 had mostly negative excess returns, which means that 2022 was a bear market, leading to the negative Sharpe Ratio.</w:t>
      </w:r>
    </w:p>
    <w:sectPr w:rsidR="00B2469D" w:rsidRPr="00F22C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541C" w14:textId="77777777" w:rsidR="00606BB4" w:rsidRDefault="00606BB4" w:rsidP="002E158B">
      <w:r>
        <w:separator/>
      </w:r>
    </w:p>
  </w:endnote>
  <w:endnote w:type="continuationSeparator" w:id="0">
    <w:p w14:paraId="22EFD2D7" w14:textId="77777777" w:rsidR="00606BB4" w:rsidRDefault="00606BB4" w:rsidP="002E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Headings)">
    <w:altName w:val="Calibri Light"/>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7D8D1" w14:textId="77777777" w:rsidR="00606BB4" w:rsidRDefault="00606BB4" w:rsidP="002E158B">
      <w:r>
        <w:separator/>
      </w:r>
    </w:p>
  </w:footnote>
  <w:footnote w:type="continuationSeparator" w:id="0">
    <w:p w14:paraId="5268E441" w14:textId="77777777" w:rsidR="00606BB4" w:rsidRDefault="00606BB4" w:rsidP="002E15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8B"/>
    <w:rsid w:val="000848BF"/>
    <w:rsid w:val="000F3A6B"/>
    <w:rsid w:val="002E158B"/>
    <w:rsid w:val="002E4C6C"/>
    <w:rsid w:val="005133AB"/>
    <w:rsid w:val="00606BB4"/>
    <w:rsid w:val="008C2FAE"/>
    <w:rsid w:val="0090260A"/>
    <w:rsid w:val="00905ED4"/>
    <w:rsid w:val="00954ED6"/>
    <w:rsid w:val="009B1678"/>
    <w:rsid w:val="00AF4FBB"/>
    <w:rsid w:val="00B2469D"/>
    <w:rsid w:val="00C131C3"/>
    <w:rsid w:val="00C228B5"/>
    <w:rsid w:val="00DF5F2C"/>
    <w:rsid w:val="00F22CEF"/>
    <w:rsid w:val="00FD0AD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DEC140"/>
  <w15:chartTrackingRefBased/>
  <w15:docId w15:val="{DA5DB1FA-8533-2448-84F8-B5EEC867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Calibri Light (Headings)"/>
        <w:color w:val="000000"/>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unhideWhenUsed/>
    <w:rsid w:val="0090260A"/>
    <w:rPr>
      <w:sz w:val="15"/>
      <w:szCs w:val="20"/>
    </w:rPr>
  </w:style>
  <w:style w:type="character" w:customStyle="1" w:styleId="FootnoteTextChar">
    <w:name w:val="Footnote Text Char"/>
    <w:basedOn w:val="DefaultParagraphFont"/>
    <w:link w:val="FootnoteText"/>
    <w:uiPriority w:val="99"/>
    <w:semiHidden/>
    <w:rsid w:val="0090260A"/>
    <w:rPr>
      <w:rFonts w:asciiTheme="majorHAnsi" w:hAnsiTheme="majorHAnsi"/>
      <w:sz w:val="15"/>
      <w:szCs w:val="20"/>
    </w:rPr>
  </w:style>
  <w:style w:type="paragraph" w:styleId="Header">
    <w:name w:val="header"/>
    <w:basedOn w:val="Normal"/>
    <w:link w:val="HeaderChar"/>
    <w:uiPriority w:val="99"/>
    <w:unhideWhenUsed/>
    <w:rsid w:val="002E158B"/>
    <w:pPr>
      <w:tabs>
        <w:tab w:val="center" w:pos="4513"/>
        <w:tab w:val="right" w:pos="9026"/>
      </w:tabs>
    </w:pPr>
  </w:style>
  <w:style w:type="character" w:customStyle="1" w:styleId="HeaderChar">
    <w:name w:val="Header Char"/>
    <w:basedOn w:val="DefaultParagraphFont"/>
    <w:link w:val="Header"/>
    <w:uiPriority w:val="99"/>
    <w:rsid w:val="002E158B"/>
  </w:style>
  <w:style w:type="paragraph" w:styleId="Footer">
    <w:name w:val="footer"/>
    <w:basedOn w:val="Normal"/>
    <w:link w:val="FooterChar"/>
    <w:uiPriority w:val="99"/>
    <w:unhideWhenUsed/>
    <w:rsid w:val="002E158B"/>
    <w:pPr>
      <w:tabs>
        <w:tab w:val="center" w:pos="4513"/>
        <w:tab w:val="right" w:pos="9026"/>
      </w:tabs>
    </w:pPr>
  </w:style>
  <w:style w:type="character" w:customStyle="1" w:styleId="FooterChar">
    <w:name w:val="Footer Char"/>
    <w:basedOn w:val="DefaultParagraphFont"/>
    <w:link w:val="Footer"/>
    <w:uiPriority w:val="99"/>
    <w:rsid w:val="002E1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Yu</dc:creator>
  <cp:keywords/>
  <dc:description/>
  <cp:lastModifiedBy>Tony Yu</cp:lastModifiedBy>
  <cp:revision>1</cp:revision>
  <dcterms:created xsi:type="dcterms:W3CDTF">2022-06-21T04:03:00Z</dcterms:created>
  <dcterms:modified xsi:type="dcterms:W3CDTF">2022-06-21T06:01:00Z</dcterms:modified>
</cp:coreProperties>
</file>