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libri" w:cs="Calibri" w:eastAsia="Calibri" w:hAnsi="Calibri"/>
          <w:b/>
          <w:bCs/>
          <w:color w:val="1F3864"/>
          <w:sz w:val="64"/>
          <w:szCs w:val="64"/>
        </w:rPr>
        <w:t xml:space="preserve">DCOS</w:t>
      </w:r>
    </w:p>
    <w:p>
      <w:pPr>
        <w:spacing w:after="360"/>
        <w:jc w:val="center"/>
      </w:pPr>
      <w:r>
        <w:rPr>
          <w:rFonts w:ascii="Calibri" w:cs="Calibri" w:eastAsia="Calibri" w:hAnsi="Calibri"/>
          <w:color w:val="595959"/>
          <w:sz w:val="26"/>
          <w:szCs w:val="26"/>
        </w:rPr>
        <w:t xml:space="preserve">Digital Construction Operating System</w:t>
      </w:r>
    </w:p>
    <w:p>
      <w:pPr>
        <w:spacing w:after="80"/>
        <w:jc w:val="center"/>
      </w:pPr>
      <w:r>
        <w:rPr>
          <w:rFonts w:ascii="Calibri" w:cs="Calibri" w:eastAsia="Calibri" w:hAnsi="Calibri"/>
          <w:b/>
          <w:bCs/>
          <w:color w:val="2E5AAC"/>
          <w:sz w:val="44"/>
          <w:szCs w:val="44"/>
        </w:rPr>
        <w:t xml:space="preserve">GFA, Site Area &amp; Cost per m²</w:t>
      </w:r>
    </w:p>
    <w:p>
      <w:pPr>
        <w:spacing w:after="500"/>
        <w:jc w:val="center"/>
      </w:pPr>
      <w:r>
        <w:rPr>
          <w:rFonts w:ascii="Calibri" w:cs="Calibri" w:eastAsia="Calibri" w:hAnsi="Calibri"/>
          <w:color w:val="1F3864"/>
          <w:sz w:val="28"/>
          <w:szCs w:val="28"/>
        </w:rPr>
        <w:t xml:space="preserve">Measurement &amp; Reporting Guideline for Quantity Surveyors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26"/>
      </w:tblGrid>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Document Ref</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DCOS-QS-GDL-001</w:t>
            </w:r>
          </w:p>
        </w:tc>
      </w:tr>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Version</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V1.1 — Basis Statement &amp; Prelims Apportionment</w:t>
            </w:r>
          </w:p>
        </w:tc>
      </w:tr>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Related Documents</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SOP-QS-001 R3; DCOS-QS-DDS-001 V2.0; DCOS-QS-RPT-001; Measurement Rules (Ch.1 = this convention)</w:t>
            </w:r>
          </w:p>
        </w:tc>
      </w:tr>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Issue Date</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2026-07-16</w:t>
            </w:r>
          </w:p>
        </w:tc>
      </w:tr>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Owner</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QS Manager (convention authority) / Commercial Director (approval)</w:t>
            </w:r>
          </w:p>
        </w:tc>
      </w:tr>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Applies To</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All QS Engineers, Estimators, and anyone producing a cost/m² figure in DCOS</w:t>
            </w:r>
          </w:p>
        </w:tc>
      </w:tr>
      <w:tr>
        <w:tc>
          <w:tcPr>
            <w:tcW w:type="dxa" w:w="2500"/>
            <w:shd w:fill="D9E2F3"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Classification</w:t>
            </w:r>
          </w:p>
        </w:tc>
        <w:tc>
          <w:tcPr>
            <w:tcW w:type="dxa" w:w="65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Internal — Controlled Document</w:t>
            </w:r>
          </w:p>
        </w:tc>
      </w:tr>
    </w:tbl>
    <w:p>
      <w:r>
        <w:br w:type="page"/>
      </w:r>
    </w:p>
    <w:p>
      <w:pPr>
        <w:pStyle w:val="Heading1"/>
        <w:spacing w:after="160" w:before="36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2"/>
          <w:szCs w:val="32"/>
        </w:rPr>
        <w:t xml:space="preserve">1. Purpose &amp; Rule of Use</w:t>
      </w:r>
    </w:p>
    <w:p>
      <w:pPr>
        <w:spacing w:after="120" w:line="276"/>
      </w:pPr>
      <w:r>
        <w:rPr>
          <w:rFonts w:ascii="Calibri" w:cs="Calibri" w:eastAsia="Calibri" w:hAnsi="Calibri"/>
          <w:sz w:val="21"/>
          <w:szCs w:val="21"/>
        </w:rPr>
        <w:t xml:space="preserve">Cost per square metre ($/m²) is the most-used benchmark in construction: it sanity-checks a tender, compares projects, and is the number every client and director asks for first. But $/m² is only meaningful if everyone measures the same way. Two QS engineers using different area conventions will report different $/m² for the same building — and both will look wrong.</w:t>
      </w:r>
    </w:p>
    <w:p>
      <w:pPr>
        <w:spacing w:after="120" w:line="276"/>
      </w:pPr>
      <w:r>
        <w:rPr>
          <w:rFonts w:ascii="Calibri" w:cs="Calibri" w:eastAsia="Calibri" w:hAnsi="Calibri"/>
          <w:sz w:val="21"/>
          <w:szCs w:val="21"/>
        </w:rPr>
        <w:t xml:space="preserve">This guideline fixes ONE house convention for measuring Gross Floor Area (GFA) and Site Area, and ONE standard method for allocating cost to each, so every DCOS cost summary is comparable across projects, years, and staff.</w:t>
      </w:r>
    </w:p>
    <w:tbl>
      <w:tblPr>
        <w:tblW w:type="dxa" w:w="9026"/>
        <w:tblBorders>
          <w:top w:val="single" w:color="BFBFBF" w:sz="4"/>
          <w:left w:val="single" w:color="1F3864" w:sz="24"/>
          <w:bottom w:val="single" w:color="BFBFBF" w:sz="4"/>
          <w:right w:val="single" w:color="BFBFBF" w:sz="4"/>
          <w:insideH w:val="single" w:color="BFBFBF" w:sz="4"/>
          <w:insideV w:val="single" w:color="BFBFBF" w:sz="4"/>
        </w:tblBorders>
      </w:tblPr>
      <w:tblGrid>
        <w:gridCol w:w="9026"/>
      </w:tblGrid>
      <w:tr>
        <w:tc>
          <w:tcPr>
            <w:tcW w:type="dxa" w:w="9026"/>
            <w:shd w:fill="D9E2F3" w:val="clear"/>
            <w:tcMar>
              <w:top w:type="dxa" w:w="100"/>
              <w:left w:type="dxa" w:w="160"/>
              <w:bottom w:type="dxa" w:w="100"/>
              <w:right w:type="dxa" w:w="160"/>
            </w:tcMar>
          </w:tcPr>
          <w:p>
            <w:pPr>
              <w:spacing w:after="60"/>
            </w:pPr>
            <w:r>
              <w:rPr>
                <w:rFonts w:ascii="Calibri" w:cs="Calibri" w:eastAsia="Calibri" w:hAnsi="Calibri"/>
                <w:b/>
                <w:bCs/>
                <w:color w:val="1F3864"/>
                <w:sz w:val="21"/>
                <w:szCs w:val="21"/>
              </w:rPr>
              <w:t xml:space="preserve">The Governing Principle</w:t>
            </w:r>
          </w:p>
          <w:p>
            <w:pPr>
              <w:spacing w:after="40" w:line="264"/>
            </w:pPr>
            <w:r>
              <w:rPr>
                <w:rFonts w:ascii="Calibri" w:cs="Calibri" w:eastAsia="Calibri" w:hAnsi="Calibri"/>
                <w:sz w:val="20"/>
                <w:szCs w:val="20"/>
              </w:rPr>
              <w:t xml:space="preserve">GFA measures FLOOR PLATES, not cost items. Piles have cost but no floor — they divide by the building's GFA. A roof has area but no floor — its cost also divides by GFA. External works have neither building cost nor building floor — they divide by SITE AREA and never enter the building $/m².</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Rule of use: no cost/m² figure may be issued in a tender review, management report, or client document unless it is calculated per this guideline. Deviations require QS Manager approval recorded in writing.</w:t>
      </w:r>
    </w:p>
    <w:p>
      <w:pPr>
        <w:pStyle w:val="Heading1"/>
        <w:spacing w:after="160" w:before="360"/>
      </w:pPr>
      <w:r>
        <w:rPr>
          <w:rFonts w:ascii="Calibri" w:cs="Calibri" w:eastAsia="Calibri" w:hAnsi="Calibri"/>
          <w:b/>
          <w:bCs/>
          <w:color w:val="1F3864"/>
          <w:sz w:val="32"/>
          <w:szCs w:val="32"/>
        </w:rPr>
        <w:t xml:space="preserve">2. Definitions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6"/>
      </w:tblGrid>
      <w:tr>
        <w:trPr>
          <w:tblHeader/>
        </w:trPr>
        <w:tc>
          <w:tcPr>
            <w:tcW w:type="dxa" w:w="2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Term</w:t>
            </w:r>
          </w:p>
        </w:tc>
        <w:tc>
          <w:tcPr>
            <w:tcW w:type="dxa" w:w="64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Definition</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(Gross Floor Area)</w:t>
            </w:r>
          </w:p>
        </w:tc>
        <w:tc>
          <w:tcPr>
            <w:tcW w:type="dxa" w:w="6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Total area of all counted floor plates, measured to the OUTSIDE face of external walls, per the convention in Section 3. Includes internal walls, columns, circulation, and shafts.</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above ground</w:t>
            </w:r>
          </w:p>
        </w:tc>
        <w:tc>
          <w:tcPr>
            <w:tcW w:type="dxa" w:w="64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of all floors at or above ground level, including counted roof-level rooms.</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basement</w:t>
            </w:r>
          </w:p>
        </w:tc>
        <w:tc>
          <w:tcPr>
            <w:tcW w:type="dxa" w:w="6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of all floors below ground level. Always recorded separately from above-ground GFA.</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total</w:t>
            </w:r>
          </w:p>
        </w:tc>
        <w:tc>
          <w:tcPr>
            <w:tcW w:type="dxa" w:w="64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above ground + GFA basement.</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Site Area</w:t>
            </w:r>
          </w:p>
        </w:tc>
        <w:tc>
          <w:tcPr>
            <w:tcW w:type="dxa" w:w="6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Total land area of the project site within the legal boundary, per title/survey plan.</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Building footprint</w:t>
            </w:r>
          </w:p>
        </w:tc>
        <w:tc>
          <w:tcPr>
            <w:tcW w:type="dxa" w:w="64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Ground-level area covered by the building. Used for site coverage checks — NOT a cost denominator.</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Building cost</w:t>
            </w:r>
          </w:p>
        </w:tc>
        <w:tc>
          <w:tcPr>
            <w:tcW w:type="dxa" w:w="6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Contract cost of the building works only — excludes external works and land.</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External works cost</w:t>
            </w:r>
          </w:p>
        </w:tc>
        <w:tc>
          <w:tcPr>
            <w:tcW w:type="dxa" w:w="64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Cost of works outside the building line: roads, boundary, drainage, landscape, guard house, site utilities.</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Elemental cost/m²</w:t>
            </w:r>
          </w:p>
        </w:tc>
        <w:tc>
          <w:tcPr>
            <w:tcW w:type="dxa" w:w="6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Cost of one trade/element (substructure, frame, finishes, MEP...) ÷ GFA total.</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Blended $/m²</w:t>
            </w:r>
          </w:p>
        </w:tc>
        <w:tc>
          <w:tcPr>
            <w:tcW w:type="dxa" w:w="64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Total building cost ÷ GFA total (basement mixed in).</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Split $/m²</w:t>
            </w:r>
          </w:p>
        </w:tc>
        <w:tc>
          <w:tcPr>
            <w:tcW w:type="dxa" w:w="6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Above-ground cost ÷ above-ground GFA reported separately from basement cost ÷ basement GFA.</w:t>
            </w:r>
          </w:p>
        </w:tc>
      </w:tr>
    </w:tbl>
    <w:p>
      <w:pPr>
        <w:pStyle w:val="Heading1"/>
        <w:spacing w:after="160" w:before="360"/>
      </w:pPr>
      <w:r>
        <w:rPr>
          <w:rFonts w:ascii="Calibri" w:cs="Calibri" w:eastAsia="Calibri" w:hAnsi="Calibri"/>
          <w:b/>
          <w:bCs/>
          <w:color w:val="1F3864"/>
          <w:sz w:val="32"/>
          <w:szCs w:val="32"/>
        </w:rPr>
        <w:t xml:space="preserve">3. GFA Measurement Convention (House Rules)</w:t>
      </w:r>
    </w:p>
    <w:p>
      <w:pPr>
        <w:spacing w:after="120" w:line="276"/>
      </w:pPr>
      <w:r>
        <w:rPr>
          <w:rFonts w:ascii="Calibri" w:cs="Calibri" w:eastAsia="Calibri" w:hAnsi="Calibri"/>
          <w:sz w:val="21"/>
          <w:szCs w:val="21"/>
        </w:rPr>
        <w:t xml:space="preserve">Measure each floor plate from the architectural floor plans to the OUTSIDE face of external walls. Then apply the inclusion table: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300"/>
        <w:gridCol w:w="4126"/>
      </w:tblGrid>
      <w:tr>
        <w:trPr>
          <w:tblHeader/>
        </w:trPr>
        <w:tc>
          <w:tcPr>
            <w:tcW w:type="dxa" w:w="3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Element</w:t>
            </w:r>
          </w:p>
        </w:tc>
        <w:tc>
          <w:tcPr>
            <w:tcW w:type="dxa" w:w="13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Count in GFA</w:t>
            </w:r>
          </w:p>
        </w:tc>
        <w:tc>
          <w:tcPr>
            <w:tcW w:type="dxa" w:w="41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Rule</w:t>
            </w:r>
          </w:p>
        </w:tc>
      </w:tr>
      <w:tr>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Typical enclosed floor</w:t>
            </w:r>
          </w:p>
        </w:tc>
        <w:tc>
          <w:tcPr>
            <w:tcW w:type="dxa" w:w="13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100%</w:t>
            </w:r>
          </w:p>
        </w:tc>
        <w:tc>
          <w:tcPr>
            <w:tcW w:type="dxa" w:w="41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Full plate to outside face of external walls</w:t>
            </w:r>
          </w:p>
        </w:tc>
      </w:tr>
      <w:tr>
        <w:tc>
          <w:tcPr>
            <w:tcW w:type="dxa" w:w="3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Basement floor</w:t>
            </w:r>
          </w:p>
        </w:tc>
        <w:tc>
          <w:tcPr>
            <w:tcW w:type="dxa" w:w="13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100%</w:t>
            </w:r>
          </w:p>
        </w:tc>
        <w:tc>
          <w:tcPr>
            <w:tcW w:type="dxa" w:w="41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Full plate — recorded as GFA basement, never mixed silently into above-ground</w:t>
            </w:r>
          </w:p>
        </w:tc>
      </w:tr>
      <w:tr>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Covered balcony / open-sided corridor / covered walkway / canopy over entrance</w:t>
            </w:r>
          </w:p>
        </w:tc>
        <w:tc>
          <w:tcPr>
            <w:tcW w:type="dxa" w:w="13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50%</w:t>
            </w:r>
          </w:p>
        </w:tc>
        <w:tc>
          <w:tcPr>
            <w:tcW w:type="dxa" w:w="41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Half area — covered but not enclosed</w:t>
            </w:r>
          </w:p>
        </w:tc>
      </w:tr>
      <w:tr>
        <w:tc>
          <w:tcPr>
            <w:tcW w:type="dxa" w:w="3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Uncovered terrace, open roof deck, open parking on grade</w:t>
            </w:r>
          </w:p>
        </w:tc>
        <w:tc>
          <w:tcPr>
            <w:tcW w:type="dxa" w:w="13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0%</w:t>
            </w:r>
          </w:p>
        </w:tc>
        <w:tc>
          <w:tcPr>
            <w:tcW w:type="dxa" w:w="41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No enclosure — excluded</w:t>
            </w:r>
          </w:p>
        </w:tc>
      </w:tr>
      <w:tr>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Lift shafts, stair cores, service risers</w:t>
            </w:r>
          </w:p>
        </w:tc>
        <w:tc>
          <w:tcPr>
            <w:tcW w:type="dxa" w:w="13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100%</w:t>
            </w:r>
          </w:p>
        </w:tc>
        <w:tc>
          <w:tcPr>
            <w:tcW w:type="dxa" w:w="41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Counted at EVERY floor they pass through</w:t>
            </w:r>
          </w:p>
        </w:tc>
      </w:tr>
      <w:tr>
        <w:tc>
          <w:tcPr>
            <w:tcW w:type="dxa" w:w="3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Double-height void (lobby, atrium, auditorium airspace)</w:t>
            </w:r>
          </w:p>
        </w:tc>
        <w:tc>
          <w:tcPr>
            <w:tcW w:type="dxa" w:w="13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Once</w:t>
            </w:r>
          </w:p>
        </w:tc>
        <w:tc>
          <w:tcPr>
            <w:tcW w:type="dxa" w:w="41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Counted once at the lowest floor; the void opening above counts 0%</w:t>
            </w:r>
          </w:p>
        </w:tc>
      </w:tr>
      <w:tr>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Enclosed roof-level rooms (lift motor room, tank room, plant room, stair bulkhead)</w:t>
            </w:r>
          </w:p>
        </w:tc>
        <w:tc>
          <w:tcPr>
            <w:tcW w:type="dxa" w:w="13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100%</w:t>
            </w:r>
          </w:p>
        </w:tc>
        <w:tc>
          <w:tcPr>
            <w:tcW w:type="dxa" w:w="41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They are floor plates — count them in above-ground GFA</w:t>
            </w:r>
          </w:p>
        </w:tc>
      </w:tr>
      <w:tr>
        <w:tc>
          <w:tcPr>
            <w:tcW w:type="dxa" w:w="3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Roof structure, waterproofing, parapets</w:t>
            </w:r>
          </w:p>
        </w:tc>
        <w:tc>
          <w:tcPr>
            <w:tcW w:type="dxa" w:w="13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0%</w:t>
            </w:r>
          </w:p>
        </w:tc>
        <w:tc>
          <w:tcPr>
            <w:tcW w:type="dxa" w:w="41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Not a floor — cost divides by GFA total</w:t>
            </w:r>
          </w:p>
        </w:tc>
      </w:tr>
      <w:tr>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Piles, pile caps, footings, ground beams</w:t>
            </w:r>
          </w:p>
        </w:tc>
        <w:tc>
          <w:tcPr>
            <w:tcW w:type="dxa" w:w="13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0%</w:t>
            </w:r>
          </w:p>
        </w:tc>
        <w:tc>
          <w:tcPr>
            <w:tcW w:type="dxa" w:w="41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Not a floor — cost shows as the Substructure elemental line ÷ GFA total</w:t>
            </w:r>
          </w:p>
        </w:tc>
      </w:tr>
      <w:tr>
        <w:tc>
          <w:tcPr>
            <w:tcW w:type="dxa" w:w="3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External works, boundary walls, site roads</w:t>
            </w:r>
          </w:p>
        </w:tc>
        <w:tc>
          <w:tcPr>
            <w:tcW w:type="dxa" w:w="13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0%</w:t>
            </w:r>
          </w:p>
        </w:tc>
        <w:tc>
          <w:tcPr>
            <w:tcW w:type="dxa" w:w="41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Different denominator — Site Area (Section 4)</w:t>
            </w:r>
          </w:p>
        </w:tc>
      </w:tr>
    </w:tbl>
    <w:p>
      <w:pPr>
        <w:spacing w:after="60" w:line="276"/>
      </w:pPr>
      <w:r>
        <w:rPr>
          <w:rFonts w:ascii="Calibri" w:cs="Calibri" w:eastAsia="Calibri" w:hAnsi="Calibri"/>
          <w:sz w:val="21"/>
          <w:szCs w:val="21"/>
        </w:rPr>
        <w:t xml:space="preserve"/>
      </w:r>
    </w:p>
    <w:tbl>
      <w:tblPr>
        <w:tblW w:type="dxa" w:w="9026"/>
        <w:tblBorders>
          <w:top w:val="single" w:color="BFBFBF" w:sz="4"/>
          <w:left w:val="single" w:color="C00000" w:sz="24"/>
          <w:bottom w:val="single" w:color="BFBFBF" w:sz="4"/>
          <w:right w:val="single" w:color="BFBFBF" w:sz="4"/>
          <w:insideH w:val="single" w:color="BFBFBF" w:sz="4"/>
          <w:insideV w:val="single" w:color="BFBFBF" w:sz="4"/>
        </w:tblBorders>
      </w:tblPr>
      <w:tblGrid>
        <w:gridCol w:w="9026"/>
      </w:tblGrid>
      <w:tr>
        <w:tc>
          <w:tcPr>
            <w:tcW w:type="dxa" w:w="9026"/>
            <w:shd w:fill="EDF2FA" w:val="clear"/>
            <w:tcMar>
              <w:top w:type="dxa" w:w="100"/>
              <w:left w:type="dxa" w:w="160"/>
              <w:bottom w:type="dxa" w:w="100"/>
              <w:right w:type="dxa" w:w="160"/>
            </w:tcMar>
          </w:tcPr>
          <w:p>
            <w:pPr>
              <w:spacing w:after="60"/>
            </w:pPr>
            <w:r>
              <w:rPr>
                <w:rFonts w:ascii="Calibri" w:cs="Calibri" w:eastAsia="Calibri" w:hAnsi="Calibri"/>
                <w:b/>
                <w:bCs/>
                <w:color w:val="C00000"/>
                <w:sz w:val="21"/>
                <w:szCs w:val="21"/>
              </w:rPr>
              <w:t xml:space="preserve">Three Non-Negotiable Rules</w:t>
            </w:r>
          </w:p>
          <w:p>
            <w:pPr>
              <w:spacing w:after="40" w:line="264"/>
            </w:pPr>
            <w:r>
              <w:rPr>
                <w:rFonts w:ascii="Calibri" w:cs="Calibri" w:eastAsia="Calibri" w:hAnsi="Calibri"/>
                <w:sz w:val="20"/>
                <w:szCs w:val="20"/>
              </w:rPr>
              <w:t xml:space="preserve">1.  GFA is ENTERED from drawings, never derived. Do not sum it from BOQ items or room areas — room-by-room totals miss walls, circulation, and shafts.</w:t>
            </w:r>
          </w:p>
          <w:p>
            <w:pPr>
              <w:spacing w:after="40" w:line="264"/>
            </w:pPr>
            <w:r>
              <w:rPr>
                <w:rFonts w:ascii="Calibri" w:cs="Calibri" w:eastAsia="Calibri" w:hAnsi="Calibri"/>
                <w:sz w:val="20"/>
                <w:szCs w:val="20"/>
              </w:rPr>
              <w:t xml:space="preserve">2.  GFA is entered per LEVEL in DCOS and rolls up to building and project (Section 11). Parents are read-only.</w:t>
            </w:r>
          </w:p>
          <w:p>
            <w:pPr>
              <w:spacing w:after="40" w:line="264"/>
            </w:pPr>
            <w:r>
              <w:rPr>
                <w:rFonts w:ascii="Calibri" w:cs="Calibri" w:eastAsia="Calibri" w:hAnsi="Calibri"/>
                <w:sz w:val="20"/>
                <w:szCs w:val="20"/>
              </w:rPr>
              <w:t xml:space="preserve">3.  When the design changes (added floor, changed footprint), the GFA is revised with a reason and the change is audit-logged. Historical $/m² snapshots keep the GFA that was current at their time.</w:t>
            </w:r>
          </w:p>
        </w:tc>
      </w:tr>
    </w:tbl>
    <w:p>
      <w:pPr>
        <w:pStyle w:val="Heading1"/>
        <w:spacing w:after="160" w:before="360"/>
      </w:pPr>
      <w:r>
        <w:rPr>
          <w:rFonts w:ascii="Calibri" w:cs="Calibri" w:eastAsia="Calibri" w:hAnsi="Calibri"/>
          <w:b/>
          <w:bCs/>
          <w:color w:val="1F3864"/>
          <w:sz w:val="32"/>
          <w:szCs w:val="32"/>
        </w:rPr>
        <w:t xml:space="preserve">4. Site Area Convention</w:t>
      </w:r>
    </w:p>
    <w:p>
      <w:pPr>
        <w:pStyle w:val="ListParagraph"/>
        <w:numPr>
          <w:ilvl w:val="0"/>
          <w:numId w:val="2"/>
        </w:numPr>
        <w:spacing w:after="60" w:line="276"/>
      </w:pPr>
      <w:r>
        <w:rPr>
          <w:rFonts w:ascii="Calibri" w:cs="Calibri" w:eastAsia="Calibri" w:hAnsi="Calibri"/>
          <w:sz w:val="21"/>
          <w:szCs w:val="21"/>
        </w:rPr>
        <w:t xml:space="preserve">Site Area = legal land area from the title deed / survey plan, entered once at the PROJECT node.</w:t>
      </w:r>
    </w:p>
    <w:p>
      <w:pPr>
        <w:pStyle w:val="ListParagraph"/>
        <w:numPr>
          <w:ilvl w:val="0"/>
          <w:numId w:val="2"/>
        </w:numPr>
        <w:spacing w:after="60" w:line="276"/>
      </w:pPr>
      <w:r>
        <w:rPr>
          <w:rFonts w:ascii="Calibri" w:cs="Calibri" w:eastAsia="Calibri" w:hAnsi="Calibri"/>
          <w:sz w:val="21"/>
          <w:szCs w:val="21"/>
        </w:rPr>
        <w:t xml:space="preserve">If the contract covers only part of a larger site, use the defined works-area boundary from the contract drawings and note the source.</w:t>
      </w:r>
    </w:p>
    <w:p>
      <w:pPr>
        <w:pStyle w:val="ListParagraph"/>
        <w:numPr>
          <w:ilvl w:val="0"/>
          <w:numId w:val="2"/>
        </w:numPr>
        <w:spacing w:after="60" w:line="276"/>
      </w:pPr>
      <w:r>
        <w:rPr>
          <w:rFonts w:ascii="Calibri" w:cs="Calibri" w:eastAsia="Calibri" w:hAnsi="Calibri"/>
          <w:sz w:val="21"/>
          <w:szCs w:val="21"/>
        </w:rPr>
        <w:t xml:space="preserve">Site Area is the denominator for external works $/m² ONLY. It never divides building cost.</w:t>
      </w:r>
    </w:p>
    <w:p>
      <w:pPr>
        <w:pStyle w:val="ListParagraph"/>
        <w:numPr>
          <w:ilvl w:val="0"/>
          <w:numId w:val="2"/>
        </w:numPr>
        <w:spacing w:after="60" w:line="276"/>
      </w:pPr>
      <w:r>
        <w:rPr>
          <w:rFonts w:ascii="Calibri" w:cs="Calibri" w:eastAsia="Calibri" w:hAnsi="Calibri"/>
          <w:sz w:val="21"/>
          <w:szCs w:val="21"/>
        </w:rPr>
        <w:t xml:space="preserve">Building footprint may be recorded for site-coverage ratio (footprint ÷ site area) but is not a cost denominator.</w:t>
      </w:r>
    </w:p>
    <w:p>
      <w:pPr>
        <w:pStyle w:val="Heading1"/>
        <w:spacing w:after="160" w:before="360"/>
      </w:pPr>
      <w:r>
        <w:rPr>
          <w:rFonts w:ascii="Calibri" w:cs="Calibri" w:eastAsia="Calibri" w:hAnsi="Calibri"/>
          <w:b/>
          <w:bCs/>
          <w:color w:val="1F3864"/>
          <w:sz w:val="32"/>
          <w:szCs w:val="32"/>
        </w:rPr>
        <w:t xml:space="preserve">5. Cost Allocation Rules — What Divides by What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900"/>
        <w:gridCol w:w="2926"/>
      </w:tblGrid>
      <w:tr>
        <w:trPr>
          <w:tblHeader/>
        </w:trPr>
        <w:tc>
          <w:tcPr>
            <w:tcW w:type="dxa" w:w="42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Cost</w:t>
            </w:r>
          </w:p>
        </w:tc>
        <w:tc>
          <w:tcPr>
            <w:tcW w:type="dxa" w:w="19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Denominator</w:t>
            </w:r>
          </w:p>
        </w:tc>
        <w:tc>
          <w:tcPr>
            <w:tcW w:type="dxa" w:w="29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Shown as</w:t>
            </w:r>
          </w:p>
        </w:tc>
      </w:tr>
      <w:tr>
        <w:tc>
          <w:tcPr>
            <w:tcW w:type="dxa" w:w="4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Building works total (incl. piling, roof, prelims share)</w:t>
            </w:r>
          </w:p>
        </w:tc>
        <w:tc>
          <w:tcPr>
            <w:tcW w:type="dxa" w:w="19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total</w:t>
            </w:r>
          </w:p>
        </w:tc>
        <w:tc>
          <w:tcPr>
            <w:tcW w:type="dxa" w:w="29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Building $/m² (blended)</w:t>
            </w:r>
          </w:p>
        </w:tc>
      </w:tr>
      <w:tr>
        <w:tc>
          <w:tcPr>
            <w:tcW w:type="dxa" w:w="42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Above-ground building works</w:t>
            </w:r>
          </w:p>
        </w:tc>
        <w:tc>
          <w:tcPr>
            <w:tcW w:type="dxa" w:w="19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above ground</w:t>
            </w:r>
          </w:p>
        </w:tc>
        <w:tc>
          <w:tcPr>
            <w:tcW w:type="dxa" w:w="29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Split reporting line 1</w:t>
            </w:r>
          </w:p>
        </w:tc>
      </w:tr>
      <w:tr>
        <w:tc>
          <w:tcPr>
            <w:tcW w:type="dxa" w:w="4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Basement works (excavation, retaining, waterproofing, basement structure)</w:t>
            </w:r>
          </w:p>
        </w:tc>
        <w:tc>
          <w:tcPr>
            <w:tcW w:type="dxa" w:w="19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basement</w:t>
            </w:r>
          </w:p>
        </w:tc>
        <w:tc>
          <w:tcPr>
            <w:tcW w:type="dxa" w:w="29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Split reporting line 2</w:t>
            </w:r>
          </w:p>
        </w:tc>
      </w:tr>
      <w:tr>
        <w:tc>
          <w:tcPr>
            <w:tcW w:type="dxa" w:w="42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Substructure (piling, pile caps, ground beams)</w:t>
            </w:r>
          </w:p>
        </w:tc>
        <w:tc>
          <w:tcPr>
            <w:tcW w:type="dxa" w:w="19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total</w:t>
            </w:r>
          </w:p>
        </w:tc>
        <w:tc>
          <w:tcPr>
            <w:tcW w:type="dxa" w:w="29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Elemental line inside building $/m²</w:t>
            </w:r>
          </w:p>
        </w:tc>
      </w:tr>
      <w:tr>
        <w:tc>
          <w:tcPr>
            <w:tcW w:type="dxa" w:w="4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Each trade/element (frame, finishes, MEP, prelims)</w:t>
            </w:r>
          </w:p>
        </w:tc>
        <w:tc>
          <w:tcPr>
            <w:tcW w:type="dxa" w:w="19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total</w:t>
            </w:r>
          </w:p>
        </w:tc>
        <w:tc>
          <w:tcPr>
            <w:tcW w:type="dxa" w:w="29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Elemental $/m² table</w:t>
            </w:r>
          </w:p>
        </w:tc>
      </w:tr>
      <w:tr>
        <w:tc>
          <w:tcPr>
            <w:tcW w:type="dxa" w:w="42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External works</w:t>
            </w:r>
          </w:p>
        </w:tc>
        <w:tc>
          <w:tcPr>
            <w:tcW w:type="dxa" w:w="19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SITE AREA</w:t>
            </w:r>
          </w:p>
        </w:tc>
        <w:tc>
          <w:tcPr>
            <w:tcW w:type="dxa" w:w="29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External $/m² site — SEPARATE line, never inside building $/m²</w:t>
            </w:r>
          </w:p>
        </w:tc>
      </w:tr>
    </w:tbl>
    <w:p>
      <w:pPr>
        <w:spacing w:after="60" w:line="276"/>
      </w:pPr>
      <w:r>
        <w:rPr>
          <w:rFonts w:ascii="Calibri" w:cs="Calibri" w:eastAsia="Calibri" w:hAnsi="Calibri"/>
          <w:sz w:val="21"/>
          <w:szCs w:val="21"/>
        </w:rP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2F2F2" w:val="clear"/>
            <w:tcMar>
              <w:top w:type="dxa" w:w="100"/>
              <w:left w:type="dxa" w:w="160"/>
              <w:bottom w:type="dxa" w:w="100"/>
              <w:right w:type="dxa" w:w="160"/>
            </w:tcMar>
          </w:tcPr>
          <w:p>
            <w:pPr>
              <w:spacing w:after="20"/>
            </w:pPr>
            <w:r>
              <w:rPr>
                <w:rFonts w:ascii="Consolas" w:cs="Consolas" w:eastAsia="Consolas" w:hAnsi="Consolas"/>
                <w:color w:val="333333"/>
                <w:sz w:val="19"/>
                <w:szCs w:val="19"/>
              </w:rPr>
              <w:t xml:space="preserve">Building $/m2        = Building cost ÷ GFA_total</w:t>
            </w:r>
          </w:p>
          <w:p>
            <w:pPr>
              <w:spacing w:after="20"/>
            </w:pPr>
            <w:r>
              <w:rPr>
                <w:rFonts w:ascii="Consolas" w:cs="Consolas" w:eastAsia="Consolas" w:hAnsi="Consolas"/>
                <w:color w:val="333333"/>
                <w:sz w:val="19"/>
                <w:szCs w:val="19"/>
              </w:rPr>
              <w:t xml:space="preserve">Elemental $/m2       = Element cost  ÷ GFA_total</w:t>
            </w:r>
          </w:p>
          <w:p>
            <w:pPr>
              <w:spacing w:after="20"/>
            </w:pPr>
            <w:r>
              <w:rPr>
                <w:rFonts w:ascii="Consolas" w:cs="Consolas" w:eastAsia="Consolas" w:hAnsi="Consolas"/>
                <w:color w:val="333333"/>
                <w:sz w:val="19"/>
                <w:szCs w:val="19"/>
              </w:rPr>
              <w:t xml:space="preserve">Basement $/m2        = Basement cost ÷ GFA_basement</w:t>
            </w:r>
          </w:p>
          <w:p>
            <w:pPr>
              <w:spacing w:after="20"/>
            </w:pPr>
            <w:r>
              <w:rPr>
                <w:rFonts w:ascii="Consolas" w:cs="Consolas" w:eastAsia="Consolas" w:hAnsi="Consolas"/>
                <w:color w:val="333333"/>
                <w:sz w:val="19"/>
                <w:szCs w:val="19"/>
              </w:rPr>
              <w:t xml:space="preserve">External $/m2 (site) = External cost ÷ Site_Area</w:t>
            </w:r>
          </w:p>
          <w:p>
            <w:pPr>
              <w:spacing w:after="20"/>
            </w:pPr>
            <w:r>
              <w:rPr>
                <w:rFonts w:ascii="Consolas" w:cs="Consolas" w:eastAsia="Consolas" w:hAnsi="Consolas"/>
                <w:color w:val="333333"/>
                <w:sz w:val="19"/>
                <w:szCs w:val="19"/>
              </w:rPr>
              <w:t xml:space="preserve">NEVER:  (Building + External) ÷ GFA   as the headline building benchmark</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i/>
          <w:iCs/>
          <w:color w:val="595959"/>
          <w:sz w:val="21"/>
          <w:szCs w:val="21"/>
        </w:rPr>
        <w:t xml:space="preserve">A deep-piled project shows a HIGH substructure elemental line — that is the correct, visible signal. Hiding foundation cost by inflating area is the classic mistake this guideline exists to stop.</w:t>
      </w:r>
    </w:p>
    <w:p>
      <w:pPr>
        <w:pStyle w:val="Heading2"/>
        <w:spacing w:after="120" w:before="280"/>
      </w:pPr>
      <w:r>
        <w:rPr>
          <w:rFonts w:ascii="Calibri" w:cs="Calibri" w:eastAsia="Calibri" w:hAnsi="Calibri"/>
          <w:b/>
          <w:bCs/>
          <w:color w:val="2E5AAC"/>
          <w:sz w:val="26"/>
          <w:szCs w:val="26"/>
        </w:rPr>
        <w:t xml:space="preserve">5.1 $/m² Basis Statement (mandatory footnote)</w:t>
      </w:r>
    </w:p>
    <w:p>
      <w:pPr>
        <w:spacing w:after="120" w:line="276"/>
      </w:pPr>
      <w:r>
        <w:rPr>
          <w:rFonts w:ascii="Calibri" w:cs="Calibri" w:eastAsia="Calibri" w:hAnsi="Calibri"/>
          <w:sz w:val="21"/>
          <w:szCs w:val="21"/>
        </w:rPr>
        <w:t xml:space="preserve">Every $/m² figure issued in any report, tender review, or client document must carry — or reference — a basis statement. Without it, “does it include prelims / VAT / fees?” is answered differently by every reader. The default house basis is: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2F2F2" w:val="clear"/>
            <w:tcMar>
              <w:top w:type="dxa" w:w="100"/>
              <w:left w:type="dxa" w:w="160"/>
              <w:bottom w:type="dxa" w:w="100"/>
              <w:right w:type="dxa" w:w="160"/>
            </w:tcMar>
          </w:tcPr>
          <w:p>
            <w:pPr>
              <w:spacing w:after="20"/>
            </w:pPr>
            <w:r>
              <w:rPr>
                <w:rFonts w:ascii="Consolas" w:cs="Consolas" w:eastAsia="Consolas" w:hAnsi="Consolas"/>
                <w:color w:val="333333"/>
                <w:sz w:val="19"/>
                <w:szCs w:val="19"/>
              </w:rPr>
              <w:t xml:space="preserve">BUILDING $/m2 — HOUSE BASIS</w:t>
            </w:r>
          </w:p>
          <w:p>
            <w:pPr>
              <w:spacing w:after="20"/>
            </w:pPr>
            <w:r>
              <w:rPr>
                <w:rFonts w:ascii="Consolas" w:cs="Consolas" w:eastAsia="Consolas" w:hAnsi="Consolas"/>
                <w:color w:val="333333"/>
                <w:sz w:val="19"/>
                <w:szCs w:val="19"/>
              </w:rPr>
              <w:t xml:space="preserve">INCLUDES:  all trade costs, PRELIMINARIES, contractor OH&amp;P (contract/sell basis)</w:t>
            </w:r>
          </w:p>
          <w:p>
            <w:pPr>
              <w:spacing w:after="20"/>
            </w:pPr>
            <w:r>
              <w:rPr>
                <w:rFonts w:ascii="Consolas" w:cs="Consolas" w:eastAsia="Consolas" w:hAnsi="Consolas"/>
                <w:color w:val="333333"/>
                <w:sz w:val="19"/>
                <w:szCs w:val="19"/>
              </w:rPr>
              <w:t xml:space="preserve">EXCLUDES:  VAT, land cost, design &amp; consultant fees, FF&amp;E (loose furniture),</w:t>
            </w:r>
          </w:p>
          <w:p>
            <w:pPr>
              <w:spacing w:after="20"/>
            </w:pPr>
            <w:r>
              <w:rPr>
                <w:rFonts w:ascii="Consolas" w:cs="Consolas" w:eastAsia="Consolas" w:hAnsi="Consolas"/>
                <w:color w:val="333333"/>
                <w:sz w:val="19"/>
                <w:szCs w:val="19"/>
              </w:rPr>
              <w:t xml:space="preserve">           external works (own line ÷ site area), finance costs</w:t>
            </w:r>
          </w:p>
        </w:tc>
      </w:tr>
    </w:tbl>
    <w:p>
      <w:pPr>
        <w:spacing w:after="60" w:line="276"/>
      </w:pPr>
      <w:r>
        <w:rPr>
          <w:rFonts w:ascii="Calibri" w:cs="Calibri" w:eastAsia="Calibri" w:hAnsi="Calibri"/>
          <w:sz w:val="21"/>
          <w:szCs w:val="21"/>
        </w:rPr>
        <w:t xml:space="preserve"/>
      </w:r>
    </w:p>
    <w:p>
      <w:pPr>
        <w:pStyle w:val="Heading3"/>
        <w:spacing w:after="100" w:before="220"/>
      </w:pPr>
      <w:r>
        <w:rPr>
          <w:rFonts w:ascii="Calibri" w:cs="Calibri" w:eastAsia="Calibri" w:hAnsi="Calibri"/>
          <w:b/>
          <w:bCs/>
          <w:color w:val="1F3864"/>
          <w:sz w:val="22"/>
          <w:szCs w:val="22"/>
        </w:rPr>
        <w:t xml:space="preserve">Preliminaries treatment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400"/>
        <w:gridCol w:w="2026"/>
      </w:tblGrid>
      <w:tr>
        <w:trPr>
          <w:tblHeader/>
        </w:trPr>
        <w:tc>
          <w:tcPr>
            <w:tcW w:type="dxa" w:w="2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Method</w:t>
            </w:r>
          </w:p>
        </w:tc>
        <w:tc>
          <w:tcPr>
            <w:tcW w:type="dxa" w:w="44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Treatment</w:t>
            </w:r>
          </w:p>
        </w:tc>
        <w:tc>
          <w:tcPr>
            <w:tcW w:type="dxa" w:w="20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House verdict</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Separate elemental line</w:t>
            </w:r>
          </w:p>
        </w:tc>
        <w:tc>
          <w:tcPr>
            <w:tcW w:type="dxa" w:w="4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Prelims shown as their own row inside the building $/m² (as in Case A: 20.00/m² within 420.00)</w:t>
            </w:r>
          </w:p>
        </w:tc>
        <w:tc>
          <w:tcPr>
            <w:tcW w:type="dxa" w:w="2026"/>
            <w:tcMar>
              <w:top w:type="dxa" w:w="60"/>
              <w:left w:type="dxa" w:w="100"/>
              <w:bottom w:type="dxa" w:w="60"/>
              <w:right w:type="dxa" w:w="100"/>
            </w:tcMar>
          </w:tcPr>
          <w:p>
            <w:pPr>
              <w:spacing w:after="20"/>
            </w:pPr>
            <w:r>
              <w:rPr>
                <w:rFonts w:ascii="Calibri" w:cs="Calibri" w:eastAsia="Calibri" w:hAnsi="Calibri"/>
                <w:b/>
                <w:bCs/>
                <w:color w:val="2E7D32"/>
                <w:sz w:val="20"/>
                <w:szCs w:val="20"/>
              </w:rPr>
              <w:t xml:space="preserve">HOUSE RULE</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Distributed / apportioned into trades</w:t>
            </w:r>
          </w:p>
        </w:tc>
        <w:tc>
          <w:tcPr>
            <w:tcW w:type="dxa" w:w="44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Prelims spread pro-rata into every element — frame, finishes, MEP each absorb a share</w:t>
            </w:r>
          </w:p>
        </w:tc>
        <w:tc>
          <w:tcPr>
            <w:tcW w:type="dxa" w:w="20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Avoid — hides the prelims size; use only when a client format demands it, and note it</w:t>
            </w:r>
          </w:p>
        </w:tc>
      </w:tr>
    </w:tbl>
    <w:p>
      <w:pPr>
        <w:spacing w:after="60" w:line="276"/>
      </w:pPr>
      <w:r>
        <w:rPr>
          <w:rFonts w:ascii="Calibri" w:cs="Calibri" w:eastAsia="Calibri" w:hAnsi="Calibri"/>
          <w:sz w:val="21"/>
          <w:szCs w:val="21"/>
        </w:rPr>
        <w:t xml:space="preserve"/>
      </w:r>
    </w:p>
    <w:p>
      <w:pPr>
        <w:pStyle w:val="Heading3"/>
        <w:spacing w:after="100" w:before="220"/>
      </w:pPr>
      <w:r>
        <w:rPr>
          <w:rFonts w:ascii="Calibri" w:cs="Calibri" w:eastAsia="Calibri" w:hAnsi="Calibri"/>
          <w:b/>
          <w:bCs/>
          <w:color w:val="1F3864"/>
          <w:sz w:val="22"/>
          <w:szCs w:val="22"/>
        </w:rPr>
        <w:t xml:space="preserve">Sell basis vs cost basis — never mix</w:t>
      </w:r>
    </w:p>
    <w:p>
      <w:pPr>
        <w:pStyle w:val="ListParagraph"/>
        <w:numPr>
          <w:ilvl w:val="0"/>
          <w:numId w:val="2"/>
        </w:numPr>
        <w:spacing w:after="60" w:line="276"/>
      </w:pPr>
      <w:r>
        <w:rPr>
          <w:rFonts w:ascii="Calibri" w:cs="Calibri" w:eastAsia="Calibri" w:hAnsi="Calibri"/>
          <w:sz w:val="21"/>
          <w:szCs w:val="21"/>
        </w:rPr>
        <w:t xml:space="preserve">CONTRACT (sell) $/m² — includes overhead &amp; profit; this is what the market and all published benchmarks quote, and what client documents show.</w:t>
      </w:r>
    </w:p>
    <w:p>
      <w:pPr>
        <w:pStyle w:val="ListParagraph"/>
        <w:numPr>
          <w:ilvl w:val="0"/>
          <w:numId w:val="2"/>
        </w:numPr>
        <w:spacing w:after="60" w:line="276"/>
      </w:pPr>
      <w:r>
        <w:rPr>
          <w:rFonts w:ascii="Calibri" w:cs="Calibri" w:eastAsia="Calibri" w:hAnsi="Calibri"/>
          <w:sz w:val="21"/>
          <w:szCs w:val="21"/>
        </w:rPr>
        <w:t xml:space="preserve">INTERNAL COST $/m² — cost rates only, no margin; used for internal margin analysis (visible to QS Manager+ only, per the dual-rate firewall SOP-QS-05A).</w:t>
      </w:r>
    </w:p>
    <w:p>
      <w:pPr>
        <w:pStyle w:val="ListParagraph"/>
        <w:numPr>
          <w:ilvl w:val="0"/>
          <w:numId w:val="2"/>
        </w:numPr>
        <w:spacing w:after="60" w:line="276"/>
      </w:pPr>
      <w:r>
        <w:rPr>
          <w:rFonts w:ascii="Calibri" w:cs="Calibri" w:eastAsia="Calibri" w:hAnsi="Calibri"/>
          <w:sz w:val="21"/>
          <w:szCs w:val="21"/>
        </w:rPr>
        <w:t xml:space="preserve">The difference between the two IS the margin per m². Comparing a sell-basis project against a cost-basis project overstates the second by the whole margin — always label which basis a figure uses.</w:t>
      </w:r>
    </w:p>
    <w:p>
      <w:pPr>
        <w:spacing w:after="60" w:line="276"/>
      </w:pPr>
      <w:r>
        <w:rPr>
          <w:rFonts w:ascii="Calibri" w:cs="Calibri" w:eastAsia="Calibri" w:hAnsi="Calibri"/>
          <w:sz w:val="21"/>
          <w:szCs w:val="21"/>
        </w:rPr>
        <w:t xml:space="preserve"/>
      </w:r>
    </w:p>
    <w:tbl>
      <w:tblPr>
        <w:tblW w:type="dxa" w:w="9026"/>
        <w:tblBorders>
          <w:top w:val="single" w:color="BFBFBF" w:sz="4"/>
          <w:left w:val="single" w:color="C00000" w:sz="24"/>
          <w:bottom w:val="single" w:color="BFBFBF" w:sz="4"/>
          <w:right w:val="single" w:color="BFBFBF" w:sz="4"/>
          <w:insideH w:val="single" w:color="BFBFBF" w:sz="4"/>
          <w:insideV w:val="single" w:color="BFBFBF" w:sz="4"/>
        </w:tblBorders>
      </w:tblPr>
      <w:tblGrid>
        <w:gridCol w:w="9026"/>
      </w:tblGrid>
      <w:tr>
        <w:tc>
          <w:tcPr>
            <w:tcW w:type="dxa" w:w="9026"/>
            <w:shd w:fill="EDF2FA" w:val="clear"/>
            <w:tcMar>
              <w:top w:type="dxa" w:w="100"/>
              <w:left w:type="dxa" w:w="160"/>
              <w:bottom w:type="dxa" w:w="100"/>
              <w:right w:type="dxa" w:w="160"/>
            </w:tcMar>
          </w:tcPr>
          <w:p>
            <w:pPr>
              <w:spacing w:after="60"/>
            </w:pPr>
            <w:r>
              <w:rPr>
                <w:rFonts w:ascii="Calibri" w:cs="Calibri" w:eastAsia="Calibri" w:hAnsi="Calibri"/>
                <w:b/>
                <w:bCs/>
                <w:color w:val="C00000"/>
                <w:sz w:val="21"/>
                <w:szCs w:val="21"/>
              </w:rPr>
              <w:t xml:space="preserve">Mandatory footnote wording</w:t>
            </w:r>
          </w:p>
          <w:p>
            <w:pPr>
              <w:spacing w:after="40" w:line="264"/>
            </w:pPr>
            <w:r>
              <w:rPr>
                <w:rFonts w:ascii="Calibri" w:cs="Calibri" w:eastAsia="Calibri" w:hAnsi="Calibri"/>
                <w:sz w:val="20"/>
                <w:szCs w:val="20"/>
              </w:rPr>
              <w:t xml:space="preserve">“$/m² per DCOS-QS-GDL-001 §5.1 house basis: incl. prelims &amp; OH&amp;P (sell); excl. VAT, land, fees, FF&amp;E, external works. Areas per §3 convention.”</w:t>
            </w:r>
          </w:p>
        </w:tc>
      </w:tr>
    </w:tbl>
    <w:p>
      <w:r>
        <w:br w:type="page"/>
      </w:r>
    </w:p>
    <w:p>
      <w:pPr>
        <w:pStyle w:val="Heading1"/>
        <w:spacing w:after="160" w:before="360"/>
      </w:pPr>
      <w:r>
        <w:rPr>
          <w:rFonts w:ascii="Calibri" w:cs="Calibri" w:eastAsia="Calibri" w:hAnsi="Calibri"/>
          <w:b/>
          <w:bCs/>
          <w:color w:val="1F3864"/>
          <w:sz w:val="32"/>
          <w:szCs w:val="32"/>
        </w:rPr>
        <w:t xml:space="preserve">6. Case A — Building WITHOUT Basement</w:t>
      </w:r>
    </w:p>
    <w:p>
      <w:pPr>
        <w:spacing w:after="120" w:line="276"/>
      </w:pPr>
      <w:r>
        <w:rPr>
          <w:rFonts w:ascii="Calibri" w:cs="Calibri" w:eastAsia="Calibri" w:hAnsi="Calibri"/>
          <w:sz w:val="21"/>
          <w:szCs w:val="21"/>
        </w:rPr>
        <w:t xml:space="preserve">Project: 10-storey school building. Contract for building works only = $3,595,200 (external works excluded, handled in Case C).</w:t>
      </w:r>
    </w:p>
    <w:p>
      <w:pPr>
        <w:pStyle w:val="Heading3"/>
        <w:spacing w:after="100" w:before="220"/>
      </w:pPr>
      <w:r>
        <w:rPr>
          <w:rFonts w:ascii="Calibri" w:cs="Calibri" w:eastAsia="Calibri" w:hAnsi="Calibri"/>
          <w:b/>
          <w:bCs/>
          <w:color w:val="1F3864"/>
          <w:sz w:val="22"/>
          <w:szCs w:val="22"/>
        </w:rPr>
        <w:t xml:space="preserve">Step 1 — Measure GFA per level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800"/>
        <w:gridCol w:w="2600"/>
        <w:gridCol w:w="2026"/>
      </w:tblGrid>
      <w:tr>
        <w:trPr>
          <w:tblHeader/>
        </w:trPr>
        <w:tc>
          <w:tcPr>
            <w:tcW w:type="dxa" w:w="2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Level</w:t>
            </w:r>
          </w:p>
        </w:tc>
        <w:tc>
          <w:tcPr>
            <w:tcW w:type="dxa" w:w="18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Plate area</w:t>
            </w:r>
          </w:p>
        </w:tc>
        <w:tc>
          <w:tcPr>
            <w:tcW w:type="dxa" w:w="2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Rule applied</w:t>
            </w:r>
          </w:p>
        </w:tc>
        <w:tc>
          <w:tcPr>
            <w:tcW w:type="dxa" w:w="20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Counted</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Ground floor</w:t>
            </w:r>
          </w:p>
        </w:tc>
        <w:tc>
          <w:tcPr>
            <w:tcW w:type="dxa" w:w="18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850 m²</w:t>
            </w:r>
          </w:p>
        </w:tc>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100%</w:t>
            </w:r>
          </w:p>
        </w:tc>
        <w:tc>
          <w:tcPr>
            <w:tcW w:type="dxa" w:w="20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850</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Levels 2–10 (9 floors)</w:t>
            </w:r>
          </w:p>
        </w:tc>
        <w:tc>
          <w:tcPr>
            <w:tcW w:type="dxa" w:w="18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9 × 850 m²</w:t>
            </w:r>
          </w:p>
        </w:tc>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100%</w:t>
            </w:r>
          </w:p>
        </w:tc>
        <w:tc>
          <w:tcPr>
            <w:tcW w:type="dxa" w:w="20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7,650</w:t>
            </w:r>
          </w:p>
        </w:tc>
      </w:tr>
      <w:tr>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Roof: lift motor room + tank room</w:t>
            </w:r>
          </w:p>
        </w:tc>
        <w:tc>
          <w:tcPr>
            <w:tcW w:type="dxa" w:w="18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60 m²</w:t>
            </w:r>
          </w:p>
        </w:tc>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Enclosed roof rooms 100%</w:t>
            </w:r>
          </w:p>
        </w:tc>
        <w:tc>
          <w:tcPr>
            <w:tcW w:type="dxa" w:w="20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60</w:t>
            </w:r>
          </w:p>
        </w:tc>
      </w:tr>
      <w:tr>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Roof: open deck</w:t>
            </w:r>
          </w:p>
        </w:tc>
        <w:tc>
          <w:tcPr>
            <w:tcW w:type="dxa" w:w="18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400 m²</w:t>
            </w:r>
          </w:p>
        </w:tc>
        <w:tc>
          <w:tcPr>
            <w:tcW w:type="dxa" w:w="2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Uncovered 0%</w:t>
            </w:r>
          </w:p>
        </w:tc>
        <w:tc>
          <w:tcPr>
            <w:tcW w:type="dxa" w:w="20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0</w:t>
            </w:r>
          </w:p>
        </w:tc>
      </w:tr>
      <w:tr>
        <w:tc>
          <w:tcPr>
            <w:tcW w:type="dxa" w:w="26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GFA above ground = GFA total</w:t>
            </w:r>
          </w:p>
        </w:tc>
        <w:tc>
          <w:tcPr>
            <w:tcW w:type="dxa" w:w="18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c>
          <w:tcPr>
            <w:tcW w:type="dxa" w:w="2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c>
          <w:tcPr>
            <w:tcW w:type="dxa" w:w="2026"/>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8,560 m²</w:t>
            </w:r>
          </w:p>
        </w:tc>
      </w:tr>
    </w:tbl>
    <w:p>
      <w:pPr>
        <w:pStyle w:val="Heading3"/>
        <w:spacing w:after="100" w:before="220"/>
      </w:pPr>
      <w:r>
        <w:rPr>
          <w:rFonts w:ascii="Calibri" w:cs="Calibri" w:eastAsia="Calibri" w:hAnsi="Calibri"/>
          <w:b/>
          <w:bCs/>
          <w:color w:val="1F3864"/>
          <w:sz w:val="22"/>
          <w:szCs w:val="22"/>
        </w:rPr>
        <w:t xml:space="preserve">Step 2 — Compute the benchmark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2F2F2" w:val="clear"/>
            <w:tcMar>
              <w:top w:type="dxa" w:w="100"/>
              <w:left w:type="dxa" w:w="160"/>
              <w:bottom w:type="dxa" w:w="100"/>
              <w:right w:type="dxa" w:w="160"/>
            </w:tcMar>
          </w:tcPr>
          <w:p>
            <w:pPr>
              <w:spacing w:after="20"/>
            </w:pPr>
            <w:r>
              <w:rPr>
                <w:rFonts w:ascii="Consolas" w:cs="Consolas" w:eastAsia="Consolas" w:hAnsi="Consolas"/>
                <w:color w:val="333333"/>
                <w:sz w:val="19"/>
                <w:szCs w:val="19"/>
              </w:rPr>
              <w:t xml:space="preserve">Building $/m2 = 3,595,200 ÷ 8,560 = $420.00 /m2</w:t>
            </w:r>
          </w:p>
        </w:tc>
      </w:tr>
    </w:tbl>
    <w:p>
      <w:pPr>
        <w:pStyle w:val="Heading3"/>
        <w:spacing w:after="100" w:before="220"/>
      </w:pPr>
      <w:r>
        <w:rPr>
          <w:rFonts w:ascii="Calibri" w:cs="Calibri" w:eastAsia="Calibri" w:hAnsi="Calibri"/>
          <w:b/>
          <w:bCs/>
          <w:color w:val="1F3864"/>
          <w:sz w:val="22"/>
          <w:szCs w:val="22"/>
        </w:rPr>
        <w:t xml:space="preserve">Step 3 — Elemental breakdown (÷ GFA total 8,560)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400"/>
        <w:gridCol w:w="2400"/>
        <w:gridCol w:w="2226"/>
      </w:tblGrid>
      <w:tr>
        <w:trPr>
          <w:tblHeader/>
        </w:trPr>
        <w:tc>
          <w:tcPr>
            <w:tcW w:type="dxa" w:w="44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Element</w:t>
            </w:r>
          </w:p>
        </w:tc>
        <w:tc>
          <w:tcPr>
            <w:tcW w:type="dxa" w:w="24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Cost (USD)</w:t>
            </w:r>
          </w:p>
        </w:tc>
        <w:tc>
          <w:tcPr>
            <w:tcW w:type="dxa" w:w="22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$/m²</w:t>
            </w:r>
          </w:p>
        </w:tc>
      </w:tr>
      <w:tr>
        <w:tc>
          <w:tcPr>
            <w:tcW w:type="dxa" w:w="4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Substructure (piling, pile caps, ground beams)</w:t>
            </w:r>
          </w:p>
        </w:tc>
        <w:tc>
          <w:tcPr>
            <w:tcW w:type="dxa" w:w="2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428,000</w:t>
            </w:r>
          </w:p>
        </w:tc>
        <w:tc>
          <w:tcPr>
            <w:tcW w:type="dxa" w:w="2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50.00</w:t>
            </w:r>
          </w:p>
        </w:tc>
      </w:tr>
      <w:tr>
        <w:tc>
          <w:tcPr>
            <w:tcW w:type="dxa" w:w="44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Superstructure (concrete frame)</w:t>
            </w:r>
          </w:p>
        </w:tc>
        <w:tc>
          <w:tcPr>
            <w:tcW w:type="dxa" w:w="24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1,112,800</w:t>
            </w:r>
          </w:p>
        </w:tc>
        <w:tc>
          <w:tcPr>
            <w:tcW w:type="dxa" w:w="22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130.00</w:t>
            </w:r>
          </w:p>
        </w:tc>
      </w:tr>
      <w:tr>
        <w:tc>
          <w:tcPr>
            <w:tcW w:type="dxa" w:w="4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Architectural works &amp; finishes</w:t>
            </w:r>
          </w:p>
        </w:tc>
        <w:tc>
          <w:tcPr>
            <w:tcW w:type="dxa" w:w="2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1,027,200</w:t>
            </w:r>
          </w:p>
        </w:tc>
        <w:tc>
          <w:tcPr>
            <w:tcW w:type="dxa" w:w="2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120.00</w:t>
            </w:r>
          </w:p>
        </w:tc>
      </w:tr>
      <w:tr>
        <w:tc>
          <w:tcPr>
            <w:tcW w:type="dxa" w:w="44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MEP services</w:t>
            </w:r>
          </w:p>
        </w:tc>
        <w:tc>
          <w:tcPr>
            <w:tcW w:type="dxa" w:w="24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856,000</w:t>
            </w:r>
          </w:p>
        </w:tc>
        <w:tc>
          <w:tcPr>
            <w:tcW w:type="dxa" w:w="22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100.00</w:t>
            </w:r>
          </w:p>
        </w:tc>
      </w:tr>
      <w:tr>
        <w:tc>
          <w:tcPr>
            <w:tcW w:type="dxa" w:w="4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Preliminaries</w:t>
            </w:r>
          </w:p>
        </w:tc>
        <w:tc>
          <w:tcPr>
            <w:tcW w:type="dxa" w:w="2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171,200</w:t>
            </w:r>
          </w:p>
        </w:tc>
        <w:tc>
          <w:tcPr>
            <w:tcW w:type="dxa" w:w="2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20.00</w:t>
            </w:r>
          </w:p>
        </w:tc>
      </w:tr>
      <w:tr>
        <w:tc>
          <w:tcPr>
            <w:tcW w:type="dxa" w:w="44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Building total</w:t>
            </w:r>
          </w:p>
        </w:tc>
        <w:tc>
          <w:tcPr>
            <w:tcW w:type="dxa" w:w="2400"/>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3,595,200</w:t>
            </w:r>
          </w:p>
        </w:tc>
        <w:tc>
          <w:tcPr>
            <w:tcW w:type="dxa" w:w="2226"/>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420.00</w:t>
            </w:r>
          </w:p>
        </w:tc>
      </w:tr>
    </w:tbl>
    <w:p>
      <w:pPr>
        <w:spacing w:after="120" w:line="276"/>
      </w:pPr>
      <w:r>
        <w:rPr>
          <w:rFonts w:ascii="Calibri" w:cs="Calibri" w:eastAsia="Calibri" w:hAnsi="Calibri"/>
          <w:i/>
          <w:iCs/>
          <w:color w:val="595959"/>
          <w:sz w:val="21"/>
          <w:szCs w:val="21"/>
        </w:rPr>
        <w:t xml:space="preserve">Note how the piling cost is fully visible as the $50/m² substructure line — divided by the whole GFA, contributing zero area of its own.</w:t>
      </w:r>
    </w:p>
    <w:p>
      <w:pPr>
        <w:pStyle w:val="Heading1"/>
        <w:spacing w:after="160" w:before="360"/>
      </w:pPr>
      <w:r>
        <w:rPr>
          <w:rFonts w:ascii="Calibri" w:cs="Calibri" w:eastAsia="Calibri" w:hAnsi="Calibri"/>
          <w:b/>
          <w:bCs/>
          <w:color w:val="1F3864"/>
          <w:sz w:val="32"/>
          <w:szCs w:val="32"/>
        </w:rPr>
        <w:t xml:space="preserve">7. Case B — Building WITH Basement</w:t>
      </w:r>
    </w:p>
    <w:p>
      <w:pPr>
        <w:spacing w:after="120" w:line="276"/>
      </w:pPr>
      <w:r>
        <w:rPr>
          <w:rFonts w:ascii="Calibri" w:cs="Calibri" w:eastAsia="Calibri" w:hAnsi="Calibri"/>
          <w:sz w:val="21"/>
          <w:szCs w:val="21"/>
        </w:rPr>
        <w:t xml:space="preserve">Same school, now with one basement level of 850 m² (parking + plant). Basement works (excavation, retaining, waterproofing, basement structure) = $722,500. Illustrative — in reality substructure design also changes; this example isolates the area logic.</w:t>
      </w:r>
    </w:p>
    <w:p>
      <w:pPr>
        <w:pStyle w:val="Heading3"/>
        <w:spacing w:after="100" w:before="220"/>
      </w:pPr>
      <w:r>
        <w:rPr>
          <w:rFonts w:ascii="Calibri" w:cs="Calibri" w:eastAsia="Calibri" w:hAnsi="Calibri"/>
          <w:b/>
          <w:bCs/>
          <w:color w:val="1F3864"/>
          <w:sz w:val="22"/>
          <w:szCs w:val="22"/>
        </w:rPr>
        <w:t xml:space="preserve">Step 1 — GFA split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426"/>
      </w:tblGrid>
      <w:tr>
        <w:trPr>
          <w:tblHeader/>
        </w:trPr>
        <w:tc>
          <w:tcPr>
            <w:tcW w:type="dxa" w:w="4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Component</w:t>
            </w:r>
          </w:p>
        </w:tc>
        <w:tc>
          <w:tcPr>
            <w:tcW w:type="dxa" w:w="44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Area</w:t>
            </w:r>
          </w:p>
        </w:tc>
      </w:tr>
      <w:tr>
        <w:tc>
          <w:tcPr>
            <w:tcW w:type="dxa" w:w="4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above ground (Case A)</w:t>
            </w:r>
          </w:p>
        </w:tc>
        <w:tc>
          <w:tcPr>
            <w:tcW w:type="dxa" w:w="44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8,560 m²</w:t>
            </w:r>
          </w:p>
        </w:tc>
      </w:tr>
      <w:tr>
        <w:tc>
          <w:tcPr>
            <w:tcW w:type="dxa" w:w="4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GFA basement (1 × 850)</w:t>
            </w:r>
          </w:p>
        </w:tc>
        <w:tc>
          <w:tcPr>
            <w:tcW w:type="dxa" w:w="44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850 m²</w:t>
            </w:r>
          </w:p>
        </w:tc>
      </w:tr>
      <w:tr>
        <w:tc>
          <w:tcPr>
            <w:tcW w:type="dxa" w:w="46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GFA total</w:t>
            </w:r>
          </w:p>
        </w:tc>
        <w:tc>
          <w:tcPr>
            <w:tcW w:type="dxa" w:w="4426"/>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9,410 m²</w:t>
            </w:r>
          </w:p>
        </w:tc>
      </w:tr>
    </w:tbl>
    <w:p>
      <w:pPr>
        <w:pStyle w:val="Heading3"/>
        <w:spacing w:after="100" w:before="220"/>
      </w:pPr>
      <w:r>
        <w:rPr>
          <w:rFonts w:ascii="Calibri" w:cs="Calibri" w:eastAsia="Calibri" w:hAnsi="Calibri"/>
          <w:b/>
          <w:bCs/>
          <w:color w:val="1F3864"/>
          <w:sz w:val="22"/>
          <w:szCs w:val="22"/>
        </w:rPr>
        <w:t xml:space="preserve">Step 2 — Report BOTH ways (mandatory)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4200"/>
        <w:gridCol w:w="2026"/>
      </w:tblGrid>
      <w:tr>
        <w:trPr>
          <w:tblHeader/>
        </w:trPr>
        <w:tc>
          <w:tcPr>
            <w:tcW w:type="dxa" w:w="28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Reporting line</w:t>
            </w:r>
          </w:p>
        </w:tc>
        <w:tc>
          <w:tcPr>
            <w:tcW w:type="dxa" w:w="42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Calculation</w:t>
            </w:r>
          </w:p>
        </w:tc>
        <w:tc>
          <w:tcPr>
            <w:tcW w:type="dxa" w:w="20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Result</w:t>
            </w:r>
          </w:p>
        </w:tc>
      </w:tr>
      <w:tr>
        <w:tc>
          <w:tcPr>
            <w:tcW w:type="dxa" w:w="28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Above-ground $/m²</w:t>
            </w:r>
          </w:p>
        </w:tc>
        <w:tc>
          <w:tcPr>
            <w:tcW w:type="dxa" w:w="4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3,595,200 ÷ 8,560</w:t>
            </w:r>
          </w:p>
        </w:tc>
        <w:tc>
          <w:tcPr>
            <w:tcW w:type="dxa" w:w="2026"/>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420.00</w:t>
            </w:r>
          </w:p>
        </w:tc>
      </w:tr>
      <w:tr>
        <w:tc>
          <w:tcPr>
            <w:tcW w:type="dxa" w:w="28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Basement $/m²</w:t>
            </w:r>
          </w:p>
        </w:tc>
        <w:tc>
          <w:tcPr>
            <w:tcW w:type="dxa" w:w="42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722,500 ÷ 850</w:t>
            </w:r>
          </w:p>
        </w:tc>
        <w:tc>
          <w:tcPr>
            <w:tcW w:type="dxa" w:w="2026"/>
            <w:shd w:fill="EDF2FA" w:val="clear"/>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850.00</w:t>
            </w:r>
          </w:p>
        </w:tc>
      </w:tr>
      <w:tr>
        <w:tc>
          <w:tcPr>
            <w:tcW w:type="dxa" w:w="28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Blended building $/m²</w:t>
            </w:r>
          </w:p>
        </w:tc>
        <w:tc>
          <w:tcPr>
            <w:tcW w:type="dxa" w:w="4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(3,595,200 + 722,500) ÷ 9,410 = 4,317,700 ÷ 9,410</w:t>
            </w:r>
          </w:p>
        </w:tc>
        <w:tc>
          <w:tcPr>
            <w:tcW w:type="dxa" w:w="2026"/>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458.84</w:t>
            </w:r>
          </w:p>
        </w:tc>
      </w:tr>
    </w:tbl>
    <w:p>
      <w:pPr>
        <w:spacing w:after="60" w:line="276"/>
      </w:pPr>
      <w:r>
        <w:rPr>
          <w:rFonts w:ascii="Calibri" w:cs="Calibri" w:eastAsia="Calibri" w:hAnsi="Calibri"/>
          <w:sz w:val="21"/>
          <w:szCs w:val="21"/>
        </w:rPr>
        <w:t xml:space="preserve"/>
      </w:r>
    </w:p>
    <w:tbl>
      <w:tblPr>
        <w:tblW w:type="dxa" w:w="9026"/>
        <w:tblBorders>
          <w:top w:val="single" w:color="BFBFBF" w:sz="4"/>
          <w:left w:val="single" w:color="BF8F00" w:sz="24"/>
          <w:bottom w:val="single" w:color="BFBFBF" w:sz="4"/>
          <w:right w:val="single" w:color="BFBFBF" w:sz="4"/>
          <w:insideH w:val="single" w:color="BFBFBF" w:sz="4"/>
          <w:insideV w:val="single" w:color="BFBFBF" w:sz="4"/>
        </w:tblBorders>
      </w:tblPr>
      <w:tblGrid>
        <w:gridCol w:w="9026"/>
      </w:tblGrid>
      <w:tr>
        <w:tc>
          <w:tcPr>
            <w:tcW w:type="dxa" w:w="9026"/>
            <w:shd w:fill="EDF2FA" w:val="clear"/>
            <w:tcMar>
              <w:top w:type="dxa" w:w="100"/>
              <w:left w:type="dxa" w:w="160"/>
              <w:bottom w:type="dxa" w:w="100"/>
              <w:right w:type="dxa" w:w="160"/>
            </w:tcMar>
          </w:tcPr>
          <w:p>
            <w:pPr>
              <w:spacing w:after="60"/>
            </w:pPr>
            <w:r>
              <w:rPr>
                <w:rFonts w:ascii="Calibri" w:cs="Calibri" w:eastAsia="Calibri" w:hAnsi="Calibri"/>
                <w:b/>
                <w:bCs/>
                <w:color w:val="BF8F00"/>
                <w:sz w:val="21"/>
                <w:szCs w:val="21"/>
              </w:rPr>
              <w:t xml:space="preserve">Why split reporting is mandatory</w:t>
            </w:r>
          </w:p>
          <w:p>
            <w:pPr>
              <w:spacing w:after="40" w:line="264"/>
            </w:pPr>
            <w:r>
              <w:rPr>
                <w:rFonts w:ascii="Calibri" w:cs="Calibri" w:eastAsia="Calibri" w:hAnsi="Calibri"/>
                <w:sz w:val="20"/>
                <w:szCs w:val="20"/>
              </w:rPr>
              <w:t xml:space="preserve">The basement costs 850 $/m² — roughly double a typical floor. If you publish only the blended 458.84, this project looks 9% more expensive than the no-basement school at 420.00, and someone will wrongly conclude the building got costlier. Split reporting shows the truth: the above-ground building is IDENTICAL at 420.00; the basement is a separate, expensive component. Blended is for portfolio comparison; split is for understanding.</w:t>
            </w:r>
          </w:p>
        </w:tc>
      </w:tr>
    </w:tbl>
    <w:p>
      <w:pPr>
        <w:pStyle w:val="Heading3"/>
        <w:spacing w:after="100" w:before="220"/>
      </w:pPr>
      <w:r>
        <w:rPr>
          <w:rFonts w:ascii="Calibri" w:cs="Calibri" w:eastAsia="Calibri" w:hAnsi="Calibri"/>
          <w:b/>
          <w:bCs/>
          <w:color w:val="1F3864"/>
          <w:sz w:val="22"/>
          <w:szCs w:val="22"/>
        </w:rPr>
        <w:t xml:space="preserve">Step 3 — Prelims apportionment between the split lines</w:t>
      </w:r>
    </w:p>
    <w:p>
      <w:pPr>
        <w:spacing w:after="120" w:line="276"/>
      </w:pPr>
      <w:r>
        <w:rPr>
          <w:rFonts w:ascii="Calibri" w:cs="Calibri" w:eastAsia="Calibri" w:hAnsi="Calibri"/>
          <w:sz w:val="21"/>
          <w:szCs w:val="21"/>
        </w:rPr>
        <w:t xml:space="preserve">Shared preliminaries (site establishment, supervision, cranage) serve BOTH the tower and the basement. In Steps 1–2 above, all prelims sat inside the above-ground line for simplicity. Where a precise split is required — sub-budgets, basement-decision analysis — apportion shared prelims PRO-RATA BY DIRECT COST: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2F2F2" w:val="clear"/>
            <w:tcMar>
              <w:top w:type="dxa" w:w="100"/>
              <w:left w:type="dxa" w:w="160"/>
              <w:bottom w:type="dxa" w:w="100"/>
              <w:right w:type="dxa" w:w="160"/>
            </w:tcMar>
          </w:tcPr>
          <w:p>
            <w:pPr>
              <w:spacing w:after="20"/>
            </w:pPr>
            <w:r>
              <w:rPr>
                <w:rFonts w:ascii="Consolas" w:cs="Consolas" w:eastAsia="Consolas" w:hAnsi="Consolas"/>
                <w:color w:val="333333"/>
                <w:sz w:val="19"/>
                <w:szCs w:val="19"/>
              </w:rPr>
              <w:t xml:space="preserve">Above-ground prelims share = Total shared prelims × (DC_above ÷ DC_total)</w:t>
            </w:r>
          </w:p>
          <w:p>
            <w:pPr>
              <w:spacing w:after="20"/>
            </w:pPr>
            <w:r>
              <w:rPr>
                <w:rFonts w:ascii="Consolas" w:cs="Consolas" w:eastAsia="Consolas" w:hAnsi="Consolas"/>
                <w:color w:val="333333"/>
                <w:sz w:val="19"/>
                <w:szCs w:val="19"/>
              </w:rPr>
              <w:t xml:space="preserve"/>
            </w:r>
          </w:p>
          <w:p>
            <w:pPr>
              <w:spacing w:after="20"/>
            </w:pPr>
            <w:r>
              <w:rPr>
                <w:rFonts w:ascii="Consolas" w:cs="Consolas" w:eastAsia="Consolas" w:hAnsi="Consolas"/>
                <w:color w:val="333333"/>
                <w:sz w:val="19"/>
                <w:szCs w:val="19"/>
              </w:rPr>
              <w:t xml:space="preserve">Shared prelims 171,200;  DC_above 3,424,000;  DC_basement 722,500;  DC_total 4,146,500</w:t>
            </w:r>
          </w:p>
          <w:p>
            <w:pPr>
              <w:spacing w:after="20"/>
            </w:pPr>
            <w:r>
              <w:rPr>
                <w:rFonts w:ascii="Consolas" w:cs="Consolas" w:eastAsia="Consolas" w:hAnsi="Consolas"/>
                <w:color w:val="333333"/>
                <w:sz w:val="19"/>
                <w:szCs w:val="19"/>
              </w:rPr>
              <w:t xml:space="preserve">Above share    = 171,200 × 3,424,000 ÷ 4,146,500 = 141,372</w:t>
            </w:r>
          </w:p>
          <w:p>
            <w:pPr>
              <w:spacing w:after="20"/>
            </w:pPr>
            <w:r>
              <w:rPr>
                <w:rFonts w:ascii="Consolas" w:cs="Consolas" w:eastAsia="Consolas" w:hAnsi="Consolas"/>
                <w:color w:val="333333"/>
                <w:sz w:val="19"/>
                <w:szCs w:val="19"/>
              </w:rPr>
              <w:t xml:space="preserve">Basement share = 171,200 − 141,372               =  29,828</w:t>
            </w:r>
          </w:p>
        </w:tc>
      </w:tr>
    </w:tbl>
    <w:p>
      <w:pPr>
        <w:spacing w:after="60" w:line="276"/>
      </w:pPr>
      <w:r>
        <w:rPr>
          <w:rFonts w:ascii="Calibri" w:cs="Calibri" w:eastAsia="Calibri" w:hAnsi="Calibri"/>
          <w:sz w:val="21"/>
          <w:szCs w:val="21"/>
        </w:rP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600"/>
        <w:gridCol w:w="2026"/>
      </w:tblGrid>
      <w:tr>
        <w:trPr>
          <w:tblHeader/>
        </w:trPr>
        <w:tc>
          <w:tcPr>
            <w:tcW w:type="dxa" w:w="34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Refined split line</w:t>
            </w:r>
          </w:p>
        </w:tc>
        <w:tc>
          <w:tcPr>
            <w:tcW w:type="dxa" w:w="36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Calculation</w:t>
            </w:r>
          </w:p>
        </w:tc>
        <w:tc>
          <w:tcPr>
            <w:tcW w:type="dxa" w:w="20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$/m²</w:t>
            </w:r>
          </w:p>
        </w:tc>
      </w:tr>
      <w:tr>
        <w:tc>
          <w:tcPr>
            <w:tcW w:type="dxa" w:w="3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Above-ground incl. prelims share</w:t>
            </w:r>
          </w:p>
        </w:tc>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(3,424,000 + 141,372) ÷ 8,560</w:t>
            </w:r>
          </w:p>
        </w:tc>
        <w:tc>
          <w:tcPr>
            <w:tcW w:type="dxa" w:w="20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416.52</w:t>
            </w:r>
          </w:p>
        </w:tc>
      </w:tr>
      <w:tr>
        <w:tc>
          <w:tcPr>
            <w:tcW w:type="dxa" w:w="34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Basement incl. prelims share</w:t>
            </w:r>
          </w:p>
        </w:tc>
        <w:tc>
          <w:tcPr>
            <w:tcW w:type="dxa" w:w="36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(722,500 + 29,828) ÷ 850</w:t>
            </w:r>
          </w:p>
        </w:tc>
        <w:tc>
          <w:tcPr>
            <w:tcW w:type="dxa" w:w="20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885.09</w:t>
            </w:r>
          </w:p>
        </w:tc>
      </w:tr>
      <w:tr>
        <w:tc>
          <w:tcPr>
            <w:tcW w:type="dxa" w:w="34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Blended (unchanged)</w:t>
            </w:r>
          </w:p>
        </w:tc>
        <w:tc>
          <w:tcPr>
            <w:tcW w:type="dxa" w:w="36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4,317,700 ÷ 9,410</w:t>
            </w:r>
          </w:p>
        </w:tc>
        <w:tc>
          <w:tcPr>
            <w:tcW w:type="dxa" w:w="2026"/>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458.84</w:t>
            </w:r>
          </w:p>
        </w:tc>
      </w:tr>
    </w:tbl>
    <w:p>
      <w:pPr>
        <w:spacing w:after="120" w:line="276"/>
      </w:pPr>
      <w:r>
        <w:rPr>
          <w:rFonts w:ascii="Calibri" w:cs="Calibri" w:eastAsia="Calibri" w:hAnsi="Calibri"/>
          <w:i/>
          <w:iCs/>
          <w:color w:val="595959"/>
          <w:sz w:val="21"/>
          <w:szCs w:val="21"/>
        </w:rPr>
        <w:t xml:space="preserve">Apportionment moves cost BETWEEN the split lines only — the blended figure never changes. Use the simple presentation (Step 2) for routine summaries and the refined split (Step 3) when the basement decision itself is being analysed.</w:t>
      </w:r>
    </w:p>
    <w:p>
      <w:pPr>
        <w:pStyle w:val="Heading1"/>
        <w:spacing w:after="160" w:before="360"/>
      </w:pPr>
      <w:r>
        <w:rPr>
          <w:rFonts w:ascii="Calibri" w:cs="Calibri" w:eastAsia="Calibri" w:hAnsi="Calibri"/>
          <w:b/>
          <w:bCs/>
          <w:color w:val="1F3864"/>
          <w:sz w:val="32"/>
          <w:szCs w:val="32"/>
        </w:rPr>
        <w:t xml:space="preserve">8. Case C — External Works</w:t>
      </w:r>
    </w:p>
    <w:p>
      <w:pPr>
        <w:spacing w:after="120" w:line="276"/>
      </w:pPr>
      <w:r>
        <w:rPr>
          <w:rFonts w:ascii="Calibri" w:cs="Calibri" w:eastAsia="Calibri" w:hAnsi="Calibri"/>
          <w:sz w:val="21"/>
          <w:szCs w:val="21"/>
        </w:rPr>
        <w:t xml:space="preserve">Site area 4,500 m² (title deed). External works: boundary wall, internal road &amp; parking, storm drainage, landscaping, guard house = $180,000.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2F2F2" w:val="clear"/>
            <w:tcMar>
              <w:top w:type="dxa" w:w="100"/>
              <w:left w:type="dxa" w:w="160"/>
              <w:bottom w:type="dxa" w:w="100"/>
              <w:right w:type="dxa" w:w="160"/>
            </w:tcMar>
          </w:tcPr>
          <w:p>
            <w:pPr>
              <w:spacing w:after="20"/>
            </w:pPr>
            <w:r>
              <w:rPr>
                <w:rFonts w:ascii="Consolas" w:cs="Consolas" w:eastAsia="Consolas" w:hAnsi="Consolas"/>
                <w:color w:val="333333"/>
                <w:sz w:val="19"/>
                <w:szCs w:val="19"/>
              </w:rPr>
              <w:t xml:space="preserve">External works $/m2 (site) = 180,000 ÷ 4,500 = $40.00 /m2 of site</w:t>
            </w:r>
          </w:p>
          <w:p>
            <w:pPr>
              <w:spacing w:after="20"/>
            </w:pPr>
            <w:r>
              <w:rPr>
                <w:rFonts w:ascii="Consolas" w:cs="Consolas" w:eastAsia="Consolas" w:hAnsi="Consolas"/>
                <w:color w:val="333333"/>
                <w:sz w:val="19"/>
                <w:szCs w:val="19"/>
              </w:rPr>
              <w:t xml:space="preserve">WRONG:  adding 180,000 into the building numerator</w:t>
            </w:r>
          </w:p>
          <w:p>
            <w:pPr>
              <w:spacing w:after="20"/>
            </w:pPr>
            <w:r>
              <w:rPr>
                <w:rFonts w:ascii="Consolas" w:cs="Consolas" w:eastAsia="Consolas" w:hAnsi="Consolas"/>
                <w:color w:val="333333"/>
                <w:sz w:val="19"/>
                <w:szCs w:val="19"/>
              </w:rPr>
              <w:t xml:space="preserve">        (4,317,700 + 180,000) ÷ 9,410 = 477.97  ← NOT the building benchmark</w:t>
            </w:r>
          </w:p>
        </w:tc>
      </w:tr>
    </w:tbl>
    <w:p>
      <w:pPr>
        <w:spacing w:after="60" w:line="276"/>
      </w:pPr>
      <w:r>
        <w:rPr>
          <w:rFonts w:ascii="Calibri" w:cs="Calibri" w:eastAsia="Calibri" w:hAnsi="Calibri"/>
          <w:sz w:val="21"/>
          <w:szCs w:val="21"/>
        </w:rPr>
        <w:t xml:space="preserve"/>
      </w:r>
    </w:p>
    <w:p>
      <w:pPr>
        <w:pStyle w:val="ListParagraph"/>
        <w:numPr>
          <w:ilvl w:val="0"/>
          <w:numId w:val="2"/>
        </w:numPr>
        <w:spacing w:after="60" w:line="276"/>
      </w:pPr>
      <w:r>
        <w:rPr>
          <w:rFonts w:ascii="Calibri" w:cs="Calibri" w:eastAsia="Calibri" w:hAnsi="Calibri"/>
          <w:sz w:val="21"/>
          <w:szCs w:val="21"/>
        </w:rPr>
        <w:t xml:space="preserve">External works relate to the land, not the floor plates. A small building on a large site would be unfairly penalized if external cost divided by GFA.</w:t>
      </w:r>
    </w:p>
    <w:p>
      <w:pPr>
        <w:pStyle w:val="ListParagraph"/>
        <w:numPr>
          <w:ilvl w:val="0"/>
          <w:numId w:val="2"/>
        </w:numPr>
        <w:spacing w:after="60" w:line="276"/>
      </w:pPr>
      <w:r>
        <w:rPr>
          <w:rFonts w:ascii="Calibri" w:cs="Calibri" w:eastAsia="Calibri" w:hAnsi="Calibri"/>
          <w:sz w:val="21"/>
          <w:szCs w:val="21"/>
        </w:rPr>
        <w:t xml:space="preserve">The 477.97 all-in figure MAY be shown as a memo line labelled “whole project ÷ GFA” — but never as “building $/m²”, and never used to benchmark against building-only figures.</w:t>
      </w:r>
    </w:p>
    <w:p>
      <w:r>
        <w:br w:type="page"/>
      </w:r>
    </w:p>
    <w:p>
      <w:pPr>
        <w:pStyle w:val="Heading1"/>
        <w:spacing w:after="160" w:before="360"/>
      </w:pPr>
      <w:r>
        <w:rPr>
          <w:rFonts w:ascii="Calibri" w:cs="Calibri" w:eastAsia="Calibri" w:hAnsi="Calibri"/>
          <w:b/>
          <w:bCs/>
          <w:color w:val="1F3864"/>
          <w:sz w:val="32"/>
          <w:szCs w:val="32"/>
        </w:rPr>
        <w:t xml:space="preserve">9. Case D — Combined Project &amp; the Standard Final Cost Summary</w:t>
      </w:r>
    </w:p>
    <w:p>
      <w:pPr>
        <w:spacing w:after="120" w:line="276"/>
      </w:pPr>
      <w:r>
        <w:rPr>
          <w:rFonts w:ascii="Calibri" w:cs="Calibri" w:eastAsia="Calibri" w:hAnsi="Calibri"/>
          <w:sz w:val="21"/>
          <w:szCs w:val="21"/>
        </w:rPr>
        <w:t xml:space="preserve">The full project = Case B building + Case C external works. Total contract $4,497,700. Every project cost summary issued from DCOS must follow this exact format:</w:t>
      </w:r>
    </w:p>
    <w:p>
      <w:pPr>
        <w:pStyle w:val="Heading3"/>
        <w:spacing w:after="100" w:before="220"/>
      </w:pPr>
      <w:r>
        <w:rPr>
          <w:rFonts w:ascii="Calibri" w:cs="Calibri" w:eastAsia="Calibri" w:hAnsi="Calibri"/>
          <w:b/>
          <w:bCs/>
          <w:color w:val="1F3864"/>
          <w:sz w:val="22"/>
          <w:szCs w:val="22"/>
        </w:rPr>
        <w:t xml:space="preserve">STANDARD FINAL COST SUMMARY (mandatory format)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700"/>
        <w:gridCol w:w="1700"/>
        <w:gridCol w:w="1700"/>
        <w:gridCol w:w="1226"/>
      </w:tblGrid>
      <w:tr>
        <w:trPr>
          <w:tblHeader/>
        </w:trPr>
        <w:tc>
          <w:tcPr>
            <w:tcW w:type="dxa" w:w="7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No.</w:t>
            </w:r>
          </w:p>
        </w:tc>
        <w:tc>
          <w:tcPr>
            <w:tcW w:type="dxa" w:w="37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Description</w:t>
            </w:r>
          </w:p>
        </w:tc>
        <w:tc>
          <w:tcPr>
            <w:tcW w:type="dxa" w:w="17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Cost (USD)</w:t>
            </w:r>
          </w:p>
        </w:tc>
        <w:tc>
          <w:tcPr>
            <w:tcW w:type="dxa" w:w="17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Denominator</w:t>
            </w:r>
          </w:p>
        </w:tc>
        <w:tc>
          <w:tcPr>
            <w:tcW w:type="dxa" w:w="12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$/m²</w:t>
            </w:r>
          </w:p>
        </w:tc>
      </w:tr>
      <w:tr>
        <w:tc>
          <w:tcPr>
            <w:tcW w:type="dxa" w:w="7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w:t>
            </w:r>
          </w:p>
        </w:tc>
        <w:tc>
          <w:tcPr>
            <w:tcW w:type="dxa" w:w="37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Building works — above ground</w:t>
            </w:r>
          </w:p>
        </w:tc>
        <w:tc>
          <w:tcPr>
            <w:tcW w:type="dxa" w:w="17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3,595,200</w:t>
            </w:r>
          </w:p>
        </w:tc>
        <w:tc>
          <w:tcPr>
            <w:tcW w:type="dxa" w:w="17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8,560 m² GFA</w:t>
            </w:r>
          </w:p>
        </w:tc>
        <w:tc>
          <w:tcPr>
            <w:tcW w:type="dxa" w:w="1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420.00</w:t>
            </w:r>
          </w:p>
        </w:tc>
      </w:tr>
      <w:tr>
        <w:tc>
          <w:tcPr>
            <w:tcW w:type="dxa" w:w="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2</w:t>
            </w:r>
          </w:p>
        </w:tc>
        <w:tc>
          <w:tcPr>
            <w:tcW w:type="dxa" w:w="3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Building works — basement</w:t>
            </w:r>
          </w:p>
        </w:tc>
        <w:tc>
          <w:tcPr>
            <w:tcW w:type="dxa" w:w="1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722,500</w:t>
            </w:r>
          </w:p>
        </w:tc>
        <w:tc>
          <w:tcPr>
            <w:tcW w:type="dxa" w:w="1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850 m² GFA</w:t>
            </w:r>
          </w:p>
        </w:tc>
        <w:tc>
          <w:tcPr>
            <w:tcW w:type="dxa" w:w="12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850.00</w:t>
            </w:r>
          </w:p>
        </w:tc>
      </w:tr>
      <w:tr>
        <w:tc>
          <w:tcPr>
            <w:tcW w:type="dxa" w:w="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A</w:t>
            </w:r>
          </w:p>
        </w:tc>
        <w:tc>
          <w:tcPr>
            <w:tcW w:type="dxa" w:w="3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Building subtotal (blended)</w:t>
            </w:r>
          </w:p>
        </w:tc>
        <w:tc>
          <w:tcPr>
            <w:tcW w:type="dxa" w:w="1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4,317,700</w:t>
            </w:r>
          </w:p>
        </w:tc>
        <w:tc>
          <w:tcPr>
            <w:tcW w:type="dxa" w:w="1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9,410 m² GFA</w:t>
            </w:r>
          </w:p>
        </w:tc>
        <w:tc>
          <w:tcPr>
            <w:tcW w:type="dxa" w:w="1226"/>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458.84</w:t>
            </w:r>
          </w:p>
        </w:tc>
      </w:tr>
      <w:tr>
        <w:tc>
          <w:tcPr>
            <w:tcW w:type="dxa" w:w="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3</w:t>
            </w:r>
          </w:p>
        </w:tc>
        <w:tc>
          <w:tcPr>
            <w:tcW w:type="dxa" w:w="3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External works</w:t>
            </w:r>
          </w:p>
        </w:tc>
        <w:tc>
          <w:tcPr>
            <w:tcW w:type="dxa" w:w="1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180,000</w:t>
            </w:r>
          </w:p>
        </w:tc>
        <w:tc>
          <w:tcPr>
            <w:tcW w:type="dxa" w:w="1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4,500 m² site</w:t>
            </w:r>
          </w:p>
        </w:tc>
        <w:tc>
          <w:tcPr>
            <w:tcW w:type="dxa" w:w="12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40.00</w:t>
            </w:r>
          </w:p>
        </w:tc>
      </w:tr>
      <w:tr>
        <w:tc>
          <w:tcPr>
            <w:tcW w:type="dxa" w:w="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B</w:t>
            </w:r>
          </w:p>
        </w:tc>
        <w:tc>
          <w:tcPr>
            <w:tcW w:type="dxa" w:w="3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TOTAL CONTRACT</w:t>
            </w:r>
          </w:p>
        </w:tc>
        <w:tc>
          <w:tcPr>
            <w:tcW w:type="dxa" w:w="1700"/>
            <w:tcMar>
              <w:top w:type="dxa" w:w="60"/>
              <w:left w:type="dxa" w:w="100"/>
              <w:bottom w:type="dxa" w:w="60"/>
              <w:right w:type="dxa" w:w="100"/>
            </w:tcMar>
          </w:tcPr>
          <w:p>
            <w:pPr>
              <w:spacing w:after="20"/>
            </w:pPr>
            <w:r>
              <w:rPr>
                <w:rFonts w:ascii="Calibri" w:cs="Calibri" w:eastAsia="Calibri" w:hAnsi="Calibri"/>
                <w:b/>
                <w:bCs/>
                <w:color w:val="000000"/>
                <w:sz w:val="20"/>
                <w:szCs w:val="20"/>
              </w:rPr>
              <w:t xml:space="preserve">4,497,700</w:t>
            </w:r>
          </w:p>
        </w:tc>
        <w:tc>
          <w:tcPr>
            <w:tcW w:type="dxa" w:w="17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w:t>
            </w:r>
          </w:p>
        </w:tc>
        <w:tc>
          <w:tcPr>
            <w:tcW w:type="dxa" w:w="1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w:t>
            </w:r>
          </w:p>
        </w:tc>
      </w:tr>
      <w:tr>
        <w:tc>
          <w:tcPr>
            <w:tcW w:type="dxa" w:w="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memo</w:t>
            </w:r>
          </w:p>
        </w:tc>
        <w:tc>
          <w:tcPr>
            <w:tcW w:type="dxa" w:w="3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Whole project ÷ GFA (memo only — not a benchmark)</w:t>
            </w:r>
          </w:p>
        </w:tc>
        <w:tc>
          <w:tcPr>
            <w:tcW w:type="dxa" w:w="1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4,497,700</w:t>
            </w:r>
          </w:p>
        </w:tc>
        <w:tc>
          <w:tcPr>
            <w:tcW w:type="dxa" w:w="17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9,410 m² GFA</w:t>
            </w:r>
          </w:p>
        </w:tc>
        <w:tc>
          <w:tcPr>
            <w:tcW w:type="dxa" w:w="12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477.97</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Below the summary, attach the elemental table (Section 6 Step 3 format) computed on GFA total, state the GFA convention reference “Areas per DCOS-QS-GDL-001”, and print the mandatory basis footnote from §5.1. Client-facing versions show sell-side costs only, per the firewall rule (SOP-QS-05A / RPT-001 G7).</w:t>
      </w:r>
    </w:p>
    <w:p>
      <w:pPr>
        <w:pStyle w:val="Heading3"/>
        <w:spacing w:after="100" w:before="220"/>
      </w:pPr>
      <w:r>
        <w:rPr>
          <w:rFonts w:ascii="Calibri" w:cs="Calibri" w:eastAsia="Calibri" w:hAnsi="Calibri"/>
          <w:b/>
          <w:bCs/>
          <w:color w:val="1F3864"/>
          <w:sz w:val="22"/>
          <w:szCs w:val="22"/>
        </w:rPr>
        <w:t xml:space="preserve">Reading the summary — what each line answers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rPr>
          <w:tblHeader/>
        </w:trPr>
        <w:tc>
          <w:tcPr>
            <w:tcW w:type="dxa" w:w="22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Line</w:t>
            </w:r>
          </w:p>
        </w:tc>
        <w:tc>
          <w:tcPr>
            <w:tcW w:type="dxa" w:w="68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Question it answers</w:t>
            </w:r>
          </w:p>
        </w:tc>
      </w:tr>
      <w:tr>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Line 1 (420.00)</w:t>
            </w:r>
          </w:p>
        </w:tc>
        <w:tc>
          <w:tcPr>
            <w:tcW w:type="dxa" w:w="68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Is this building's construction economical? Compare with other above-ground buildings of the same type.</w:t>
            </w:r>
          </w:p>
        </w:tc>
      </w:tr>
      <w:tr>
        <w:tc>
          <w:tcPr>
            <w:tcW w:type="dxa" w:w="22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Line 2 (850.00)</w:t>
            </w:r>
          </w:p>
        </w:tc>
        <w:tc>
          <w:tcPr>
            <w:tcW w:type="dxa" w:w="68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What did going underground cost us? Compare basement decisions across projects.</w:t>
            </w:r>
          </w:p>
        </w:tc>
      </w:tr>
      <w:tr>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Line A (458.84)</w:t>
            </w:r>
          </w:p>
        </w:tc>
        <w:tc>
          <w:tcPr>
            <w:tcW w:type="dxa" w:w="68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Portfolio blended rate — for company-wide $/m² statistics.</w:t>
            </w:r>
          </w:p>
        </w:tc>
      </w:tr>
      <w:tr>
        <w:tc>
          <w:tcPr>
            <w:tcW w:type="dxa" w:w="22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Line 3 (40.00)</w:t>
            </w:r>
          </w:p>
        </w:tc>
        <w:tc>
          <w:tcPr>
            <w:tcW w:type="dxa" w:w="68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Site development intensity — compare against site area, not building size.</w:t>
            </w:r>
          </w:p>
        </w:tc>
      </w:tr>
      <w:tr>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Memo (477.97)</w:t>
            </w:r>
          </w:p>
        </w:tc>
        <w:tc>
          <w:tcPr>
            <w:tcW w:type="dxa" w:w="68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Answering a director who asks “total divided by area” — labelled so it is never mistaken for the building benchmark.</w:t>
            </w:r>
          </w:p>
        </w:tc>
      </w:tr>
    </w:tbl>
    <w:p>
      <w:pPr>
        <w:pStyle w:val="Heading1"/>
        <w:spacing w:after="160" w:before="360"/>
      </w:pPr>
      <w:r>
        <w:rPr>
          <w:rFonts w:ascii="Calibri" w:cs="Calibri" w:eastAsia="Calibri" w:hAnsi="Calibri"/>
          <w:b/>
          <w:bCs/>
          <w:color w:val="1F3864"/>
          <w:sz w:val="32"/>
          <w:szCs w:val="32"/>
        </w:rPr>
        <w:t xml:space="preserve">10. Common Mistakes &amp; Validation Checklist</w:t>
      </w:r>
    </w:p>
    <w:p>
      <w:pPr>
        <w:pStyle w:val="Heading3"/>
        <w:spacing w:after="100" w:before="220"/>
      </w:pPr>
      <w:r>
        <w:rPr>
          <w:rFonts w:ascii="Calibri" w:cs="Calibri" w:eastAsia="Calibri" w:hAnsi="Calibri"/>
          <w:b/>
          <w:bCs/>
          <w:color w:val="1F3864"/>
          <w:sz w:val="22"/>
          <w:szCs w:val="22"/>
        </w:rPr>
        <w:t xml:space="preserve">The five classic mistakes</w:t>
      </w:r>
    </w:p>
    <w:p>
      <w:pPr>
        <w:pStyle w:val="ListParagraph"/>
        <w:numPr>
          <w:ilvl w:val="0"/>
          <w:numId w:val="3"/>
        </w:numPr>
        <w:spacing w:after="70" w:line="276"/>
      </w:pPr>
      <w:r>
        <w:rPr>
          <w:rFonts w:ascii="Calibri" w:cs="Calibri" w:eastAsia="Calibri" w:hAnsi="Calibri"/>
          <w:b/>
          <w:bCs/>
          <w:sz w:val="21"/>
          <w:szCs w:val="21"/>
        </w:rPr>
        <w:t xml:space="preserve">Counting foundations or roof structure as area.</w:t>
      </w:r>
      <w:r>
        <w:rPr>
          <w:rFonts w:ascii="Calibri" w:cs="Calibri" w:eastAsia="Calibri" w:hAnsi="Calibri"/>
          <w:sz w:val="21"/>
          <w:szCs w:val="21"/>
        </w:rPr>
        <w:t xml:space="preserve"> They are cost, not floor plate — 0% area, full cost ÷ GFA total.</w:t>
      </w:r>
    </w:p>
    <w:p>
      <w:pPr>
        <w:pStyle w:val="ListParagraph"/>
        <w:numPr>
          <w:ilvl w:val="0"/>
          <w:numId w:val="3"/>
        </w:numPr>
        <w:spacing w:after="70" w:line="276"/>
      </w:pPr>
      <w:r>
        <w:rPr>
          <w:rFonts w:ascii="Calibri" w:cs="Calibri" w:eastAsia="Calibri" w:hAnsi="Calibri"/>
          <w:b/>
          <w:bCs/>
          <w:sz w:val="21"/>
          <w:szCs w:val="21"/>
        </w:rPr>
        <w:t xml:space="preserve">Blending the basement silently.</w:t>
      </w:r>
      <w:r>
        <w:rPr>
          <w:rFonts w:ascii="Calibri" w:cs="Calibri" w:eastAsia="Calibri" w:hAnsi="Calibri"/>
          <w:sz w:val="21"/>
          <w:szCs w:val="21"/>
        </w:rPr>
        <w:t xml:space="preserve"> Always report split + blended; a blended-only figure misleads every comparison.</w:t>
      </w:r>
    </w:p>
    <w:p>
      <w:pPr>
        <w:pStyle w:val="ListParagraph"/>
        <w:numPr>
          <w:ilvl w:val="0"/>
          <w:numId w:val="3"/>
        </w:numPr>
        <w:spacing w:after="70" w:line="276"/>
      </w:pPr>
      <w:r>
        <w:rPr>
          <w:rFonts w:ascii="Calibri" w:cs="Calibri" w:eastAsia="Calibri" w:hAnsi="Calibri"/>
          <w:b/>
          <w:bCs/>
          <w:sz w:val="21"/>
          <w:szCs w:val="21"/>
        </w:rPr>
        <w:t xml:space="preserve">Dividing external works by GFA.</w:t>
      </w:r>
      <w:r>
        <w:rPr>
          <w:rFonts w:ascii="Calibri" w:cs="Calibri" w:eastAsia="Calibri" w:hAnsi="Calibri"/>
          <w:sz w:val="21"/>
          <w:szCs w:val="21"/>
        </w:rPr>
        <w:t xml:space="preserve"> External works ÷ Site Area, always.</w:t>
      </w:r>
    </w:p>
    <w:p>
      <w:pPr>
        <w:pStyle w:val="ListParagraph"/>
        <w:numPr>
          <w:ilvl w:val="0"/>
          <w:numId w:val="3"/>
        </w:numPr>
        <w:spacing w:after="70" w:line="276"/>
      </w:pPr>
      <w:r>
        <w:rPr>
          <w:rFonts w:ascii="Calibri" w:cs="Calibri" w:eastAsia="Calibri" w:hAnsi="Calibri"/>
          <w:b/>
          <w:bCs/>
          <w:sz w:val="21"/>
          <w:szCs w:val="21"/>
        </w:rPr>
        <w:t xml:space="preserve">Deriving GFA from BOQ or room areas.</w:t>
      </w:r>
      <w:r>
        <w:rPr>
          <w:rFonts w:ascii="Calibri" w:cs="Calibri" w:eastAsia="Calibri" w:hAnsi="Calibri"/>
          <w:sz w:val="21"/>
          <w:szCs w:val="21"/>
        </w:rPr>
        <w:t xml:space="preserve"> GFA is measured from floor plans to the outside face — room sums miss walls, shafts, circulation.</w:t>
      </w:r>
    </w:p>
    <w:p>
      <w:pPr>
        <w:pStyle w:val="ListParagraph"/>
        <w:numPr>
          <w:ilvl w:val="0"/>
          <w:numId w:val="3"/>
        </w:numPr>
        <w:spacing w:after="70" w:line="276"/>
      </w:pPr>
      <w:r>
        <w:rPr>
          <w:rFonts w:ascii="Calibri" w:cs="Calibri" w:eastAsia="Calibri" w:hAnsi="Calibri"/>
          <w:b/>
          <w:bCs/>
          <w:sz w:val="21"/>
          <w:szCs w:val="21"/>
        </w:rPr>
        <w:t xml:space="preserve">Changing GFA without revision control.</w:t>
      </w:r>
      <w:r>
        <w:rPr>
          <w:rFonts w:ascii="Calibri" w:cs="Calibri" w:eastAsia="Calibri" w:hAnsi="Calibri"/>
          <w:sz w:val="21"/>
          <w:szCs w:val="21"/>
        </w:rPr>
        <w:t xml:space="preserve"> A GFA edit silently changes every historical-looking benchmark. Revise with reason; snapshots keep their original GFA.</w:t>
      </w:r>
    </w:p>
    <w:p>
      <w:pPr>
        <w:pStyle w:val="Heading3"/>
        <w:spacing w:after="100" w:before="220"/>
      </w:pPr>
      <w:r>
        <w:rPr>
          <w:rFonts w:ascii="Calibri" w:cs="Calibri" w:eastAsia="Calibri" w:hAnsi="Calibri"/>
          <w:b/>
          <w:bCs/>
          <w:color w:val="1F3864"/>
          <w:sz w:val="22"/>
          <w:szCs w:val="22"/>
        </w:rPr>
        <w:t xml:space="preserve">Checklist before issuing any $/m² figure</w:t>
      </w:r>
    </w:p>
    <w:p>
      <w:pPr>
        <w:pStyle w:val="ListParagraph"/>
        <w:numPr>
          <w:ilvl w:val="0"/>
          <w:numId w:val="2"/>
        </w:numPr>
        <w:spacing w:after="60" w:line="276"/>
      </w:pPr>
      <w:r>
        <w:rPr>
          <w:rFonts w:ascii="Calibri" w:cs="Calibri" w:eastAsia="Calibri" w:hAnsi="Calibri"/>
          <w:sz w:val="21"/>
          <w:szCs w:val="21"/>
        </w:rPr>
        <w:t xml:space="preserve">GFA entered per level, from the current drawing revision, convention table applied and noted.</w:t>
      </w:r>
    </w:p>
    <w:p>
      <w:pPr>
        <w:pStyle w:val="ListParagraph"/>
        <w:numPr>
          <w:ilvl w:val="0"/>
          <w:numId w:val="2"/>
        </w:numPr>
        <w:spacing w:after="60" w:line="276"/>
      </w:pPr>
      <w:r>
        <w:rPr>
          <w:rFonts w:ascii="Calibri" w:cs="Calibri" w:eastAsia="Calibri" w:hAnsi="Calibri"/>
          <w:sz w:val="21"/>
          <w:szCs w:val="21"/>
        </w:rPr>
        <w:t xml:space="preserve">Basement levels flagged; above/below split available.</w:t>
      </w:r>
    </w:p>
    <w:p>
      <w:pPr>
        <w:pStyle w:val="ListParagraph"/>
        <w:numPr>
          <w:ilvl w:val="0"/>
          <w:numId w:val="2"/>
        </w:numPr>
        <w:spacing w:after="60" w:line="276"/>
      </w:pPr>
      <w:r>
        <w:rPr>
          <w:rFonts w:ascii="Calibri" w:cs="Calibri" w:eastAsia="Calibri" w:hAnsi="Calibri"/>
          <w:sz w:val="21"/>
          <w:szCs w:val="21"/>
        </w:rPr>
        <w:t xml:space="preserve">Site area entered at project node with source (title deed / survey ref).</w:t>
      </w:r>
    </w:p>
    <w:p>
      <w:pPr>
        <w:pStyle w:val="ListParagraph"/>
        <w:numPr>
          <w:ilvl w:val="0"/>
          <w:numId w:val="2"/>
        </w:numPr>
        <w:spacing w:after="60" w:line="276"/>
      </w:pPr>
      <w:r>
        <w:rPr>
          <w:rFonts w:ascii="Calibri" w:cs="Calibri" w:eastAsia="Calibri" w:hAnsi="Calibri"/>
          <w:sz w:val="21"/>
          <w:szCs w:val="21"/>
        </w:rPr>
        <w:t xml:space="preserve">External works WBS branch excluded from building numerator.</w:t>
      </w:r>
    </w:p>
    <w:p>
      <w:pPr>
        <w:pStyle w:val="ListParagraph"/>
        <w:numPr>
          <w:ilvl w:val="0"/>
          <w:numId w:val="2"/>
        </w:numPr>
        <w:spacing w:after="60" w:line="276"/>
      </w:pPr>
      <w:r>
        <w:rPr>
          <w:rFonts w:ascii="Calibri" w:cs="Calibri" w:eastAsia="Calibri" w:hAnsi="Calibri"/>
          <w:sz w:val="21"/>
          <w:szCs w:val="21"/>
        </w:rPr>
        <w:t xml:space="preserve">No level has cost &gt; 0 with GFA = 0 (DCOS warns — do not ignore the warning).</w:t>
      </w:r>
    </w:p>
    <w:p>
      <w:pPr>
        <w:pStyle w:val="ListParagraph"/>
        <w:numPr>
          <w:ilvl w:val="0"/>
          <w:numId w:val="2"/>
        </w:numPr>
        <w:spacing w:after="60" w:line="276"/>
      </w:pPr>
      <w:r>
        <w:rPr>
          <w:rFonts w:ascii="Calibri" w:cs="Calibri" w:eastAsia="Calibri" w:hAnsi="Calibri"/>
          <w:sz w:val="21"/>
          <w:szCs w:val="21"/>
        </w:rPr>
        <w:t xml:space="preserve">Summary follows the Section 9 mandatory format; convention reference cited.</w:t>
      </w:r>
    </w:p>
    <w:p>
      <w:pPr>
        <w:pStyle w:val="ListParagraph"/>
        <w:numPr>
          <w:ilvl w:val="0"/>
          <w:numId w:val="2"/>
        </w:numPr>
        <w:spacing w:after="60" w:line="276"/>
      </w:pPr>
      <w:r>
        <w:rPr>
          <w:rFonts w:ascii="Calibri" w:cs="Calibri" w:eastAsia="Calibri" w:hAnsi="Calibri"/>
          <w:sz w:val="21"/>
          <w:szCs w:val="21"/>
        </w:rPr>
        <w:t xml:space="preserve">Client version contains sell-side figures only (firewall check).</w:t>
      </w:r>
    </w:p>
    <w:p>
      <w:pPr>
        <w:pStyle w:val="Heading1"/>
        <w:spacing w:after="160" w:before="360"/>
      </w:pPr>
      <w:r>
        <w:rPr>
          <w:rFonts w:ascii="Calibri" w:cs="Calibri" w:eastAsia="Calibri" w:hAnsi="Calibri"/>
          <w:b/>
          <w:bCs/>
          <w:color w:val="1F3864"/>
          <w:sz w:val="32"/>
          <w:szCs w:val="32"/>
        </w:rPr>
        <w:t xml:space="preserve">11. Entering the Data in DCOS</w:t>
      </w:r>
    </w:p>
    <w:p>
      <w:pPr>
        <w:pStyle w:val="ListParagraph"/>
        <w:numPr>
          <w:ilvl w:val="0"/>
          <w:numId w:val="4"/>
        </w:numPr>
        <w:spacing w:after="70" w:line="276"/>
      </w:pPr>
      <w:r>
        <w:rPr>
          <w:rFonts w:ascii="Calibri" w:cs="Calibri" w:eastAsia="Calibri" w:hAnsi="Calibri"/>
          <w:sz w:val="21"/>
          <w:szCs w:val="21"/>
        </w:rPr>
        <w:t xml:space="preserve">Open the WBS tree → select each </w:t>
      </w:r>
      <w:r>
        <w:rPr>
          <w:rFonts w:ascii="Calibri" w:cs="Calibri" w:eastAsia="Calibri" w:hAnsi="Calibri"/>
          <w:b/>
          <w:bCs/>
          <w:sz w:val="21"/>
          <w:szCs w:val="21"/>
        </w:rPr>
        <w:t xml:space="preserve">Level</w:t>
      </w:r>
      <w:r>
        <w:rPr>
          <w:rFonts w:ascii="Calibri" w:cs="Calibri" w:eastAsia="Calibri" w:hAnsi="Calibri"/>
          <w:sz w:val="21"/>
          <w:szCs w:val="21"/>
        </w:rPr>
        <w:t xml:space="preserve"> node → Quantities panel → add metric </w:t>
      </w:r>
      <w:r>
        <w:rPr>
          <w:rFonts w:ascii="Consolas" w:cs="Consolas" w:eastAsia="Consolas" w:hAnsi="Consolas"/>
          <w:sz w:val="21"/>
          <w:szCs w:val="21"/>
        </w:rPr>
        <w:t xml:space="preserve">GFA</w:t>
      </w:r>
      <w:r>
        <w:rPr>
          <w:rFonts w:ascii="Calibri" w:cs="Calibri" w:eastAsia="Calibri" w:hAnsi="Calibri"/>
          <w:sz w:val="21"/>
          <w:szCs w:val="21"/>
        </w:rPr>
        <w:t xml:space="preserve"> with value (m²), source = drawing revision reference.</w:t>
      </w:r>
    </w:p>
    <w:p>
      <w:pPr>
        <w:pStyle w:val="ListParagraph"/>
        <w:numPr>
          <w:ilvl w:val="0"/>
          <w:numId w:val="4"/>
        </w:numPr>
        <w:spacing w:after="70" w:line="276"/>
      </w:pPr>
      <w:r>
        <w:rPr>
          <w:rFonts w:ascii="Calibri" w:cs="Calibri" w:eastAsia="Calibri" w:hAnsi="Calibri"/>
          <w:sz w:val="21"/>
          <w:szCs w:val="21"/>
        </w:rPr>
        <w:t xml:space="preserve">Basement levels: ensure the node is typed/flagged as below-ground so the split reports automatically.</w:t>
      </w:r>
    </w:p>
    <w:p>
      <w:pPr>
        <w:pStyle w:val="ListParagraph"/>
        <w:numPr>
          <w:ilvl w:val="0"/>
          <w:numId w:val="4"/>
        </w:numPr>
        <w:spacing w:after="70" w:line="276"/>
      </w:pPr>
      <w:r>
        <w:rPr>
          <w:rFonts w:ascii="Calibri" w:cs="Calibri" w:eastAsia="Calibri" w:hAnsi="Calibri"/>
          <w:sz w:val="21"/>
          <w:szCs w:val="21"/>
        </w:rPr>
        <w:t xml:space="preserve">Roof-level enclosed rooms: enter their 60 m² (etc.) as GFA on the roof level node — the open deck is simply not entered.</w:t>
      </w:r>
    </w:p>
    <w:p>
      <w:pPr>
        <w:pStyle w:val="ListParagraph"/>
        <w:numPr>
          <w:ilvl w:val="0"/>
          <w:numId w:val="4"/>
        </w:numPr>
        <w:spacing w:after="70" w:line="276"/>
      </w:pPr>
      <w:r>
        <w:rPr>
          <w:rFonts w:ascii="Calibri" w:cs="Calibri" w:eastAsia="Calibri" w:hAnsi="Calibri"/>
          <w:sz w:val="21"/>
          <w:szCs w:val="21"/>
        </w:rPr>
        <w:t xml:space="preserve">Select the </w:t>
      </w:r>
      <w:r>
        <w:rPr>
          <w:rFonts w:ascii="Calibri" w:cs="Calibri" w:eastAsia="Calibri" w:hAnsi="Calibri"/>
          <w:b/>
          <w:bCs/>
          <w:sz w:val="21"/>
          <w:szCs w:val="21"/>
        </w:rPr>
        <w:t xml:space="preserve">Project</w:t>
      </w:r>
      <w:r>
        <w:rPr>
          <w:rFonts w:ascii="Calibri" w:cs="Calibri" w:eastAsia="Calibri" w:hAnsi="Calibri"/>
          <w:sz w:val="21"/>
          <w:szCs w:val="21"/>
        </w:rPr>
        <w:t xml:space="preserve"> node → add metric </w:t>
      </w:r>
      <w:r>
        <w:rPr>
          <w:rFonts w:ascii="Consolas" w:cs="Consolas" w:eastAsia="Consolas" w:hAnsi="Consolas"/>
          <w:sz w:val="21"/>
          <w:szCs w:val="21"/>
        </w:rPr>
        <w:t xml:space="preserve">SITE_AREA</w:t>
      </w:r>
      <w:r>
        <w:rPr>
          <w:rFonts w:ascii="Calibri" w:cs="Calibri" w:eastAsia="Calibri" w:hAnsi="Calibri"/>
          <w:sz w:val="21"/>
          <w:szCs w:val="21"/>
        </w:rPr>
        <w:t xml:space="preserve"> with the title-deed area and source reference.</w:t>
      </w:r>
    </w:p>
    <w:p>
      <w:pPr>
        <w:pStyle w:val="ListParagraph"/>
        <w:numPr>
          <w:ilvl w:val="0"/>
          <w:numId w:val="4"/>
        </w:numPr>
        <w:spacing w:after="70" w:line="276"/>
      </w:pPr>
      <w:r>
        <w:rPr>
          <w:rFonts w:ascii="Calibri" w:cs="Calibri" w:eastAsia="Calibri" w:hAnsi="Calibri"/>
          <w:sz w:val="21"/>
          <w:szCs w:val="21"/>
        </w:rPr>
        <w:t xml:space="preserve">Building and project GFA totals roll up automatically — parent values are read-only.</w:t>
      </w:r>
    </w:p>
    <w:p>
      <w:pPr>
        <w:pStyle w:val="ListParagraph"/>
        <w:numPr>
          <w:ilvl w:val="0"/>
          <w:numId w:val="4"/>
        </w:numPr>
        <w:spacing w:after="70" w:line="276"/>
      </w:pPr>
      <w:r>
        <w:rPr>
          <w:rFonts w:ascii="Calibri" w:cs="Calibri" w:eastAsia="Calibri" w:hAnsi="Calibri"/>
          <w:sz w:val="21"/>
          <w:szCs w:val="21"/>
        </w:rPr>
        <w:t xml:space="preserve">Design change: edit the level GFA → the system requires a reason and logs the change; existing S-curve/EVM snapshots retain their original GFA.</w:t>
      </w:r>
    </w:p>
    <w:p>
      <w:pPr>
        <w:pStyle w:val="ListParagraph"/>
        <w:numPr>
          <w:ilvl w:val="0"/>
          <w:numId w:val="4"/>
        </w:numPr>
        <w:spacing w:after="70" w:line="276"/>
      </w:pPr>
      <w:r>
        <w:rPr>
          <w:rFonts w:ascii="Calibri" w:cs="Calibri" w:eastAsia="Calibri" w:hAnsi="Calibri"/>
          <w:sz w:val="21"/>
          <w:szCs w:val="21"/>
        </w:rPr>
        <w:t xml:space="preserve">The QS Dashboard “Cost/m²” card and the Final Cost Summary report (RPT series) read ONLY these entered values — if the card shows “no area data”, the input above is missing.</w:t>
      </w:r>
    </w:p>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i/>
          <w:iCs/>
          <w:color w:val="595959"/>
          <w:sz w:val="21"/>
          <w:szCs w:val="21"/>
        </w:rPr>
        <w:t xml:space="preserve">System reference: metrics are stored in wbs_node_quantities (metric_code GFA / SITE_AREA); feature specification FS-QS-012 in DDS-001 V2.0.</w:t>
      </w:r>
    </w:p>
    <w:p>
      <w:pPr>
        <w:pStyle w:val="Heading1"/>
        <w:spacing w:after="160" w:before="360"/>
      </w:pPr>
      <w:r>
        <w:rPr>
          <w:rFonts w:ascii="Calibri" w:cs="Calibri" w:eastAsia="Calibri" w:hAnsi="Calibri"/>
          <w:b/>
          <w:bCs/>
          <w:color w:val="1F3864"/>
          <w:sz w:val="32"/>
          <w:szCs w:val="32"/>
        </w:rPr>
        <w:t xml:space="preserve">12. Approval &amp; Revision</w:t>
      </w:r>
    </w:p>
    <w:p>
      <w:pPr>
        <w:spacing w:after="120" w:line="276"/>
      </w:pPr>
      <w:r>
        <w:rPr>
          <w:rFonts w:ascii="Calibri" w:cs="Calibri" w:eastAsia="Calibri" w:hAnsi="Calibri"/>
          <w:sz w:val="21"/>
          <w:szCs w:val="21"/>
        </w:rPr>
        <w:t xml:space="preserve">The 50% balcony treatment, void rules, and split-reporting mandate are HOUSE DECISIONS. They bind all staff once approved below. Amendments follow document control (new version, reason, re-approval).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200"/>
        <w:gridCol w:w="2200"/>
        <w:gridCol w:w="1226"/>
      </w:tblGrid>
      <w:tr>
        <w:trPr>
          <w:tblHeader/>
        </w:trPr>
        <w:tc>
          <w:tcPr>
            <w:tcW w:type="dxa" w:w="34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c>
          <w:tcPr>
            <w:tcW w:type="dxa" w:w="22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Name</w:t>
            </w:r>
          </w:p>
        </w:tc>
        <w:tc>
          <w:tcPr>
            <w:tcW w:type="dxa" w:w="22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Signature</w:t>
            </w:r>
          </w:p>
        </w:tc>
        <w:tc>
          <w:tcPr>
            <w:tcW w:type="dxa" w:w="12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Date</w:t>
            </w:r>
          </w:p>
        </w:tc>
      </w:tr>
      <w:tr>
        <w:tc>
          <w:tcPr>
            <w:tcW w:type="dxa" w:w="3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QS Manager (convention authority)</w:t>
            </w:r>
          </w:p>
        </w:tc>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c>
          <w:tcPr>
            <w:tcW w:type="dxa" w:w="1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r>
      <w:tr>
        <w:tc>
          <w:tcPr>
            <w:tcW w:type="dxa" w:w="34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Commercial Director (approver)</w:t>
            </w:r>
          </w:p>
        </w:tc>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c>
          <w:tcPr>
            <w:tcW w:type="dxa" w:w="22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c>
          <w:tcPr>
            <w:tcW w:type="dxa" w:w="12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
            </w:r>
          </w:p>
        </w:tc>
      </w:tr>
    </w:tbl>
    <w:p>
      <w:pPr>
        <w:spacing w:after="120" w:line="276"/>
      </w:pPr>
      <w:r>
        <w:rPr>
          <w:rFonts w:ascii="Calibri" w:cs="Calibri" w:eastAsia="Calibri" w:hAnsi="Calibri"/>
          <w:sz w:val="21"/>
          <w:szCs w:val="21"/>
        </w:rP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500"/>
        <w:gridCol w:w="4500"/>
        <w:gridCol w:w="1726"/>
      </w:tblGrid>
      <w:tr>
        <w:trPr>
          <w:tblHeader/>
        </w:trPr>
        <w:tc>
          <w:tcPr>
            <w:tcW w:type="dxa" w:w="13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Version</w:t>
            </w:r>
          </w:p>
        </w:tc>
        <w:tc>
          <w:tcPr>
            <w:tcW w:type="dxa" w:w="15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Date</w:t>
            </w:r>
          </w:p>
        </w:tc>
        <w:tc>
          <w:tcPr>
            <w:tcW w:type="dxa" w:w="4500"/>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Description</w:t>
            </w:r>
          </w:p>
        </w:tc>
        <w:tc>
          <w:tcPr>
            <w:tcW w:type="dxa" w:w="1726"/>
            <w:shd w:fill="1F3864"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Author</w:t>
            </w:r>
          </w:p>
        </w:tc>
      </w:tr>
      <w:tr>
        <w:tc>
          <w:tcPr>
            <w:tcW w:type="dxa" w:w="13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V1.0</w:t>
            </w:r>
          </w:p>
        </w:tc>
        <w:tc>
          <w:tcPr>
            <w:tcW w:type="dxa" w:w="15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2026-07-16</w:t>
            </w:r>
          </w:p>
        </w:tc>
        <w:tc>
          <w:tcPr>
            <w:tcW w:type="dxa" w:w="4500"/>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Initial issue — GFA/site conventions, cost allocation rules, worked Cases A–D, standard final cost summary format, DCOS entry procedure</w:t>
            </w:r>
          </w:p>
        </w:tc>
        <w:tc>
          <w:tcPr>
            <w:tcW w:type="dxa" w:w="1726"/>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DCOS Commercial Team</w:t>
            </w:r>
          </w:p>
        </w:tc>
      </w:tr>
      <w:tr>
        <w:tc>
          <w:tcPr>
            <w:tcW w:type="dxa" w:w="13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V1.1</w:t>
            </w:r>
          </w:p>
        </w:tc>
        <w:tc>
          <w:tcPr>
            <w:tcW w:type="dxa" w:w="15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2026-07-16</w:t>
            </w:r>
          </w:p>
        </w:tc>
        <w:tc>
          <w:tcPr>
            <w:tcW w:type="dxa" w:w="4500"/>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Added §5.1 $/m² Basis Statement (mandatory footnote — prelims &amp; OH&amp;P included; VAT, land, fees, FF&amp;E, external works excluded; sell vs cost basis rule) and Case B Step 3 prelims apportionment pro-rata by direct cost</w:t>
            </w:r>
          </w:p>
        </w:tc>
        <w:tc>
          <w:tcPr>
            <w:tcW w:type="dxa" w:w="1726"/>
            <w:shd w:fill="EDF2FA" w:val="clear"/>
            <w:tcMar>
              <w:top w:type="dxa" w:w="60"/>
              <w:left w:type="dxa" w:w="100"/>
              <w:bottom w:type="dxa" w:w="60"/>
              <w:right w:type="dxa" w:w="100"/>
            </w:tcMar>
          </w:tcPr>
          <w:p>
            <w:pPr>
              <w:spacing w:after="20"/>
            </w:pPr>
            <w:r>
              <w:rPr>
                <w:rFonts w:ascii="Calibri" w:cs="Calibri" w:eastAsia="Calibri" w:hAnsi="Calibri"/>
                <w:b w:val="false"/>
                <w:bCs w:val="false"/>
                <w:color w:val="000000"/>
                <w:sz w:val="20"/>
                <w:szCs w:val="20"/>
              </w:rPr>
              <w:t xml:space="preserve">DCOS Commercial Team</w:t>
            </w:r>
          </w:p>
        </w:tc>
      </w:tr>
    </w:tbl>
    <w:p>
      <w:pPr>
        <w:spacing w:after="160" w:line="276"/>
      </w:pPr>
      <w:r>
        <w:rPr>
          <w:rFonts w:ascii="Calibri" w:cs="Calibri" w:eastAsia="Calibri" w:hAnsi="Calibri"/>
          <w:sz w:val="21"/>
          <w:szCs w:val="21"/>
        </w:rPr>
        <w:t xml:space="preserve"/>
      </w:r>
    </w:p>
    <w:p>
      <w:pPr>
        <w:spacing w:after="120" w:line="276"/>
        <w:jc w:val="center"/>
      </w:pPr>
      <w:r>
        <w:rPr>
          <w:rFonts w:ascii="Calibri" w:cs="Calibri" w:eastAsia="Calibri" w:hAnsi="Calibri"/>
          <w:i/>
          <w:iCs/>
          <w:color w:val="595959"/>
          <w:sz w:val="21"/>
          <w:szCs w:val="21"/>
        </w:rPr>
        <w:t xml:space="preserve">End of Document — DCOS-QS-GDL-001 V1.1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jc w:val="center"/>
    </w:pPr>
    <w:r>
      <w:rPr>
        <w:rFonts w:ascii="Calibri" w:cs="Calibri" w:eastAsia="Calibri" w:hAnsi="Calibri"/>
        <w:color w:val="595959"/>
        <w:sz w:val="17"/>
        <w:szCs w:val="17"/>
      </w:rPr>
      <w:t xml:space="preserve">Digital Construction Operating System  |  Internal Controlled Document  |  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Calibri" w:cs="Calibri" w:eastAsia="Calibri" w:hAnsi="Calibri"/>
        <w:color w:val="595959"/>
        <w:sz w:val="17"/>
        <w:szCs w:val="17"/>
      </w:rPr>
      <w:t xml:space="preserve">DCOS — GFA &amp; Cost per m² Guideline</w:t>
    </w:r>
    <w:r>
      <w:rPr>
        <w:rFonts w:ascii="Calibri" w:cs="Calibri" w:eastAsia="Calibri" w:hAnsi="Calibri"/>
        <w:color w:val="595959"/>
        <w:sz w:val="17"/>
        <w:szCs w:val="17"/>
      </w:rPr>
      <w:t xml:space="preserve">	DCOS-QS-GDL-001  |  V1.1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90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2026-07-16T09:37:45.854Z</dcterms:created>
  <dcterms:modified xsi:type="dcterms:W3CDTF">2026-07-16T09:37:45.874Z</dcterms:modified>
</cp:coreProperties>
</file>

<file path=docProps/custom.xml><?xml version="1.0" encoding="utf-8"?>
<Properties xmlns="http://schemas.openxmlformats.org/officeDocument/2006/custom-properties" xmlns:vt="http://schemas.openxmlformats.org/officeDocument/2006/docPropsVTypes"/>
</file>