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3D7F" w14:textId="77777777" w:rsidR="00AB40AB" w:rsidRDefault="00AB40AB">
      <w:pPr>
        <w:spacing w:before="2200"/>
      </w:pPr>
    </w:p>
    <w:p w14:paraId="28F9E597" w14:textId="77777777" w:rsidR="00AB40AB" w:rsidRDefault="00F13536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DCOS</w:t>
      </w:r>
    </w:p>
    <w:p w14:paraId="15E98B07" w14:textId="77777777" w:rsidR="00AB40AB" w:rsidRDefault="00F13536">
      <w:pPr>
        <w:spacing w:after="360"/>
        <w:jc w:val="center"/>
      </w:pPr>
      <w:r>
        <w:rPr>
          <w:color w:val="595959"/>
          <w:sz w:val="26"/>
          <w:szCs w:val="26"/>
        </w:rPr>
        <w:t>Digital Construction Operating System</w:t>
      </w:r>
    </w:p>
    <w:p w14:paraId="3B8755B9" w14:textId="77777777" w:rsidR="00AB40AB" w:rsidRDefault="00F13536">
      <w:pPr>
        <w:spacing w:after="80"/>
        <w:jc w:val="center"/>
      </w:pPr>
      <w:r>
        <w:rPr>
          <w:b/>
          <w:bCs/>
          <w:color w:val="2E5AAC"/>
          <w:sz w:val="44"/>
          <w:szCs w:val="44"/>
        </w:rPr>
        <w:t>GFA, Site Area &amp; Cost per m²</w:t>
      </w:r>
    </w:p>
    <w:p w14:paraId="51F06D4D" w14:textId="77777777" w:rsidR="00AB40AB" w:rsidRDefault="00F13536">
      <w:pPr>
        <w:spacing w:after="500"/>
        <w:jc w:val="center"/>
      </w:pPr>
      <w:r>
        <w:rPr>
          <w:color w:val="1F3864"/>
          <w:sz w:val="28"/>
          <w:szCs w:val="28"/>
        </w:rPr>
        <w:t>Measurement &amp; Reporting Guideline for Quantity Surveyors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B40AB" w14:paraId="5798A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0DAC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Document Ref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4C2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DCOS-QS-GDL-001</w:t>
            </w:r>
          </w:p>
        </w:tc>
      </w:tr>
      <w:tr w:rsidR="00AB40AB" w14:paraId="1F888F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294A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AE8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V1.0 — Initial Issue</w:t>
            </w:r>
          </w:p>
        </w:tc>
      </w:tr>
      <w:tr w:rsidR="00AB40AB" w14:paraId="0BAC3B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9B4F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Related Documents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162B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SOP-QS-001 R3; DCOS-QS-DDS-001 V2.0; DCOS-QS-RPT-001; Measurement Rules (Ch.1 = this convention)</w:t>
            </w:r>
          </w:p>
        </w:tc>
      </w:tr>
      <w:tr w:rsidR="00AB40AB" w14:paraId="62A385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FD34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A68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2026-07-16</w:t>
            </w:r>
          </w:p>
        </w:tc>
      </w:tr>
      <w:tr w:rsidR="00AB40AB" w14:paraId="701522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CD95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AB3D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(convention authority) / Commercial Director (approval)</w:t>
            </w:r>
          </w:p>
        </w:tc>
      </w:tr>
      <w:tr w:rsidR="00AB40AB" w14:paraId="59BB1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515C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Applies To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1A2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All QS Engineers, Estimators, and anyone producing a cost/m² figure in DCOS</w:t>
            </w:r>
          </w:p>
        </w:tc>
      </w:tr>
      <w:tr w:rsidR="00AB40AB" w14:paraId="04D6E7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41EA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A99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Internal — Controlled Document</w:t>
            </w:r>
          </w:p>
        </w:tc>
      </w:tr>
    </w:tbl>
    <w:p w14:paraId="43776DEC" w14:textId="77777777" w:rsidR="00AB40AB" w:rsidRDefault="00F13536">
      <w:r>
        <w:br w:type="page"/>
      </w:r>
    </w:p>
    <w:p w14:paraId="57C0CFF9" w14:textId="77777777" w:rsidR="00AB40AB" w:rsidRDefault="00F13536">
      <w:pPr>
        <w:pStyle w:val="Heading1"/>
        <w:spacing w:before="360" w:after="160"/>
      </w:pPr>
      <w:bookmarkStart w:id="0" w:name="_Toc235089645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1386152829"/>
      </w:sdtPr>
      <w:sdtEndPr>
        <w:rPr>
          <w:szCs w:val="21"/>
        </w:rPr>
      </w:sdtEndPr>
      <w:sdtContent>
        <w:p w14:paraId="1AF76A1D" w14:textId="4CD19296" w:rsidR="00E67711" w:rsidRDefault="00F1353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089645" w:history="1">
            <w:r w:rsidR="00E67711" w:rsidRPr="00AA1B21">
              <w:rPr>
                <w:rStyle w:val="Hyperlink"/>
                <w:b/>
                <w:bCs/>
                <w:noProof/>
              </w:rPr>
              <w:t>Table of Contents</w:t>
            </w:r>
            <w:r w:rsidR="00E67711">
              <w:rPr>
                <w:noProof/>
              </w:rPr>
              <w:tab/>
            </w:r>
            <w:r w:rsidR="00E67711">
              <w:rPr>
                <w:noProof/>
              </w:rPr>
              <w:fldChar w:fldCharType="begin"/>
            </w:r>
            <w:r w:rsidR="00E67711">
              <w:rPr>
                <w:noProof/>
              </w:rPr>
              <w:instrText xml:space="preserve"> PAGEREF _Toc235089645 \h </w:instrText>
            </w:r>
            <w:r w:rsidR="00E67711">
              <w:rPr>
                <w:noProof/>
              </w:rPr>
            </w:r>
            <w:r w:rsidR="00E67711">
              <w:rPr>
                <w:noProof/>
              </w:rPr>
              <w:fldChar w:fldCharType="separate"/>
            </w:r>
            <w:r w:rsidR="00E67711">
              <w:rPr>
                <w:noProof/>
              </w:rPr>
              <w:t>2</w:t>
            </w:r>
            <w:r w:rsidR="00E67711">
              <w:rPr>
                <w:noProof/>
              </w:rPr>
              <w:fldChar w:fldCharType="end"/>
            </w:r>
          </w:hyperlink>
        </w:p>
        <w:p w14:paraId="20AE882B" w14:textId="3C29F031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46" w:history="1">
            <w:r w:rsidRPr="00AA1B21">
              <w:rPr>
                <w:rStyle w:val="Hyperlink"/>
                <w:b/>
                <w:bCs/>
                <w:noProof/>
              </w:rPr>
              <w:t>1. Purpose &amp; Rule of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AAA4D9" w14:textId="336BA76D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47" w:history="1">
            <w:r w:rsidRPr="00AA1B21">
              <w:rPr>
                <w:rStyle w:val="Hyperlink"/>
                <w:b/>
                <w:bCs/>
                <w:noProof/>
              </w:rPr>
              <w:t>2.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8300C2" w14:textId="3866BBB2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48" w:history="1">
            <w:r w:rsidRPr="00AA1B21">
              <w:rPr>
                <w:rStyle w:val="Hyperlink"/>
                <w:b/>
                <w:bCs/>
                <w:noProof/>
              </w:rPr>
              <w:t>3. GFA Measurement Convention (House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C0E9D9" w14:textId="78185592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49" w:history="1">
            <w:r w:rsidRPr="00AA1B21">
              <w:rPr>
                <w:rStyle w:val="Hyperlink"/>
                <w:b/>
                <w:bCs/>
                <w:noProof/>
              </w:rPr>
              <w:t>4. Site Area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D7D55E" w14:textId="5256C702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0" w:history="1">
            <w:r w:rsidRPr="00AA1B21">
              <w:rPr>
                <w:rStyle w:val="Hyperlink"/>
                <w:b/>
                <w:bCs/>
                <w:noProof/>
              </w:rPr>
              <w:t>5. Cost Allocation Rules — What Divides by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213F15" w14:textId="1571D8A2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1" w:history="1">
            <w:r w:rsidRPr="00AA1B21">
              <w:rPr>
                <w:rStyle w:val="Hyperlink"/>
                <w:b/>
                <w:bCs/>
                <w:noProof/>
              </w:rPr>
              <w:t>6. Case A — Building WITHOUT Basement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7DCA7D" w14:textId="7E67FEBB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2" w:history="1">
            <w:r w:rsidRPr="00AA1B21">
              <w:rPr>
                <w:rStyle w:val="Hyperlink"/>
                <w:b/>
                <w:bCs/>
                <w:noProof/>
              </w:rPr>
              <w:t>7. Case B — Building WITH Basement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CE10A7" w14:textId="14A2B393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3" w:history="1">
            <w:r w:rsidRPr="00AA1B21">
              <w:rPr>
                <w:rStyle w:val="Hyperlink"/>
                <w:b/>
                <w:bCs/>
                <w:noProof/>
              </w:rPr>
              <w:t>8. Case C — External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619815" w14:textId="006702B8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4" w:history="1">
            <w:r w:rsidRPr="00AA1B21">
              <w:rPr>
                <w:rStyle w:val="Hyperlink"/>
                <w:b/>
                <w:bCs/>
                <w:noProof/>
              </w:rPr>
              <w:t>9. Case D — Combined Project &amp; the Standard Final Cost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142710" w14:textId="506D44F6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5" w:history="1">
            <w:r w:rsidRPr="00AA1B21">
              <w:rPr>
                <w:rStyle w:val="Hyperlink"/>
                <w:b/>
                <w:bCs/>
                <w:noProof/>
              </w:rPr>
              <w:t>10. Common Mistakes &amp; Validation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2B4496" w14:textId="68695BA3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6" w:history="1">
            <w:r w:rsidRPr="00AA1B21">
              <w:rPr>
                <w:rStyle w:val="Hyperlink"/>
                <w:b/>
                <w:bCs/>
                <w:noProof/>
              </w:rPr>
              <w:t>11. Entering the Data in DCOS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F31C09" w14:textId="2DAE27D6" w:rsidR="00E67711" w:rsidRDefault="00E6771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89657" w:history="1">
            <w:r w:rsidRPr="00AA1B21">
              <w:rPr>
                <w:rStyle w:val="Hyperlink"/>
                <w:b/>
                <w:bCs/>
                <w:noProof/>
              </w:rPr>
              <w:t>12. Approval &amp; Revision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8774B0" w14:textId="77777777" w:rsidR="00AB40AB" w:rsidRDefault="00F13536">
          <w:r>
            <w:fldChar w:fldCharType="end"/>
          </w:r>
        </w:p>
      </w:sdtContent>
    </w:sdt>
    <w:p w14:paraId="54946199" w14:textId="77777777" w:rsidR="00AB40AB" w:rsidRDefault="00F13536">
      <w:r>
        <w:br w:type="page"/>
      </w:r>
    </w:p>
    <w:p w14:paraId="5B71065E" w14:textId="77777777" w:rsidR="00AB40AB" w:rsidRDefault="00F13536">
      <w:pPr>
        <w:pStyle w:val="Heading1"/>
        <w:spacing w:before="360" w:after="160"/>
      </w:pPr>
      <w:bookmarkStart w:id="1" w:name="_Toc235089646"/>
      <w:r>
        <w:rPr>
          <w:b/>
          <w:bCs/>
          <w:color w:val="1F3864"/>
        </w:rPr>
        <w:lastRenderedPageBreak/>
        <w:t>1. Purpose &amp; Rule of Use</w:t>
      </w:r>
      <w:bookmarkEnd w:id="1"/>
    </w:p>
    <w:p w14:paraId="1A0E318C" w14:textId="77777777" w:rsidR="00AB40AB" w:rsidRDefault="00F13536">
      <w:pPr>
        <w:spacing w:after="120" w:line="276" w:lineRule="auto"/>
      </w:pPr>
      <w:r>
        <w:t>Cost per square metre ($/m²) is the most-used benchmark in construction: it sanity-checks a tender, compares projects, and is the number every client and director asks for first. But $/m² is only meaningful if everyone measures the</w:t>
      </w:r>
      <w:r>
        <w:t xml:space="preserve"> same way. Two QS engineers using different area conventions will report different $/m² for the same building — and both will look wrong.</w:t>
      </w:r>
    </w:p>
    <w:p w14:paraId="2D8F82D4" w14:textId="77777777" w:rsidR="00AB40AB" w:rsidRDefault="00F13536">
      <w:pPr>
        <w:spacing w:after="120" w:line="276" w:lineRule="auto"/>
      </w:pPr>
      <w:r>
        <w:t xml:space="preserve">This guideline fixes ONE house convention for measuring Gross Floor Area (GFA) and Site Area, and ONE standard method </w:t>
      </w:r>
      <w:r>
        <w:t>for allocating cost to each, so every DCOS cost summary is comparable across projects, years, and staff.</w:t>
      </w:r>
    </w:p>
    <w:tbl>
      <w:tblPr>
        <w:tblW w:w="9026" w:type="dxa"/>
        <w:tblBorders>
          <w:top w:val="single" w:sz="4" w:space="0" w:color="BFBFBF"/>
          <w:left w:val="single" w:sz="24" w:space="0" w:color="1F3864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0AB" w14:paraId="4C0728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AD6FA" w14:textId="77777777" w:rsidR="00AB40AB" w:rsidRDefault="00F13536">
            <w:pPr>
              <w:spacing w:after="60"/>
            </w:pPr>
            <w:r>
              <w:rPr>
                <w:b/>
                <w:bCs/>
                <w:color w:val="1F3864"/>
              </w:rPr>
              <w:t>The Governing Principle</w:t>
            </w:r>
          </w:p>
          <w:p w14:paraId="50363E77" w14:textId="77777777" w:rsidR="00AB40AB" w:rsidRDefault="00F13536">
            <w:pPr>
              <w:spacing w:after="40" w:line="264" w:lineRule="auto"/>
            </w:pPr>
            <w:r>
              <w:rPr>
                <w:sz w:val="20"/>
                <w:szCs w:val="20"/>
              </w:rPr>
              <w:t>GFA measures FLOOR PLATES, not cost items. Piles have cost but no floor — they divide by the building's GFA. A roof has area bu</w:t>
            </w:r>
            <w:r>
              <w:rPr>
                <w:sz w:val="20"/>
                <w:szCs w:val="20"/>
              </w:rPr>
              <w:t>t no floor — its cost also divides by GFA. External works have neither building cost nor building floor — they divide by SITE AREA and never enter the building $/m².</w:t>
            </w:r>
          </w:p>
        </w:tc>
      </w:tr>
    </w:tbl>
    <w:p w14:paraId="49AE9AAE" w14:textId="77777777" w:rsidR="00AB40AB" w:rsidRDefault="00AB40AB">
      <w:pPr>
        <w:spacing w:after="60" w:line="276" w:lineRule="auto"/>
      </w:pPr>
    </w:p>
    <w:p w14:paraId="4A70D828" w14:textId="77777777" w:rsidR="00AB40AB" w:rsidRDefault="00F13536">
      <w:pPr>
        <w:spacing w:after="120" w:line="276" w:lineRule="auto"/>
      </w:pPr>
      <w:r>
        <w:rPr>
          <w:b/>
          <w:bCs/>
        </w:rPr>
        <w:t>Rule of use: no cost/m² figure may be issued in a tender review, management report, or c</w:t>
      </w:r>
      <w:r>
        <w:rPr>
          <w:b/>
          <w:bCs/>
        </w:rPr>
        <w:t>lient document unless it is calculated per this guideline. Deviations require QS Manager approval recorded in writing.</w:t>
      </w:r>
    </w:p>
    <w:p w14:paraId="6621534A" w14:textId="77777777" w:rsidR="00AB40AB" w:rsidRDefault="00F13536">
      <w:pPr>
        <w:pStyle w:val="Heading1"/>
        <w:spacing w:before="360" w:after="160"/>
      </w:pPr>
      <w:bookmarkStart w:id="2" w:name="_Toc235089647"/>
      <w:r>
        <w:rPr>
          <w:b/>
          <w:bCs/>
          <w:color w:val="1F3864"/>
        </w:rPr>
        <w:t>2. Definitions</w:t>
      </w:r>
      <w:bookmarkEnd w:id="2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B40AB" w14:paraId="0E8B3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3924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EC33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B40AB" w14:paraId="6BE55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F4A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(Gross Floor Area)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524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area of all counted floor plates, measured to the OUTSIDE face of external walls, per the convention in Section 3. Includes internal walls, columns, circulation, and shafts.</w:t>
            </w:r>
          </w:p>
        </w:tc>
      </w:tr>
      <w:tr w:rsidR="00AB40AB" w14:paraId="2CEF01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6E3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above ground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7A5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of all floors at or above ground level, including counted roof-level rooms.</w:t>
            </w:r>
          </w:p>
        </w:tc>
      </w:tr>
      <w:tr w:rsidR="00AB40AB" w14:paraId="26D142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681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basement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C16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of all floors below ground level. Always recorded separately from above-ground GFA.</w:t>
            </w:r>
          </w:p>
        </w:tc>
      </w:tr>
      <w:tr w:rsidR="00AB40AB" w14:paraId="75414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40F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total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808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above ground + GFA basement.</w:t>
            </w:r>
          </w:p>
        </w:tc>
      </w:tr>
      <w:tr w:rsidR="00AB40AB" w14:paraId="6D3CB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93AD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Site Area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368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land area of the project site within the legal boundary, per title/survey plan.</w:t>
            </w:r>
          </w:p>
        </w:tc>
      </w:tr>
      <w:tr w:rsidR="00AB40AB" w14:paraId="61159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C2B2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Building footprint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980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Ground-level area covered by the building. Used for site coverage checks — NOT a cost denominator.</w:t>
            </w:r>
          </w:p>
        </w:tc>
      </w:tr>
      <w:tr w:rsidR="00AB40AB" w14:paraId="66D89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C1F2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Building cost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209B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Contract cost of the building works only — excludes external works and land.</w:t>
            </w:r>
          </w:p>
        </w:tc>
      </w:tr>
      <w:tr w:rsidR="00AB40AB" w14:paraId="6D81C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CF92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External works cost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E99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of works outside the building line: roads, boundary, drainage, landscape, guard house, site utilities.</w:t>
            </w:r>
          </w:p>
        </w:tc>
      </w:tr>
      <w:tr w:rsidR="00AB40AB" w14:paraId="10DB1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DBC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Elemental cost/m²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CD7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Cost of one trade/element (substructure, frame, finishes, MEP...) ÷ GFA total.</w:t>
            </w:r>
          </w:p>
        </w:tc>
      </w:tr>
      <w:tr w:rsidR="00AB40AB" w14:paraId="78A99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84A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Blended $/m²</w:t>
            </w:r>
          </w:p>
        </w:tc>
        <w:tc>
          <w:tcPr>
            <w:tcW w:w="6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4A6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Total building cost ÷ GFA total (basement mixed in).</w:t>
            </w:r>
          </w:p>
        </w:tc>
      </w:tr>
      <w:tr w:rsidR="00AB40AB" w14:paraId="0C275D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0C7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Split $/m²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8C9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Above-ground cost ÷ above-ground GFA reported separately from basement cost ÷ basement GFA.</w:t>
            </w:r>
          </w:p>
        </w:tc>
      </w:tr>
    </w:tbl>
    <w:p w14:paraId="5D3B5091" w14:textId="77777777" w:rsidR="00AB40AB" w:rsidRDefault="00F13536">
      <w:pPr>
        <w:pStyle w:val="Heading1"/>
        <w:spacing w:before="360" w:after="160"/>
      </w:pPr>
      <w:bookmarkStart w:id="3" w:name="_Toc235089648"/>
      <w:r>
        <w:rPr>
          <w:b/>
          <w:bCs/>
          <w:color w:val="1F3864"/>
        </w:rPr>
        <w:lastRenderedPageBreak/>
        <w:t>3. GFA Measurement Convention (House Rules)</w:t>
      </w:r>
      <w:bookmarkEnd w:id="3"/>
    </w:p>
    <w:p w14:paraId="478EACAF" w14:textId="77777777" w:rsidR="00AB40AB" w:rsidRDefault="00F13536">
      <w:pPr>
        <w:spacing w:after="120" w:line="276" w:lineRule="auto"/>
      </w:pPr>
      <w:r>
        <w:t>Measure each floor plate from the architectural floor plans to the OUTSIDE face of external walls. Then apply the inclusion table: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00"/>
        <w:gridCol w:w="4126"/>
      </w:tblGrid>
      <w:tr w:rsidR="00AB40AB" w14:paraId="74F56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7F87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4299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Count in GFA</w:t>
            </w:r>
          </w:p>
        </w:tc>
        <w:tc>
          <w:tcPr>
            <w:tcW w:w="41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B847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AB40AB" w14:paraId="4547DD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B00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Typical enclosed floor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2A0D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E8B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Full plate to outside face of external walls</w:t>
            </w:r>
          </w:p>
        </w:tc>
      </w:tr>
      <w:tr w:rsidR="00AB40AB" w14:paraId="677C14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692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Basement floor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CE04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41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48F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Full plate — recorded as GFA basement, never mixed silently into above-ground</w:t>
            </w:r>
          </w:p>
        </w:tc>
      </w:tr>
      <w:tr w:rsidR="00AB40AB" w14:paraId="5F82D7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D03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Covered balcony / open-sided corridor / covered walkway / canopy over entrance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0142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50%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F47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Half area — covered but not enclosed</w:t>
            </w:r>
          </w:p>
        </w:tc>
      </w:tr>
      <w:tr w:rsidR="00AB40AB" w14:paraId="7B4814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201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Uncovered terrace, open roof deck, open parking on grade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619C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41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612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 enclosure — excluded</w:t>
            </w:r>
          </w:p>
        </w:tc>
      </w:tr>
      <w:tr w:rsidR="00AB40AB" w14:paraId="373AED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ED5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Lift shafts, stair cores, service risers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052E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9DD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Counted at EVERY floor they pass through</w:t>
            </w:r>
          </w:p>
        </w:tc>
      </w:tr>
      <w:tr w:rsidR="00AB40AB" w14:paraId="04454E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5CB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Double-height void (lobby, atrium, auditorium airspace)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1F16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Once</w:t>
            </w:r>
          </w:p>
        </w:tc>
        <w:tc>
          <w:tcPr>
            <w:tcW w:w="41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639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Counted once at the lowest floor; the void opening above counts 0%</w:t>
            </w:r>
          </w:p>
        </w:tc>
      </w:tr>
      <w:tr w:rsidR="00AB40AB" w14:paraId="009AE2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28C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Enclosed roof-level rooms (lift motor room, tank room, plant room, stair bulkhead)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C192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B3E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They are floor plates — count them in above-ground GFA</w:t>
            </w:r>
          </w:p>
        </w:tc>
      </w:tr>
      <w:tr w:rsidR="00AB40AB" w14:paraId="28AD65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9E0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Roof structure, waterproofing, parapets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D9AC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41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4EB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Not a floor — cost divides by GFA total</w:t>
            </w:r>
          </w:p>
        </w:tc>
      </w:tr>
      <w:tr w:rsidR="00AB40AB" w14:paraId="29B6E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EC5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Piles, pile caps, footings, ground beams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05CD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396D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Not a floor — cost shows as the Substructure elemental line ÷ GFA total</w:t>
            </w:r>
          </w:p>
        </w:tc>
      </w:tr>
      <w:tr w:rsidR="00AB40AB" w14:paraId="5AF98D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5DC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External works, boundary walls, site roads</w:t>
            </w:r>
          </w:p>
        </w:tc>
        <w:tc>
          <w:tcPr>
            <w:tcW w:w="13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8AD1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41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4BB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Different denominator — Site Area (Section 4)</w:t>
            </w:r>
          </w:p>
        </w:tc>
      </w:tr>
    </w:tbl>
    <w:p w14:paraId="32B124B8" w14:textId="77777777" w:rsidR="00AB40AB" w:rsidRDefault="00AB40AB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C00000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0AB" w14:paraId="5FA9CD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A6AF4" w14:textId="77777777" w:rsidR="00AB40AB" w:rsidRDefault="00F13536">
            <w:pPr>
              <w:spacing w:after="60"/>
            </w:pPr>
            <w:r>
              <w:rPr>
                <w:b/>
                <w:bCs/>
                <w:color w:val="C00000"/>
              </w:rPr>
              <w:t>Three Non-Negotiable Rules</w:t>
            </w:r>
          </w:p>
          <w:p w14:paraId="6645F0C0" w14:textId="77777777" w:rsidR="00AB40AB" w:rsidRDefault="00F13536">
            <w:pPr>
              <w:spacing w:after="40" w:line="264" w:lineRule="auto"/>
            </w:pPr>
            <w:r>
              <w:rPr>
                <w:sz w:val="20"/>
                <w:szCs w:val="20"/>
              </w:rPr>
              <w:t>1.  GFA is ENTERED from drawings, never derived. Do not sum it from BOQ items or room areas — room-by-room totals miss walls, circulation, and shafts.</w:t>
            </w:r>
          </w:p>
          <w:p w14:paraId="2431D4FC" w14:textId="77777777" w:rsidR="00AB40AB" w:rsidRDefault="00F13536">
            <w:pPr>
              <w:spacing w:after="40" w:line="264" w:lineRule="auto"/>
            </w:pPr>
            <w:r>
              <w:rPr>
                <w:sz w:val="20"/>
                <w:szCs w:val="20"/>
              </w:rPr>
              <w:t>2.  GFA is entered per LEVEL in DCOS and rolls up to building and project (Section 11). Parents are read-</w:t>
            </w:r>
            <w:r>
              <w:rPr>
                <w:sz w:val="20"/>
                <w:szCs w:val="20"/>
              </w:rPr>
              <w:t>only.</w:t>
            </w:r>
          </w:p>
          <w:p w14:paraId="26C49C38" w14:textId="77777777" w:rsidR="00AB40AB" w:rsidRDefault="00F13536">
            <w:pPr>
              <w:spacing w:after="40" w:line="264" w:lineRule="auto"/>
            </w:pPr>
            <w:r>
              <w:rPr>
                <w:sz w:val="20"/>
                <w:szCs w:val="20"/>
              </w:rPr>
              <w:t>3.  When the design changes (added floor, changed footprint), the GFA is revised with a reason and the change is audit-logged. Historical $/m² snapshots keep the GFA that was current at their time.</w:t>
            </w:r>
          </w:p>
        </w:tc>
      </w:tr>
    </w:tbl>
    <w:p w14:paraId="103FD027" w14:textId="77777777" w:rsidR="00AB40AB" w:rsidRDefault="00F13536">
      <w:pPr>
        <w:pStyle w:val="Heading1"/>
        <w:spacing w:before="360" w:after="160"/>
      </w:pPr>
      <w:bookmarkStart w:id="4" w:name="_Toc235089649"/>
      <w:r>
        <w:rPr>
          <w:b/>
          <w:bCs/>
          <w:color w:val="1F3864"/>
        </w:rPr>
        <w:t>4. Site Area Convention</w:t>
      </w:r>
      <w:bookmarkEnd w:id="4"/>
    </w:p>
    <w:p w14:paraId="7B211C8A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Site Area = legal land area from the title deed / survey plan, entered once at the PROJECT node.</w:t>
      </w:r>
    </w:p>
    <w:p w14:paraId="4050D910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If the contract covers only part of a larger site, use the defined works-area boundary from the contract drawings and note the source.</w:t>
      </w:r>
    </w:p>
    <w:p w14:paraId="78A40942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Site Area is the denomin</w:t>
      </w:r>
      <w:r>
        <w:t>ator for external works $/m² ONLY. It never divides building cost.</w:t>
      </w:r>
    </w:p>
    <w:p w14:paraId="48042FFF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Building footprint may be recorded for site-coverage ratio (footprint ÷ site area) but is not a cost denominator.</w:t>
      </w:r>
    </w:p>
    <w:p w14:paraId="63B22FC3" w14:textId="77777777" w:rsidR="00AB40AB" w:rsidRDefault="00F13536">
      <w:pPr>
        <w:pStyle w:val="Heading1"/>
        <w:spacing w:before="360" w:after="160"/>
      </w:pPr>
      <w:bookmarkStart w:id="5" w:name="_Toc235089650"/>
      <w:r>
        <w:rPr>
          <w:b/>
          <w:bCs/>
          <w:color w:val="1F3864"/>
        </w:rPr>
        <w:t>5. Cost Allocation Rules — What Divides by What</w:t>
      </w:r>
      <w:bookmarkEnd w:id="5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900"/>
        <w:gridCol w:w="2926"/>
      </w:tblGrid>
      <w:tr w:rsidR="00AB40AB" w14:paraId="0C535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3BC8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Cost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4FBC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Denominator</w:t>
            </w:r>
          </w:p>
        </w:tc>
        <w:tc>
          <w:tcPr>
            <w:tcW w:w="29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9E3E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Shown as</w:t>
            </w:r>
          </w:p>
        </w:tc>
      </w:tr>
      <w:tr w:rsidR="00AB40AB" w14:paraId="25F21AD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419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Building works total (incl. piling, roof, prelims share)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B87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total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83E0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Building $/m² (blended)</w:t>
            </w:r>
          </w:p>
        </w:tc>
      </w:tr>
      <w:tr w:rsidR="00AB40AB" w14:paraId="08E107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7F1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Above-ground building works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FB1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above ground</w:t>
            </w:r>
          </w:p>
        </w:tc>
        <w:tc>
          <w:tcPr>
            <w:tcW w:w="2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5162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Split reporting line 1</w:t>
            </w:r>
          </w:p>
        </w:tc>
      </w:tr>
      <w:tr w:rsidR="00AB40AB" w14:paraId="3A9EE4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622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Basement works (excavation, retaining, waterproofing, basement structure)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E26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basement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909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Split reporting line 2</w:t>
            </w:r>
          </w:p>
        </w:tc>
      </w:tr>
      <w:tr w:rsidR="00AB40AB" w14:paraId="37F63A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D9F0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Substructure (piling, pile caps, ground beams)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CB6B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total</w:t>
            </w:r>
          </w:p>
        </w:tc>
        <w:tc>
          <w:tcPr>
            <w:tcW w:w="2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8BD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Elemental line inside building $/m²</w:t>
            </w:r>
          </w:p>
        </w:tc>
      </w:tr>
      <w:tr w:rsidR="00AB40AB" w14:paraId="71C801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1AB2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Each trade/element (frame, finishes, MEP, prelims)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18F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total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E68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Elemental $/m² table</w:t>
            </w:r>
          </w:p>
        </w:tc>
      </w:tr>
      <w:tr w:rsidR="00AB40AB" w14:paraId="797030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9CE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External works</w:t>
            </w:r>
          </w:p>
        </w:tc>
        <w:tc>
          <w:tcPr>
            <w:tcW w:w="19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7A39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SITE AREA</w:t>
            </w:r>
          </w:p>
        </w:tc>
        <w:tc>
          <w:tcPr>
            <w:tcW w:w="29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C5E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External $/m² site — SEPARATE line, never inside building $/m²</w:t>
            </w:r>
          </w:p>
        </w:tc>
      </w:tr>
    </w:tbl>
    <w:p w14:paraId="5FEF0861" w14:textId="77777777" w:rsidR="00AB40AB" w:rsidRDefault="00AB40AB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0AB" w14:paraId="11559D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1660D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Building $/m2        = Building cost ÷ GFA_total</w:t>
            </w:r>
          </w:p>
          <w:p w14:paraId="4C54E161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Elemental $/m2       = Element cost  ÷ GFA_total</w:t>
            </w:r>
          </w:p>
          <w:p w14:paraId="6F572C5D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Basement $/m2        = Basement cost ÷ GFA_basement</w:t>
            </w:r>
          </w:p>
          <w:p w14:paraId="7E4DDBB9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External $/m2 (site) = External cost ÷ Site_Area</w:t>
            </w:r>
          </w:p>
          <w:p w14:paraId="0BF356CD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NEVER:  (Building + External) ÷ GFA   as the headline bui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lding benchmark</w:t>
            </w:r>
          </w:p>
        </w:tc>
      </w:tr>
    </w:tbl>
    <w:p w14:paraId="1C773732" w14:textId="77777777" w:rsidR="00AB40AB" w:rsidRDefault="00AB40AB">
      <w:pPr>
        <w:spacing w:after="60" w:line="276" w:lineRule="auto"/>
      </w:pPr>
    </w:p>
    <w:p w14:paraId="248D3E7A" w14:textId="77777777" w:rsidR="00AB40AB" w:rsidRDefault="00F13536">
      <w:pPr>
        <w:spacing w:after="120" w:line="276" w:lineRule="auto"/>
      </w:pPr>
      <w:r>
        <w:rPr>
          <w:i/>
          <w:iCs/>
          <w:color w:val="595959"/>
        </w:rPr>
        <w:t>A deep-piled project shows a HIGH substructure elemental line — that is the correct, visible signal. Hiding foundation cost by inflating area is the classic mistake this guideline exists to stop.</w:t>
      </w:r>
    </w:p>
    <w:p w14:paraId="59A28278" w14:textId="77777777" w:rsidR="00AB40AB" w:rsidRDefault="00F13536">
      <w:r>
        <w:br w:type="page"/>
      </w:r>
    </w:p>
    <w:p w14:paraId="4A741F9E" w14:textId="77777777" w:rsidR="00AB40AB" w:rsidRDefault="00F13536">
      <w:pPr>
        <w:pStyle w:val="Heading1"/>
        <w:spacing w:before="360" w:after="160"/>
      </w:pPr>
      <w:bookmarkStart w:id="6" w:name="_Toc235089651"/>
      <w:r>
        <w:rPr>
          <w:b/>
          <w:bCs/>
          <w:color w:val="1F3864"/>
        </w:rPr>
        <w:lastRenderedPageBreak/>
        <w:t>6. Case A — Building WITHOUT Basement</w:t>
      </w:r>
      <w:bookmarkEnd w:id="6"/>
    </w:p>
    <w:p w14:paraId="63EDCB0F" w14:textId="77777777" w:rsidR="00AB40AB" w:rsidRDefault="00F13536">
      <w:pPr>
        <w:spacing w:after="120" w:line="276" w:lineRule="auto"/>
      </w:pPr>
      <w:r>
        <w:t>Project: 10-storey school building. Contract for building works only = $3,595,200 (external works excluded, handled in Case C).</w:t>
      </w:r>
    </w:p>
    <w:p w14:paraId="3493F669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Step 1 — Measure GFA per level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600"/>
        <w:gridCol w:w="2026"/>
      </w:tblGrid>
      <w:tr w:rsidR="00AB40AB" w14:paraId="19F29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EC91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4906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Plate area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368F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Rule applied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DB74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Counted</w:t>
            </w:r>
          </w:p>
        </w:tc>
      </w:tr>
      <w:tr w:rsidR="00AB40AB" w14:paraId="242703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059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Ground floor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4C9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850 m²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15B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F7E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850</w:t>
            </w:r>
          </w:p>
        </w:tc>
      </w:tr>
      <w:tr w:rsidR="00AB40AB" w14:paraId="242CE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25AB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Levels 2–10 (9 floors)</w:t>
            </w:r>
          </w:p>
        </w:tc>
        <w:tc>
          <w:tcPr>
            <w:tcW w:w="1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B83D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9 × 850 m²</w:t>
            </w:r>
          </w:p>
        </w:tc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A89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9E0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7,650</w:t>
            </w:r>
          </w:p>
        </w:tc>
      </w:tr>
      <w:tr w:rsidR="00AB40AB" w14:paraId="52BD6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8EB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Roof: lift motor room + tank room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331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60 m²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B1B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Enclosed roof rooms 100%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10A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</w:tr>
      <w:tr w:rsidR="00AB40AB" w14:paraId="7F1AF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60F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Roof: open deck</w:t>
            </w:r>
          </w:p>
        </w:tc>
        <w:tc>
          <w:tcPr>
            <w:tcW w:w="1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CA9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400 m²</w:t>
            </w:r>
          </w:p>
        </w:tc>
        <w:tc>
          <w:tcPr>
            <w:tcW w:w="2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5F1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Uncovered 0%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C31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AB40AB" w14:paraId="3E621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873D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GFA above ground = GFA total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1B94" w14:textId="77777777" w:rsidR="00AB40AB" w:rsidRDefault="00AB40AB">
            <w:pPr>
              <w:spacing w:after="2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F699" w14:textId="77777777" w:rsidR="00AB40AB" w:rsidRDefault="00AB40AB">
            <w:pPr>
              <w:spacing w:after="20"/>
            </w:pP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32C3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8,560 m²</w:t>
            </w:r>
          </w:p>
        </w:tc>
      </w:tr>
    </w:tbl>
    <w:p w14:paraId="54B12B14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Step 2 — Compute the benchmark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0AB" w14:paraId="2CC55F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E84B2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Building $/m2 = 3,595,200 ÷ 8,560 = $420.00 /m2</w:t>
            </w:r>
          </w:p>
        </w:tc>
      </w:tr>
    </w:tbl>
    <w:p w14:paraId="2AF746B5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Step 3 — Elemental breakdown (÷ GFA total 8,560)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400"/>
        <w:gridCol w:w="2226"/>
      </w:tblGrid>
      <w:tr w:rsidR="00AB40AB" w14:paraId="643AA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4E31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8FBB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Cost (USD)</w:t>
            </w:r>
          </w:p>
        </w:tc>
        <w:tc>
          <w:tcPr>
            <w:tcW w:w="2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E25C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$/m²</w:t>
            </w:r>
          </w:p>
        </w:tc>
      </w:tr>
      <w:tr w:rsidR="00AB40AB" w14:paraId="6F74DAD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419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Substructure (piling, pile caps, ground beams)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33A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428,000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091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50.00</w:t>
            </w:r>
          </w:p>
        </w:tc>
      </w:tr>
      <w:tr w:rsidR="00AB40AB" w14:paraId="5CA6DC6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9DDB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Superstructure (concrete frame)</w:t>
            </w:r>
          </w:p>
        </w:tc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D17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1,112,800</w:t>
            </w:r>
          </w:p>
        </w:tc>
        <w:tc>
          <w:tcPr>
            <w:tcW w:w="2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CCA0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130.00</w:t>
            </w:r>
          </w:p>
        </w:tc>
      </w:tr>
      <w:tr w:rsidR="00AB40AB" w14:paraId="4F8F050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6A2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Architectural works &amp; finishes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5B5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1,027,200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1E8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120.00</w:t>
            </w:r>
          </w:p>
        </w:tc>
      </w:tr>
      <w:tr w:rsidR="00AB40AB" w14:paraId="0CA8CD8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4A1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MEP services</w:t>
            </w:r>
          </w:p>
        </w:tc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3F0D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856,000</w:t>
            </w:r>
          </w:p>
        </w:tc>
        <w:tc>
          <w:tcPr>
            <w:tcW w:w="2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8B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100.00</w:t>
            </w:r>
          </w:p>
        </w:tc>
      </w:tr>
      <w:tr w:rsidR="00AB40AB" w14:paraId="51D3AE4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B05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Preliminaries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2D4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171,200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130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20.00</w:t>
            </w:r>
          </w:p>
        </w:tc>
      </w:tr>
      <w:tr w:rsidR="00AB40AB" w14:paraId="7464479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0FF2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Building total</w:t>
            </w:r>
          </w:p>
        </w:tc>
        <w:tc>
          <w:tcPr>
            <w:tcW w:w="24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8031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3,595,200</w:t>
            </w:r>
          </w:p>
        </w:tc>
        <w:tc>
          <w:tcPr>
            <w:tcW w:w="2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CA5D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420.00</w:t>
            </w:r>
          </w:p>
        </w:tc>
      </w:tr>
    </w:tbl>
    <w:p w14:paraId="461A9A8F" w14:textId="77777777" w:rsidR="00AB40AB" w:rsidRDefault="00F13536">
      <w:pPr>
        <w:spacing w:after="120" w:line="276" w:lineRule="auto"/>
      </w:pPr>
      <w:r>
        <w:rPr>
          <w:i/>
          <w:iCs/>
          <w:color w:val="595959"/>
        </w:rPr>
        <w:t>Note how the piling cost is fully visible as the $50/m² substructure line — divided by the whole GFA, contributing zero area of its own.</w:t>
      </w:r>
    </w:p>
    <w:p w14:paraId="05A836CC" w14:textId="77777777" w:rsidR="00AB40AB" w:rsidRDefault="00F13536">
      <w:pPr>
        <w:pStyle w:val="Heading1"/>
        <w:spacing w:before="360" w:after="160"/>
      </w:pPr>
      <w:bookmarkStart w:id="7" w:name="_Toc235089652"/>
      <w:r>
        <w:rPr>
          <w:b/>
          <w:bCs/>
          <w:color w:val="1F3864"/>
        </w:rPr>
        <w:t>7. Case B — Building WITH Basement</w:t>
      </w:r>
      <w:bookmarkEnd w:id="7"/>
    </w:p>
    <w:p w14:paraId="214AD13B" w14:textId="77777777" w:rsidR="00AB40AB" w:rsidRDefault="00F13536">
      <w:pPr>
        <w:spacing w:after="120" w:line="276" w:lineRule="auto"/>
      </w:pPr>
      <w:r>
        <w:t>Same school, now with one basement level of 850 m² (parking + plant). Basement works (excavation, retaining, waterproofing, basement structure) = $722,500. Illustrative — in reality substructure design also changes; this example isolates the area logic.</w:t>
      </w:r>
    </w:p>
    <w:p w14:paraId="4E4982D9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</w:t>
      </w:r>
      <w:r>
        <w:rPr>
          <w:b/>
          <w:bCs/>
          <w:color w:val="1F3864"/>
          <w:sz w:val="22"/>
          <w:szCs w:val="22"/>
        </w:rPr>
        <w:t>ep 1 — GFA split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26"/>
      </w:tblGrid>
      <w:tr w:rsidR="00AB40AB" w14:paraId="65DB5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A46F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1BD9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</w:tr>
      <w:tr w:rsidR="00AB40AB" w14:paraId="1DE25EA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A6B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above ground (Case A)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85D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8,560 m²</w:t>
            </w:r>
          </w:p>
        </w:tc>
      </w:tr>
      <w:tr w:rsidR="00AB40AB" w14:paraId="34C8D9E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B0D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GFA basement (1 × 850)</w:t>
            </w:r>
          </w:p>
        </w:tc>
        <w:tc>
          <w:tcPr>
            <w:tcW w:w="44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EEB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850 m²</w:t>
            </w:r>
          </w:p>
        </w:tc>
      </w:tr>
      <w:tr w:rsidR="00AB40AB" w14:paraId="578EB94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D461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GFA total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5612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9,410 m²</w:t>
            </w:r>
          </w:p>
        </w:tc>
      </w:tr>
    </w:tbl>
    <w:p w14:paraId="19675A66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lastRenderedPageBreak/>
        <w:t>Step 2 — Report BOTH ways (mandatory)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026"/>
      </w:tblGrid>
      <w:tr w:rsidR="00AB40AB" w14:paraId="7D06F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C0F7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Reporting line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8945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0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BEC2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B40AB" w14:paraId="49700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788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Above-ground $/m²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B3F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3,595,200 ÷ 8,560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1964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420.00</w:t>
            </w:r>
          </w:p>
        </w:tc>
      </w:tr>
      <w:tr w:rsidR="00AB40AB" w14:paraId="4E9D0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6A6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Basement $/m²</w:t>
            </w:r>
          </w:p>
        </w:tc>
        <w:tc>
          <w:tcPr>
            <w:tcW w:w="4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A16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722,500 ÷ 850</w:t>
            </w:r>
          </w:p>
        </w:tc>
        <w:tc>
          <w:tcPr>
            <w:tcW w:w="20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C30A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850.00</w:t>
            </w:r>
          </w:p>
        </w:tc>
      </w:tr>
      <w:tr w:rsidR="00AB40AB" w14:paraId="1414E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3E65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Blended building $/m²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AA7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(3,595,200 + 722,500) ÷ 9,410 = 4,317,700 ÷ 9,410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8826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458.84</w:t>
            </w:r>
          </w:p>
        </w:tc>
      </w:tr>
    </w:tbl>
    <w:p w14:paraId="014CE435" w14:textId="77777777" w:rsidR="00AB40AB" w:rsidRDefault="00AB40AB">
      <w:pPr>
        <w:spacing w:after="60" w:line="276" w:lineRule="auto"/>
      </w:pPr>
    </w:p>
    <w:tbl>
      <w:tblPr>
        <w:tblW w:w="9026" w:type="dxa"/>
        <w:tblBorders>
          <w:top w:val="single" w:sz="4" w:space="0" w:color="BFBFBF"/>
          <w:left w:val="single" w:sz="24" w:space="0" w:color="BF8F00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0AB" w14:paraId="2D243C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B694A" w14:textId="77777777" w:rsidR="00AB40AB" w:rsidRDefault="00F13536">
            <w:pPr>
              <w:spacing w:after="60"/>
            </w:pPr>
            <w:r>
              <w:rPr>
                <w:b/>
                <w:bCs/>
                <w:color w:val="BF8F00"/>
              </w:rPr>
              <w:t>Why split reporting is mandatory</w:t>
            </w:r>
          </w:p>
          <w:p w14:paraId="65634A3F" w14:textId="77777777" w:rsidR="00AB40AB" w:rsidRDefault="00F13536">
            <w:pPr>
              <w:spacing w:after="40" w:line="264" w:lineRule="auto"/>
            </w:pPr>
            <w:r>
              <w:rPr>
                <w:sz w:val="20"/>
                <w:szCs w:val="20"/>
              </w:rPr>
              <w:t>The basement costs 850 $/m² — roughly double a typical floor. If you publish only the blended 458.84, this project looks 9% more expensive than the no-basement school at 420.00, and someone will wrongly conclude the building got costlier. Split reporting s</w:t>
            </w:r>
            <w:r>
              <w:rPr>
                <w:sz w:val="20"/>
                <w:szCs w:val="20"/>
              </w:rPr>
              <w:t>hows the truth: the above-ground building is IDENTICAL at 420.00; the basement is a separate, expensive component. Blended is for portfolio comparison; split is for understanding.</w:t>
            </w:r>
          </w:p>
        </w:tc>
      </w:tr>
    </w:tbl>
    <w:p w14:paraId="623BD191" w14:textId="77777777" w:rsidR="00AB40AB" w:rsidRDefault="00F13536">
      <w:pPr>
        <w:pStyle w:val="Heading1"/>
        <w:spacing w:before="360" w:after="160"/>
      </w:pPr>
      <w:bookmarkStart w:id="8" w:name="_Toc235089653"/>
      <w:r>
        <w:rPr>
          <w:b/>
          <w:bCs/>
          <w:color w:val="1F3864"/>
        </w:rPr>
        <w:t>8. Case C — External Works</w:t>
      </w:r>
      <w:bookmarkEnd w:id="8"/>
    </w:p>
    <w:p w14:paraId="2BE38184" w14:textId="77777777" w:rsidR="00AB40AB" w:rsidRDefault="00F13536">
      <w:pPr>
        <w:spacing w:after="120" w:line="276" w:lineRule="auto"/>
      </w:pPr>
      <w:r>
        <w:t>Site area 4,500 m² (title deed). External works: boundary wall, internal road &amp; parking, storm drainage, landscaping, guard house = $180,000.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0AB" w14:paraId="50AD27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C76A0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External works $/m2 (site) = 180,000 ÷ 4,500 = $40.00 /m2 of site</w:t>
            </w:r>
          </w:p>
          <w:p w14:paraId="778FB183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WRONG:  adding 180,000 into the building numerat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or</w:t>
            </w:r>
          </w:p>
          <w:p w14:paraId="5E99E32D" w14:textId="77777777" w:rsidR="00AB40AB" w:rsidRDefault="00F13536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(4,317,700 + 180,000) ÷ 9,410 = 477.97  ← NOT the building benchmark</w:t>
            </w:r>
          </w:p>
        </w:tc>
      </w:tr>
    </w:tbl>
    <w:p w14:paraId="1DCFCC36" w14:textId="77777777" w:rsidR="00AB40AB" w:rsidRDefault="00AB40AB">
      <w:pPr>
        <w:spacing w:after="60" w:line="276" w:lineRule="auto"/>
      </w:pPr>
    </w:p>
    <w:p w14:paraId="47D9EE23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External works relate to the land, not the floor plates. A small building on a large site would be unfairly penalized if external cost divided by GFA.</w:t>
      </w:r>
    </w:p>
    <w:p w14:paraId="0E91893D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The 477.97 all-in figure MAY be shown as a memo line labelled “whole project ÷ GFA” — but never as “build</w:t>
      </w:r>
      <w:r>
        <w:t>ing $/m²”, and never used to benchmark against building-only figures.</w:t>
      </w:r>
    </w:p>
    <w:p w14:paraId="004A9872" w14:textId="77777777" w:rsidR="00AB40AB" w:rsidRDefault="00F13536">
      <w:r>
        <w:br w:type="page"/>
      </w:r>
    </w:p>
    <w:p w14:paraId="48C6F221" w14:textId="77777777" w:rsidR="00AB40AB" w:rsidRDefault="00F13536">
      <w:pPr>
        <w:pStyle w:val="Heading1"/>
        <w:spacing w:before="360" w:after="160"/>
      </w:pPr>
      <w:bookmarkStart w:id="9" w:name="_Toc235089654"/>
      <w:r>
        <w:rPr>
          <w:b/>
          <w:bCs/>
          <w:color w:val="1F3864"/>
        </w:rPr>
        <w:lastRenderedPageBreak/>
        <w:t>9. Case D — Combined Project &amp; the Standard Final Cost Summary</w:t>
      </w:r>
      <w:bookmarkEnd w:id="9"/>
    </w:p>
    <w:p w14:paraId="1343B5FB" w14:textId="77777777" w:rsidR="00AB40AB" w:rsidRDefault="00F13536">
      <w:pPr>
        <w:spacing w:after="120" w:line="276" w:lineRule="auto"/>
      </w:pPr>
      <w:r>
        <w:t xml:space="preserve">The full project = Case B building + Case C external works. Total contract $4,497,700. Every project cost summary issued </w:t>
      </w:r>
      <w:r>
        <w:t>from DCOS must follow this exact format:</w:t>
      </w:r>
    </w:p>
    <w:p w14:paraId="27A925D1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STANDARD FINAL COST SUMMARY (mandatory format)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3684"/>
        <w:gridCol w:w="1696"/>
        <w:gridCol w:w="1698"/>
        <w:gridCol w:w="1223"/>
      </w:tblGrid>
      <w:tr w:rsidR="00AB40AB" w14:paraId="1749F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8F48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7428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E272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Cost (USD)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06EE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Denominator</w:t>
            </w:r>
          </w:p>
        </w:tc>
        <w:tc>
          <w:tcPr>
            <w:tcW w:w="1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B84B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$/m²</w:t>
            </w:r>
          </w:p>
        </w:tc>
      </w:tr>
      <w:tr w:rsidR="00AB40AB" w14:paraId="20F19A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7B9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EF5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Building works — above ground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281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3,595,200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7AC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8,560 m² GFA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0E1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420.00</w:t>
            </w:r>
          </w:p>
        </w:tc>
      </w:tr>
      <w:tr w:rsidR="00AB40AB" w14:paraId="7A9523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AEA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024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Building works — basement</w:t>
            </w:r>
          </w:p>
        </w:tc>
        <w:tc>
          <w:tcPr>
            <w:tcW w:w="1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540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722,500</w:t>
            </w:r>
          </w:p>
        </w:tc>
        <w:tc>
          <w:tcPr>
            <w:tcW w:w="1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A89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850 m² GFA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FE0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850.00</w:t>
            </w:r>
          </w:p>
        </w:tc>
      </w:tr>
      <w:tr w:rsidR="00AB40AB" w14:paraId="2BE656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6CAA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86E7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Building subtotal (blended)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4141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4,317,700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45D5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9,410 m² GFA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F9CF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458.84</w:t>
            </w:r>
          </w:p>
        </w:tc>
      </w:tr>
      <w:tr w:rsidR="00AB40AB" w14:paraId="09B662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50A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CEC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External works</w:t>
            </w:r>
          </w:p>
        </w:tc>
        <w:tc>
          <w:tcPr>
            <w:tcW w:w="1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F71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180,000</w:t>
            </w:r>
          </w:p>
        </w:tc>
        <w:tc>
          <w:tcPr>
            <w:tcW w:w="1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3A2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4,500 m² site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82E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40.00</w:t>
            </w:r>
          </w:p>
        </w:tc>
      </w:tr>
      <w:tr w:rsidR="00AB40AB" w14:paraId="09D924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7989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3F4E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TOTAL CONTRACT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7891" w14:textId="77777777" w:rsidR="00AB40AB" w:rsidRDefault="00F13536">
            <w:pPr>
              <w:spacing w:after="20"/>
            </w:pPr>
            <w:r>
              <w:rPr>
                <w:b/>
                <w:bCs/>
                <w:color w:val="000000"/>
                <w:sz w:val="20"/>
                <w:szCs w:val="20"/>
              </w:rPr>
              <w:t>4,497,700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155D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5D97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B40AB" w14:paraId="27D544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6B85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memo</w:t>
            </w:r>
          </w:p>
        </w:tc>
        <w:tc>
          <w:tcPr>
            <w:tcW w:w="3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CD7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Whole project ÷ GFA (memo only — not a benchmark)</w:t>
            </w:r>
          </w:p>
        </w:tc>
        <w:tc>
          <w:tcPr>
            <w:tcW w:w="1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591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4,497,700</w:t>
            </w:r>
          </w:p>
        </w:tc>
        <w:tc>
          <w:tcPr>
            <w:tcW w:w="17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B17C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9,410 m² GFA</w:t>
            </w:r>
          </w:p>
        </w:tc>
        <w:tc>
          <w:tcPr>
            <w:tcW w:w="12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B6DE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477.97</w:t>
            </w:r>
          </w:p>
        </w:tc>
      </w:tr>
    </w:tbl>
    <w:p w14:paraId="3BBD6ABA" w14:textId="77777777" w:rsidR="00AB40AB" w:rsidRDefault="00AB40AB">
      <w:pPr>
        <w:spacing w:after="60" w:line="276" w:lineRule="auto"/>
      </w:pPr>
    </w:p>
    <w:p w14:paraId="6CB43DE1" w14:textId="77777777" w:rsidR="00AB40AB" w:rsidRDefault="00F13536">
      <w:pPr>
        <w:spacing w:after="120" w:line="276" w:lineRule="auto"/>
      </w:pPr>
      <w:r>
        <w:t>Below the summary, attach the elemental table (Section 6 Step 3 format) computed on GFA total, and state the GFA convention reference: “Areas per DCOS-QS-GDL-001 V1.0”. Client-facing versions show sell-side costs only, per the firewall rule (SOP-QS-05A / R</w:t>
      </w:r>
      <w:r>
        <w:t>PT-001 G7).</w:t>
      </w:r>
    </w:p>
    <w:p w14:paraId="59B6D88C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Reading the summary — what each line answers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B40AB" w14:paraId="26023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5DC8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Line</w:t>
            </w:r>
          </w:p>
        </w:tc>
        <w:tc>
          <w:tcPr>
            <w:tcW w:w="6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A337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Question it answers</w:t>
            </w:r>
          </w:p>
        </w:tc>
      </w:tr>
      <w:tr w:rsidR="00AB40AB" w14:paraId="5DFA0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0154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Line 1 (420.00)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C1F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Is this building's construction economical? Compare with other above-ground buildings of the same type.</w:t>
            </w:r>
          </w:p>
        </w:tc>
      </w:tr>
      <w:tr w:rsidR="00AB40AB" w14:paraId="0247B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18F1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Line 2 (850.00)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B78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What did going underground cost us? Compare basement decisions across projects.</w:t>
            </w:r>
          </w:p>
        </w:tc>
      </w:tr>
      <w:tr w:rsidR="00AB40AB" w14:paraId="3B0D8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2C7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Line A (458.84)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EEA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Portfolio blended rate — for company-wide $/m² statistics.</w:t>
            </w:r>
          </w:p>
        </w:tc>
      </w:tr>
      <w:tr w:rsidR="00AB40AB" w14:paraId="65603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B9A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Line 3 (40.00)</w:t>
            </w:r>
          </w:p>
        </w:tc>
        <w:tc>
          <w:tcPr>
            <w:tcW w:w="6826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3648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Site development intensity — compare against site area, not building size.</w:t>
            </w:r>
          </w:p>
        </w:tc>
      </w:tr>
      <w:tr w:rsidR="00AB40AB" w14:paraId="3EDB7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9090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Memo (477.97)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A49A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Answering a director who asks “total divided by area” — labelled so it is never mistaken for the building benchmark.</w:t>
            </w:r>
          </w:p>
        </w:tc>
      </w:tr>
    </w:tbl>
    <w:p w14:paraId="052E97C8" w14:textId="77777777" w:rsidR="00AB40AB" w:rsidRDefault="00F13536">
      <w:pPr>
        <w:pStyle w:val="Heading1"/>
        <w:spacing w:before="360" w:after="160"/>
      </w:pPr>
      <w:bookmarkStart w:id="10" w:name="_Toc235089655"/>
      <w:r>
        <w:rPr>
          <w:b/>
          <w:bCs/>
          <w:color w:val="1F3864"/>
        </w:rPr>
        <w:t>10. Common Mistakes &amp; Validation Checklist</w:t>
      </w:r>
      <w:bookmarkEnd w:id="10"/>
    </w:p>
    <w:p w14:paraId="67819537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The five classic mistakes</w:t>
      </w:r>
    </w:p>
    <w:p w14:paraId="71465CB5" w14:textId="77777777" w:rsidR="00AB40AB" w:rsidRDefault="00F13536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>Counting foundations or roof structure as area.</w:t>
      </w:r>
      <w:r>
        <w:t xml:space="preserve"> They are cost, not floor plate — 0% area, full cost ÷ GFA total.</w:t>
      </w:r>
    </w:p>
    <w:p w14:paraId="335F8404" w14:textId="77777777" w:rsidR="00AB40AB" w:rsidRDefault="00F13536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>Blending the basement silently.</w:t>
      </w:r>
      <w:r>
        <w:t xml:space="preserve"> Always report split + blended; a blended-only figure misleads every comparison.</w:t>
      </w:r>
    </w:p>
    <w:p w14:paraId="72585575" w14:textId="77777777" w:rsidR="00AB40AB" w:rsidRDefault="00F13536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>Dividing external works by GFA.</w:t>
      </w:r>
      <w:r>
        <w:t xml:space="preserve"> External works ÷ Site Area, always.</w:t>
      </w:r>
    </w:p>
    <w:p w14:paraId="41D358B3" w14:textId="77777777" w:rsidR="00AB40AB" w:rsidRDefault="00F13536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>Deriving GFA from BOQ or room areas.</w:t>
      </w:r>
      <w:r>
        <w:t xml:space="preserve"> GFA is measured from floor plans to the outside face — room sums miss walls, shafts, circulation.</w:t>
      </w:r>
    </w:p>
    <w:p w14:paraId="63FE93C8" w14:textId="77777777" w:rsidR="00AB40AB" w:rsidRDefault="00F13536">
      <w:pPr>
        <w:pStyle w:val="ListParagraph"/>
        <w:numPr>
          <w:ilvl w:val="0"/>
          <w:numId w:val="3"/>
        </w:numPr>
        <w:spacing w:after="70" w:line="276" w:lineRule="auto"/>
      </w:pPr>
      <w:r>
        <w:rPr>
          <w:b/>
          <w:bCs/>
        </w:rPr>
        <w:t>Changing GFA without revision control.</w:t>
      </w:r>
      <w:r>
        <w:t xml:space="preserve"> A GFA edit silently changes every historical-</w:t>
      </w:r>
      <w:r>
        <w:t>looking benchmark. Revise with reason; snapshots keep their original GFA.</w:t>
      </w:r>
    </w:p>
    <w:p w14:paraId="387847CF" w14:textId="77777777" w:rsidR="00AB40AB" w:rsidRDefault="00F13536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lastRenderedPageBreak/>
        <w:t>Checklist before issuing any $/m² figure</w:t>
      </w:r>
    </w:p>
    <w:p w14:paraId="7967961B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GFA entered per level, from the current drawing revision, convention table applied and noted.</w:t>
      </w:r>
    </w:p>
    <w:p w14:paraId="15F675B5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Basement levels flagged; above/below split avai</w:t>
      </w:r>
      <w:r>
        <w:t>lable.</w:t>
      </w:r>
    </w:p>
    <w:p w14:paraId="2B0E69D0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Site area entered at project node with source (title deed / survey ref).</w:t>
      </w:r>
    </w:p>
    <w:p w14:paraId="62FE07DC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External works WBS branch excluded from building numerator.</w:t>
      </w:r>
    </w:p>
    <w:p w14:paraId="46805EB5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No level has cost &gt; 0 with GFA = 0 (DCOS warns — do not ignore the warning).</w:t>
      </w:r>
    </w:p>
    <w:p w14:paraId="45BE3326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Summary follows the Section 9 mandatory</w:t>
      </w:r>
      <w:r>
        <w:t xml:space="preserve"> format; convention reference cited.</w:t>
      </w:r>
    </w:p>
    <w:p w14:paraId="2CBD1A23" w14:textId="77777777" w:rsidR="00AB40AB" w:rsidRDefault="00F13536">
      <w:pPr>
        <w:pStyle w:val="ListParagraph"/>
        <w:numPr>
          <w:ilvl w:val="0"/>
          <w:numId w:val="2"/>
        </w:numPr>
        <w:spacing w:after="60" w:line="276" w:lineRule="auto"/>
      </w:pPr>
      <w:r>
        <w:t>Client version contains sell-side figures only (firewall check).</w:t>
      </w:r>
    </w:p>
    <w:p w14:paraId="6DA088AE" w14:textId="77777777" w:rsidR="00AB40AB" w:rsidRDefault="00F13536">
      <w:pPr>
        <w:pStyle w:val="Heading1"/>
        <w:spacing w:before="360" w:after="160"/>
      </w:pPr>
      <w:bookmarkStart w:id="11" w:name="_Toc235089656"/>
      <w:r>
        <w:rPr>
          <w:b/>
          <w:bCs/>
          <w:color w:val="1F3864"/>
        </w:rPr>
        <w:t>11. Entering the Data in DCOS</w:t>
      </w:r>
      <w:bookmarkEnd w:id="11"/>
    </w:p>
    <w:p w14:paraId="42A85E7E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Open the WBS tree → select each </w:t>
      </w:r>
      <w:r>
        <w:rPr>
          <w:b/>
          <w:bCs/>
        </w:rPr>
        <w:t>Level</w:t>
      </w:r>
      <w:r>
        <w:t xml:space="preserve"> node → Quantities panel → add metric </w:t>
      </w:r>
      <w:r>
        <w:rPr>
          <w:rFonts w:ascii="Consolas" w:eastAsia="Consolas" w:hAnsi="Consolas" w:cs="Consolas"/>
        </w:rPr>
        <w:t>GFA</w:t>
      </w:r>
      <w:r>
        <w:t xml:space="preserve"> with value (m²), source = drawing revision reference.</w:t>
      </w:r>
    </w:p>
    <w:p w14:paraId="503DD52C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>Basement levels: ensure the node is typed/flagged as below-ground so the split reports automatically.</w:t>
      </w:r>
    </w:p>
    <w:p w14:paraId="6F27EB2C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>Roof-level enclosed rooms: enter their 60 m² (etc.) as GFA on the roof level node — the open deck i</w:t>
      </w:r>
      <w:r>
        <w:t>s simply not entered.</w:t>
      </w:r>
    </w:p>
    <w:p w14:paraId="6975F04B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Select the </w:t>
      </w:r>
      <w:r>
        <w:rPr>
          <w:b/>
          <w:bCs/>
        </w:rPr>
        <w:t>Project</w:t>
      </w:r>
      <w:r>
        <w:t xml:space="preserve"> node → add metric </w:t>
      </w:r>
      <w:r>
        <w:rPr>
          <w:rFonts w:ascii="Consolas" w:eastAsia="Consolas" w:hAnsi="Consolas" w:cs="Consolas"/>
        </w:rPr>
        <w:t>SITE_AREA</w:t>
      </w:r>
      <w:r>
        <w:t xml:space="preserve"> with the title-deed area and source reference.</w:t>
      </w:r>
    </w:p>
    <w:p w14:paraId="6C904A14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>Building and project GFA totals roll up automatically — parent values are read-only.</w:t>
      </w:r>
    </w:p>
    <w:p w14:paraId="7676E37D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>Design change: edit the level GFA → the system requires</w:t>
      </w:r>
      <w:r>
        <w:t xml:space="preserve"> a reason and logs the change; existing S-curve/EVM snapshots retain their original GFA.</w:t>
      </w:r>
    </w:p>
    <w:p w14:paraId="4A0226EC" w14:textId="77777777" w:rsidR="00AB40AB" w:rsidRDefault="00F13536">
      <w:pPr>
        <w:pStyle w:val="ListParagraph"/>
        <w:numPr>
          <w:ilvl w:val="0"/>
          <w:numId w:val="4"/>
        </w:numPr>
        <w:spacing w:after="70" w:line="276" w:lineRule="auto"/>
      </w:pPr>
      <w:r>
        <w:t>The QS Dashboard “Cost/m²” card and the Final Cost Summary report (RPT series) read ONLY these entered values — if the card shows “no area data”, the input above is mi</w:t>
      </w:r>
      <w:r>
        <w:t>ssing.</w:t>
      </w:r>
    </w:p>
    <w:p w14:paraId="4F9C16F5" w14:textId="77777777" w:rsidR="00AB40AB" w:rsidRDefault="00AB40AB">
      <w:pPr>
        <w:spacing w:after="60" w:line="276" w:lineRule="auto"/>
      </w:pPr>
    </w:p>
    <w:p w14:paraId="32298C12" w14:textId="77777777" w:rsidR="00AB40AB" w:rsidRDefault="00F13536">
      <w:pPr>
        <w:spacing w:after="120" w:line="276" w:lineRule="auto"/>
      </w:pPr>
      <w:r>
        <w:rPr>
          <w:i/>
          <w:iCs/>
          <w:color w:val="595959"/>
        </w:rPr>
        <w:t>System reference: metrics are stored in wbs_node_quantities (metric_code GFA / SITE_AREA); feature specification FS-QS-012 in DDS-001 V2.0.</w:t>
      </w:r>
    </w:p>
    <w:p w14:paraId="7EEF6AEC" w14:textId="77777777" w:rsidR="00AB40AB" w:rsidRDefault="00F13536">
      <w:pPr>
        <w:pStyle w:val="Heading1"/>
        <w:spacing w:before="360" w:after="160"/>
      </w:pPr>
      <w:bookmarkStart w:id="12" w:name="_Toc235089657"/>
      <w:r>
        <w:rPr>
          <w:b/>
          <w:bCs/>
          <w:color w:val="1F3864"/>
        </w:rPr>
        <w:t>12. Approval &amp; Revision</w:t>
      </w:r>
      <w:bookmarkEnd w:id="12"/>
    </w:p>
    <w:p w14:paraId="41E5DE83" w14:textId="77777777" w:rsidR="00AB40AB" w:rsidRDefault="00F13536">
      <w:pPr>
        <w:spacing w:after="120" w:line="276" w:lineRule="auto"/>
      </w:pPr>
      <w:r>
        <w:t>The 50% balcony treatment, void rules, and split-reporting mandate are HOUSE DECISIONS. They</w:t>
      </w:r>
      <w:r>
        <w:t xml:space="preserve"> bind all staff once approved below. Amendments follow document control (new version, reason, re-approval).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200"/>
        <w:gridCol w:w="1226"/>
      </w:tblGrid>
      <w:tr w:rsidR="00AB40AB" w14:paraId="75298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2E51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B463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276F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B59F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AB40AB" w14:paraId="3BC5F9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A3B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QS Manager (convention authority)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C6B5" w14:textId="77777777" w:rsidR="00AB40AB" w:rsidRDefault="00AB40AB">
            <w:pPr>
              <w:spacing w:after="20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CBF1" w14:textId="77777777" w:rsidR="00AB40AB" w:rsidRDefault="00AB40AB">
            <w:pPr>
              <w:spacing w:after="20"/>
            </w:pP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D39D" w14:textId="77777777" w:rsidR="00AB40AB" w:rsidRDefault="00AB40AB">
            <w:pPr>
              <w:spacing w:after="20"/>
            </w:pPr>
          </w:p>
        </w:tc>
      </w:tr>
      <w:tr w:rsidR="00AB40AB" w14:paraId="1FD417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C69F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Commercial Director (approver)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8485" w14:textId="77777777" w:rsidR="00AB40AB" w:rsidRDefault="00AB40AB">
            <w:pPr>
              <w:spacing w:after="20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DC73" w14:textId="77777777" w:rsidR="00AB40AB" w:rsidRDefault="00AB40AB">
            <w:pPr>
              <w:spacing w:after="20"/>
            </w:pPr>
          </w:p>
        </w:tc>
        <w:tc>
          <w:tcPr>
            <w:tcW w:w="1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0477" w14:textId="77777777" w:rsidR="00AB40AB" w:rsidRDefault="00AB40AB">
            <w:pPr>
              <w:spacing w:after="20"/>
            </w:pPr>
          </w:p>
        </w:tc>
      </w:tr>
    </w:tbl>
    <w:p w14:paraId="26892FC7" w14:textId="77777777" w:rsidR="00AB40AB" w:rsidRDefault="00AB40AB">
      <w:pPr>
        <w:spacing w:after="120" w:line="276" w:lineRule="auto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4500"/>
        <w:gridCol w:w="1726"/>
      </w:tblGrid>
      <w:tr w:rsidR="00AB40AB" w14:paraId="30C62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9B63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2AB6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6ACB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F66B" w14:textId="77777777" w:rsidR="00AB40AB" w:rsidRDefault="00F1353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AB40AB" w14:paraId="418386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8550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V1.0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2043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2026-07-16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67C9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Initial issue — GFA/site conventions, cost allocation rules, worked Cases A–D, standard final cost summary format, DCOS entry procedure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3B66" w14:textId="77777777" w:rsidR="00AB40AB" w:rsidRDefault="00F13536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DCOS Commercial Team</w:t>
            </w:r>
          </w:p>
        </w:tc>
      </w:tr>
    </w:tbl>
    <w:p w14:paraId="6DC91AA7" w14:textId="77777777" w:rsidR="00AB40AB" w:rsidRDefault="00AB40AB">
      <w:pPr>
        <w:spacing w:after="160" w:line="276" w:lineRule="auto"/>
      </w:pPr>
    </w:p>
    <w:p w14:paraId="571059B3" w14:textId="77777777" w:rsidR="00AB40AB" w:rsidRDefault="00F13536">
      <w:pPr>
        <w:spacing w:after="120" w:line="276" w:lineRule="auto"/>
        <w:jc w:val="center"/>
      </w:pPr>
      <w:r>
        <w:rPr>
          <w:i/>
          <w:iCs/>
          <w:color w:val="595959"/>
        </w:rPr>
        <w:t>End of Document — DCOS-QS-GDL-001 V1.0</w:t>
      </w:r>
    </w:p>
    <w:sectPr w:rsidR="00AB40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F532E" w14:textId="77777777" w:rsidR="00F13536" w:rsidRDefault="00F13536">
      <w:r>
        <w:separator/>
      </w:r>
    </w:p>
  </w:endnote>
  <w:endnote w:type="continuationSeparator" w:id="0">
    <w:p w14:paraId="693C630F" w14:textId="77777777" w:rsidR="00F13536" w:rsidRDefault="00F13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C1D9A" w14:textId="77777777" w:rsidR="00AB40AB" w:rsidRDefault="00F13536">
    <w:pPr>
      <w:pBdr>
        <w:top w:val="single" w:sz="4" w:space="0" w:color="BFBFBF"/>
      </w:pBdr>
      <w:jc w:val="center"/>
    </w:pPr>
    <w:r>
      <w:rPr>
        <w:color w:val="595959"/>
        <w:sz w:val="17"/>
        <w:szCs w:val="17"/>
      </w:rPr>
      <w:t xml:space="preserve">Digital Construction Operating System  |  Internal Controlled Document  | 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E67711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E67711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B69AA" w14:textId="77777777" w:rsidR="00F13536" w:rsidRDefault="00F13536">
      <w:r>
        <w:separator/>
      </w:r>
    </w:p>
  </w:footnote>
  <w:footnote w:type="continuationSeparator" w:id="0">
    <w:p w14:paraId="32321D26" w14:textId="77777777" w:rsidR="00F13536" w:rsidRDefault="00F13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36197" w14:textId="77777777" w:rsidR="00AB40AB" w:rsidRDefault="00F13536">
    <w:pPr>
      <w:pBdr>
        <w:bottom w:val="single" w:sz="4" w:space="0" w:color="BFBFBF"/>
      </w:pBdr>
      <w:tabs>
        <w:tab w:val="right" w:pos="9026"/>
      </w:tabs>
    </w:pPr>
    <w:r>
      <w:rPr>
        <w:color w:val="595959"/>
        <w:sz w:val="17"/>
        <w:szCs w:val="17"/>
      </w:rPr>
      <w:t>DCOS — GFA &amp; Cost per m² Guideline</w:t>
    </w:r>
    <w:r>
      <w:rPr>
        <w:color w:val="595959"/>
        <w:sz w:val="17"/>
        <w:szCs w:val="17"/>
      </w:rPr>
      <w:tab/>
      <w:t>DCOS-QS-GDL-001  |  V1.0  |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0B40"/>
    <w:multiLevelType w:val="hybridMultilevel"/>
    <w:tmpl w:val="92E02262"/>
    <w:lvl w:ilvl="0" w:tplc="9572C4DA">
      <w:start w:val="1"/>
      <w:numFmt w:val="decimal"/>
      <w:lvlText w:val="%1."/>
      <w:lvlJc w:val="left"/>
      <w:pPr>
        <w:ind w:left="460" w:hanging="300"/>
      </w:pPr>
    </w:lvl>
    <w:lvl w:ilvl="1" w:tplc="54BE7E6C">
      <w:numFmt w:val="decimal"/>
      <w:lvlText w:val=""/>
      <w:lvlJc w:val="left"/>
    </w:lvl>
    <w:lvl w:ilvl="2" w:tplc="6D62E6F8">
      <w:numFmt w:val="decimal"/>
      <w:lvlText w:val=""/>
      <w:lvlJc w:val="left"/>
    </w:lvl>
    <w:lvl w:ilvl="3" w:tplc="4A7A88F4">
      <w:numFmt w:val="decimal"/>
      <w:lvlText w:val=""/>
      <w:lvlJc w:val="left"/>
    </w:lvl>
    <w:lvl w:ilvl="4" w:tplc="A1666168">
      <w:numFmt w:val="decimal"/>
      <w:lvlText w:val=""/>
      <w:lvlJc w:val="left"/>
    </w:lvl>
    <w:lvl w:ilvl="5" w:tplc="55D2B46C">
      <w:numFmt w:val="decimal"/>
      <w:lvlText w:val=""/>
      <w:lvlJc w:val="left"/>
    </w:lvl>
    <w:lvl w:ilvl="6" w:tplc="2D4AC466">
      <w:numFmt w:val="decimal"/>
      <w:lvlText w:val=""/>
      <w:lvlJc w:val="left"/>
    </w:lvl>
    <w:lvl w:ilvl="7" w:tplc="200E316A">
      <w:numFmt w:val="decimal"/>
      <w:lvlText w:val=""/>
      <w:lvlJc w:val="left"/>
    </w:lvl>
    <w:lvl w:ilvl="8" w:tplc="39F03E9E">
      <w:numFmt w:val="decimal"/>
      <w:lvlText w:val=""/>
      <w:lvlJc w:val="left"/>
    </w:lvl>
  </w:abstractNum>
  <w:abstractNum w:abstractNumId="1" w15:restartNumberingAfterBreak="0">
    <w:nsid w:val="31CD54FF"/>
    <w:multiLevelType w:val="hybridMultilevel"/>
    <w:tmpl w:val="24FA0A5C"/>
    <w:lvl w:ilvl="0" w:tplc="BBE48C6E">
      <w:start w:val="1"/>
      <w:numFmt w:val="bullet"/>
      <w:lvlText w:val="●"/>
      <w:lvlJc w:val="left"/>
      <w:pPr>
        <w:ind w:left="720" w:hanging="360"/>
      </w:pPr>
    </w:lvl>
    <w:lvl w:ilvl="1" w:tplc="EF4E14EE">
      <w:start w:val="1"/>
      <w:numFmt w:val="bullet"/>
      <w:lvlText w:val="○"/>
      <w:lvlJc w:val="left"/>
      <w:pPr>
        <w:ind w:left="1440" w:hanging="360"/>
      </w:pPr>
    </w:lvl>
    <w:lvl w:ilvl="2" w:tplc="2B8ACC22">
      <w:start w:val="1"/>
      <w:numFmt w:val="bullet"/>
      <w:lvlText w:val="■"/>
      <w:lvlJc w:val="left"/>
      <w:pPr>
        <w:ind w:left="2160" w:hanging="360"/>
      </w:pPr>
    </w:lvl>
    <w:lvl w:ilvl="3" w:tplc="C35E946E">
      <w:start w:val="1"/>
      <w:numFmt w:val="bullet"/>
      <w:lvlText w:val="●"/>
      <w:lvlJc w:val="left"/>
      <w:pPr>
        <w:ind w:left="2880" w:hanging="360"/>
      </w:pPr>
    </w:lvl>
    <w:lvl w:ilvl="4" w:tplc="B0AC6D18">
      <w:start w:val="1"/>
      <w:numFmt w:val="bullet"/>
      <w:lvlText w:val="○"/>
      <w:lvlJc w:val="left"/>
      <w:pPr>
        <w:ind w:left="3600" w:hanging="360"/>
      </w:pPr>
    </w:lvl>
    <w:lvl w:ilvl="5" w:tplc="CBF03FCE">
      <w:start w:val="1"/>
      <w:numFmt w:val="bullet"/>
      <w:lvlText w:val="■"/>
      <w:lvlJc w:val="left"/>
      <w:pPr>
        <w:ind w:left="4320" w:hanging="360"/>
      </w:pPr>
    </w:lvl>
    <w:lvl w:ilvl="6" w:tplc="3976C9D4">
      <w:start w:val="1"/>
      <w:numFmt w:val="bullet"/>
      <w:lvlText w:val="●"/>
      <w:lvlJc w:val="left"/>
      <w:pPr>
        <w:ind w:left="5040" w:hanging="360"/>
      </w:pPr>
    </w:lvl>
    <w:lvl w:ilvl="7" w:tplc="558AE188">
      <w:start w:val="1"/>
      <w:numFmt w:val="bullet"/>
      <w:lvlText w:val="●"/>
      <w:lvlJc w:val="left"/>
      <w:pPr>
        <w:ind w:left="5760" w:hanging="360"/>
      </w:pPr>
    </w:lvl>
    <w:lvl w:ilvl="8" w:tplc="B010CE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984040"/>
    <w:multiLevelType w:val="hybridMultilevel"/>
    <w:tmpl w:val="44B8D6CC"/>
    <w:lvl w:ilvl="0" w:tplc="FCD29C02">
      <w:start w:val="1"/>
      <w:numFmt w:val="bullet"/>
      <w:lvlText w:val="•"/>
      <w:lvlJc w:val="left"/>
      <w:pPr>
        <w:ind w:left="460" w:hanging="260"/>
      </w:pPr>
    </w:lvl>
    <w:lvl w:ilvl="1" w:tplc="7A20A8B4">
      <w:start w:val="1"/>
      <w:numFmt w:val="bullet"/>
      <w:lvlText w:val="–"/>
      <w:lvlJc w:val="left"/>
      <w:pPr>
        <w:ind w:left="900" w:hanging="260"/>
      </w:pPr>
    </w:lvl>
    <w:lvl w:ilvl="2" w:tplc="AF0A8D96">
      <w:numFmt w:val="decimal"/>
      <w:lvlText w:val=""/>
      <w:lvlJc w:val="left"/>
    </w:lvl>
    <w:lvl w:ilvl="3" w:tplc="1A34A882">
      <w:numFmt w:val="decimal"/>
      <w:lvlText w:val=""/>
      <w:lvlJc w:val="left"/>
    </w:lvl>
    <w:lvl w:ilvl="4" w:tplc="F418DA38">
      <w:numFmt w:val="decimal"/>
      <w:lvlText w:val=""/>
      <w:lvlJc w:val="left"/>
    </w:lvl>
    <w:lvl w:ilvl="5" w:tplc="47308CF4">
      <w:numFmt w:val="decimal"/>
      <w:lvlText w:val=""/>
      <w:lvlJc w:val="left"/>
    </w:lvl>
    <w:lvl w:ilvl="6" w:tplc="13447EBA">
      <w:numFmt w:val="decimal"/>
      <w:lvlText w:val=""/>
      <w:lvlJc w:val="left"/>
    </w:lvl>
    <w:lvl w:ilvl="7" w:tplc="321CCAB6">
      <w:numFmt w:val="decimal"/>
      <w:lvlText w:val=""/>
      <w:lvlJc w:val="left"/>
    </w:lvl>
    <w:lvl w:ilvl="8" w:tplc="1C0EABA4">
      <w:numFmt w:val="decimal"/>
      <w:lvlText w:val=""/>
      <w:lvlJc w:val="left"/>
    </w:lvl>
  </w:abstractNum>
  <w:abstractNum w:abstractNumId="3" w15:restartNumberingAfterBreak="0">
    <w:nsid w:val="6E980E8B"/>
    <w:multiLevelType w:val="hybridMultilevel"/>
    <w:tmpl w:val="28FEDE9A"/>
    <w:lvl w:ilvl="0" w:tplc="6BD68B66">
      <w:start w:val="1"/>
      <w:numFmt w:val="decimal"/>
      <w:lvlText w:val="%1."/>
      <w:lvlJc w:val="left"/>
      <w:pPr>
        <w:ind w:left="460" w:hanging="300"/>
      </w:pPr>
    </w:lvl>
    <w:lvl w:ilvl="1" w:tplc="6DCC9FC8">
      <w:numFmt w:val="decimal"/>
      <w:lvlText w:val=""/>
      <w:lvlJc w:val="left"/>
    </w:lvl>
    <w:lvl w:ilvl="2" w:tplc="59E044B0">
      <w:numFmt w:val="decimal"/>
      <w:lvlText w:val=""/>
      <w:lvlJc w:val="left"/>
    </w:lvl>
    <w:lvl w:ilvl="3" w:tplc="83166FE8">
      <w:numFmt w:val="decimal"/>
      <w:lvlText w:val=""/>
      <w:lvlJc w:val="left"/>
    </w:lvl>
    <w:lvl w:ilvl="4" w:tplc="78E428D0">
      <w:numFmt w:val="decimal"/>
      <w:lvlText w:val=""/>
      <w:lvlJc w:val="left"/>
    </w:lvl>
    <w:lvl w:ilvl="5" w:tplc="03F648D8">
      <w:numFmt w:val="decimal"/>
      <w:lvlText w:val=""/>
      <w:lvlJc w:val="left"/>
    </w:lvl>
    <w:lvl w:ilvl="6" w:tplc="FE1ABF0C">
      <w:numFmt w:val="decimal"/>
      <w:lvlText w:val=""/>
      <w:lvlJc w:val="left"/>
    </w:lvl>
    <w:lvl w:ilvl="7" w:tplc="CB262C4E">
      <w:numFmt w:val="decimal"/>
      <w:lvlText w:val=""/>
      <w:lvlJc w:val="left"/>
    </w:lvl>
    <w:lvl w:ilvl="8" w:tplc="3384D52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0AB"/>
    <w:rsid w:val="00AB40AB"/>
    <w:rsid w:val="00E67711"/>
    <w:rsid w:val="00F1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1CE1"/>
  <w15:docId w15:val="{5A90A31C-7381-403E-B4FD-9B0CA6BB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7711"/>
    <w:pPr>
      <w:spacing w:after="100"/>
    </w:pPr>
    <w:rPr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2178</Words>
  <Characters>12415</Characters>
  <Application>Microsoft Office Word</Application>
  <DocSecurity>0</DocSecurity>
  <Lines>103</Lines>
  <Paragraphs>29</Paragraphs>
  <ScaleCrop>false</ScaleCrop>
  <Company/>
  <LinksUpToDate>false</LinksUpToDate>
  <CharactersWithSpaces>14564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Pouth Liheng</cp:lastModifiedBy>
  <cp:revision>3</cp:revision>
  <cp:lastPrinted>2026-07-16T03:20:00Z</cp:lastPrinted>
  <dcterms:created xsi:type="dcterms:W3CDTF">2026-07-16T01:52:00Z</dcterms:created>
  <dcterms:modified xsi:type="dcterms:W3CDTF">2026-07-16T03:28:00Z</dcterms:modified>
</cp:coreProperties>
</file>