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80"/>
        <w:jc w:val="center"/>
      </w:pPr>
      <w:r>
        <w:rPr>
          <w:b/>
          <w:bCs/>
          <w:color w:val="2E75B6"/>
          <w:spacing w:val="30"/>
          <w:sz w:val="30"/>
          <w:szCs w:val="30"/>
        </w:rPr>
        <w:t xml:space="preserve">DIGITAL CONSTRUCTION OPERATING SYSTEM</w:t>
      </w:r>
    </w:p>
    <w:p>
      <w:pPr>
        <w:spacing w:after="400"/>
        <w:jc w:val="center"/>
      </w:pPr>
      <w:r>
        <w:rPr>
          <w:b/>
          <w:bCs/>
          <w:color w:val="595959"/>
          <w:spacing w:val="40"/>
          <w:sz w:val="22"/>
          <w:szCs w:val="22"/>
        </w:rPr>
        <w:t xml:space="preserve">( D C O S )</w:t>
      </w:r>
    </w:p>
    <w:p>
      <w:pPr>
        <w:pBdr>
          <w:bottom w:val="single" w:color="1F3864" w:sz="8" w:space="1"/>
        </w:pBdr>
        <w:spacing w:after="220"/>
        <w:jc w:val="center"/>
      </w:pPr>
    </w:p>
    <w:p>
      <w:pPr>
        <w:spacing w:after="160"/>
        <w:jc w:val="center"/>
      </w:pPr>
      <w:r>
        <w:rPr>
          <w:b/>
          <w:bCs/>
          <w:color w:val="1F3864"/>
          <w:sz w:val="48"/>
          <w:szCs w:val="48"/>
        </w:rPr>
        <w:t xml:space="preserve">Standard Operating Procedure</w:t>
      </w:r>
    </w:p>
    <w:p>
      <w:pPr>
        <w:spacing w:after="220"/>
        <w:jc w:val="center"/>
      </w:pPr>
      <w:r>
        <w:rPr>
          <w:b/>
          <w:bCs/>
          <w:color w:val="000000"/>
          <w:sz w:val="34"/>
          <w:szCs w:val="34"/>
        </w:rPr>
        <w:t xml:space="preserve">Enterprise Naming Convention</w:t>
      </w:r>
    </w:p>
    <w:p>
      <w:pPr>
        <w:pBdr>
          <w:bottom w:val="single" w:color="1F3864" w:sz="8" w:space="1"/>
        </w:pBdr>
        <w:spacing w:after="120"/>
        <w:jc w:val="center"/>
      </w:pPr>
    </w:p>
    <w:p>
      <w:pPr>
        <w:spacing w:after="600"/>
        <w:jc w:val="center"/>
      </w:pPr>
      <w:r>
        <w:rPr>
          <w:i/>
          <w:iCs/>
          <w:color w:val="595959"/>
          <w:sz w:val="22"/>
          <w:szCs w:val="22"/>
        </w:rPr>
        <w:t xml:space="preserve">Codes, Identifiers, Documents, Data &amp; System Objects</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tblGrid>
      <w:tr>
        <w:tc>
          <w:tcPr>
            <w:tcW w:type="dxa" w:w="27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19"/>
                <w:szCs w:val="19"/>
              </w:rPr>
              <w:t xml:space="preserve">Document Code</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sz w:val="19"/>
                <w:szCs w:val="19"/>
              </w:rPr>
              <w:t xml:space="preserve">DCOS-SOP-NMC-001</w:t>
            </w:r>
          </w:p>
        </w:tc>
      </w:tr>
      <w:tr>
        <w:tc>
          <w:tcPr>
            <w:tcW w:type="dxa" w:w="27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19"/>
                <w:szCs w:val="19"/>
              </w:rPr>
              <w:t xml:space="preserve">Document Type</w:t>
            </w:r>
          </w:p>
        </w:tc>
        <w:tc>
          <w:tcPr>
            <w:tcW w:type="dxa" w:w="39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r>
              <w:rPr>
                <w:sz w:val="19"/>
                <w:szCs w:val="19"/>
              </w:rPr>
              <w:t xml:space="preserve">Standard Operating Procedure</w:t>
            </w:r>
          </w:p>
        </w:tc>
      </w:tr>
      <w:tr>
        <w:tc>
          <w:tcPr>
            <w:tcW w:type="dxa" w:w="27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19"/>
                <w:szCs w:val="19"/>
              </w:rPr>
              <w:t xml:space="preserve">SOP Category</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sz w:val="19"/>
                <w:szCs w:val="19"/>
              </w:rPr>
              <w:t xml:space="preserve">Enterprise Data Governance</w:t>
            </w:r>
          </w:p>
        </w:tc>
      </w:tr>
      <w:tr>
        <w:tc>
          <w:tcPr>
            <w:tcW w:type="dxa" w:w="27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19"/>
                <w:szCs w:val="19"/>
              </w:rPr>
              <w:t xml:space="preserve">Version</w:t>
            </w:r>
          </w:p>
        </w:tc>
        <w:tc>
          <w:tcPr>
            <w:tcW w:type="dxa" w:w="39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r>
              <w:rPr>
                <w:sz w:val="19"/>
                <w:szCs w:val="19"/>
              </w:rPr>
              <w:t xml:space="preserve">R1.0</w:t>
            </w:r>
          </w:p>
        </w:tc>
      </w:tr>
      <w:tr>
        <w:tc>
          <w:tcPr>
            <w:tcW w:type="dxa" w:w="27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19"/>
                <w:szCs w:val="19"/>
              </w:rPr>
              <w:t xml:space="preserve">Status</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sz w:val="19"/>
                <w:szCs w:val="19"/>
              </w:rPr>
              <w:t xml:space="preserve">Approved for Use</w:t>
            </w:r>
          </w:p>
        </w:tc>
      </w:tr>
      <w:tr>
        <w:tc>
          <w:tcPr>
            <w:tcW w:type="dxa" w:w="27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19"/>
                <w:szCs w:val="19"/>
              </w:rPr>
              <w:t xml:space="preserve">Supersedes</w:t>
            </w:r>
          </w:p>
        </w:tc>
        <w:tc>
          <w:tcPr>
            <w:tcW w:type="dxa" w:w="39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r>
              <w:rPr>
                <w:sz w:val="19"/>
                <w:szCs w:val="19"/>
              </w:rPr>
              <w:t xml:space="preserve">DCOS Naming Convention Standard v1.0</w:t>
            </w:r>
          </w:p>
        </w:tc>
      </w:tr>
      <w:tr>
        <w:tc>
          <w:tcPr>
            <w:tcW w:type="dxa" w:w="27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19"/>
                <w:szCs w:val="19"/>
              </w:rPr>
              <w:t xml:space="preserve">Classification</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sz w:val="19"/>
                <w:szCs w:val="19"/>
              </w:rPr>
              <w:t xml:space="preserve">Internal — Controlled Document</w:t>
            </w:r>
          </w:p>
        </w:tc>
      </w:tr>
      <w:tr>
        <w:tc>
          <w:tcPr>
            <w:tcW w:type="dxa" w:w="27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19"/>
                <w:szCs w:val="19"/>
              </w:rPr>
              <w:t xml:space="preserve">Effective Date</w:t>
            </w:r>
          </w:p>
        </w:tc>
        <w:tc>
          <w:tcPr>
            <w:tcW w:type="dxa" w:w="39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r>
              <w:rPr>
                <w:sz w:val="19"/>
                <w:szCs w:val="19"/>
              </w:rPr>
              <w:t xml:space="preserve">June 2026</w:t>
            </w:r>
          </w:p>
        </w:tc>
      </w:tr>
      <w:tr>
        <w:tc>
          <w:tcPr>
            <w:tcW w:type="dxa" w:w="27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19"/>
                <w:szCs w:val="19"/>
              </w:rPr>
              <w:t xml:space="preserve">Next Review</w:t>
            </w:r>
          </w:p>
        </w:tc>
        <w:tc>
          <w:tcPr>
            <w:tcW w:type="dxa" w:w="3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sz w:val="19"/>
                <w:szCs w:val="19"/>
              </w:rPr>
              <w:t xml:space="preserve">June 2027</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before="0" w:line="276"/>
      </w:pPr>
      <w:r>
        <w:t xml:space="preserve">This Standard Operating Procedure (SOP) defines the mandatory naming conventions to be applied across the Digital Construction Operating System (DCOS). It establishes a single, controlled set of rules governing how every project, work breakdown structure (WBS) node, task, document, contract, cost record, procurement transaction, user, asset, database object, API, and source-code artifact is named and coded within the platform.</w:t>
      </w:r>
    </w:p>
    <w:p>
      <w:pPr>
        <w:spacing w:after="120" w:before="0" w:line="276"/>
      </w:pPr>
      <w:r>
        <w:t xml:space="preserve">DCOS is a WBS-driven, multi-tenant construction operating system that connects all disciplines, stakeholders, documents, cost, schedule and field operations into one platform. Because every record in DCOS ultimately links back to a project and a WBS location, naming consistency is not cosmetic — it is the mechanism that makes search, traceability, roll-up reporting, and automation work reliably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9" w:sz="2"/>
              <w:left w:val="single" w:color="2E75B6" w:sz="24"/>
              <w:bottom w:val="single" w:color="EEF3F9" w:sz="2"/>
              <w:right w:val="single" w:color="EEF3F9" w:sz="2"/>
            </w:tcBorders>
            <w:shd w:fill="EEF3F9" w:val="clear"/>
            <w:tcMar>
              <w:top w:type="dxa" w:w="120"/>
              <w:left w:type="dxa" w:w="200"/>
              <w:bottom w:type="dxa" w:w="120"/>
              <w:right w:type="dxa" w:w="160"/>
            </w:tcMar>
          </w:tcPr>
          <w:p>
            <w:pPr>
              <w:spacing w:after="60"/>
            </w:pPr>
            <w:r>
              <w:rPr>
                <w:b/>
                <w:bCs/>
                <w:color w:val="2E75B6"/>
              </w:rPr>
              <w:t xml:space="preserve">Why this SOP exists</w:t>
            </w:r>
          </w:p>
          <w:p>
            <w:pPr>
              <w:spacing w:after="40" w:line="264"/>
            </w:pPr>
            <w:r>
              <w:t xml:space="preserve">Consistency — every team names the same thing the same way.</w:t>
            </w:r>
          </w:p>
          <w:p>
            <w:pPr>
              <w:spacing w:after="40" w:line="264"/>
            </w:pPr>
            <w:r>
              <w:t xml:space="preserve">Searchability — predictable codes make records findable in seconds.</w:t>
            </w:r>
          </w:p>
          <w:p>
            <w:pPr>
              <w:spacing w:after="40" w:line="264"/>
            </w:pPr>
            <w:r>
              <w:t xml:space="preserve">Traceability — a code reveals project, discipline, location and revision at a glance.</w:t>
            </w:r>
          </w:p>
          <w:p>
            <w:pPr>
              <w:spacing w:after="40" w:line="264"/>
            </w:pPr>
            <w:r>
              <w:t xml:space="preserve">Automation compatibility — workflow, notification and reporting engines can parse structured codes.</w:t>
            </w:r>
          </w:p>
          <w:p>
            <w:pPr>
              <w:spacing w:after="0" w:line="264"/>
            </w:pPr>
            <w:r>
              <w:t xml:space="preserve">Data quality — clean, governed identifiers prevent duplication and ambiguity.</w:t>
            </w:r>
          </w:p>
        </w:tc>
      </w:tr>
    </w:tbl>
    <w:p>
      <w:pPr>
        <w:pStyle w:val="Heading1"/>
      </w:pPr>
      <w:r>
        <w:t xml:space="preserve">2. Scope</w:t>
      </w:r>
    </w:p>
    <w:p>
      <w:pPr>
        <w:spacing w:after="120" w:before="0" w:line="276"/>
      </w:pPr>
      <w:r>
        <w:t xml:space="preserve">This SOP is mandatory for all personnel, contractors, consultants, and external parties who create, edit, or administer records within DCOS. It applies to all tenants, all projects, and all lifecycle phases from tender through to defect liability close-out.</w:t>
      </w:r>
    </w:p>
    <w:p>
      <w:pPr>
        <w:pStyle w:val="Heading3"/>
      </w:pPr>
      <w:r>
        <w:t xml:space="preserve">2.1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Domain</w:t>
            </w:r>
          </w:p>
        </w:tc>
        <w:tc>
          <w:tcPr>
            <w:tcW w:type="dxa" w:w="67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Covered Items</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Project structure</w:t>
            </w:r>
          </w:p>
        </w:tc>
        <w:tc>
          <w:tcPr>
            <w:tcW w:type="dxa" w:w="6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Companies, projects, WBS nodes (building, level, zone, room, element), tasks</w:t>
            </w:r>
          </w:p>
        </w:tc>
      </w:tr>
      <w:tr>
        <w:tc>
          <w:tcPr>
            <w:tcW w:type="dxa" w:w="26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Documents</w:t>
            </w:r>
          </w:p>
        </w:tc>
        <w:tc>
          <w:tcPr>
            <w:tcW w:type="dxa" w:w="67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Drawings, calculations, specifications, reports, RFIs, method statements, ITPs</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Procurement</w:t>
            </w:r>
          </w:p>
        </w:tc>
        <w:tc>
          <w:tcPr>
            <w:tcW w:type="dxa" w:w="6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Purchase requests, RFQs, purchase orders, goods receipts</w:t>
            </w:r>
          </w:p>
        </w:tc>
      </w:tr>
      <w:tr>
        <w:tc>
          <w:tcPr>
            <w:tcW w:type="dxa" w:w="26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Commercial</w:t>
            </w:r>
          </w:p>
        </w:tc>
        <w:tc>
          <w:tcPr>
            <w:tcW w:type="dxa" w:w="67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BOQ items, budget codes, cost codes, variation orders, interim payment certificates</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Contracts</w:t>
            </w:r>
          </w:p>
        </w:tc>
        <w:tc>
          <w:tcPr>
            <w:tcW w:type="dxa" w:w="6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Contracts, claims, extension-of-time records</w:t>
            </w:r>
          </w:p>
        </w:tc>
      </w:tr>
      <w:tr>
        <w:tc>
          <w:tcPr>
            <w:tcW w:type="dxa" w:w="26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QA/QC &amp; HSE</w:t>
            </w:r>
          </w:p>
        </w:tc>
        <w:tc>
          <w:tcPr>
            <w:tcW w:type="dxa" w:w="67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Inspection requests, NCRs, punch lists, incidents, permits, toolbox talks</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People &amp; parties</w:t>
            </w:r>
          </w:p>
        </w:tc>
        <w:tc>
          <w:tcPr>
            <w:tcW w:type="dxa" w:w="6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Users, usernames, emails, stakeholders, external companies</w:t>
            </w:r>
          </w:p>
        </w:tc>
      </w:tr>
      <w:tr>
        <w:tc>
          <w:tcPr>
            <w:tcW w:type="dxa" w:w="26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Assets</w:t>
            </w:r>
          </w:p>
        </w:tc>
        <w:tc>
          <w:tcPr>
            <w:tcW w:type="dxa" w:w="67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Equipment, vehicles</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Technical</w:t>
            </w:r>
          </w:p>
        </w:tc>
        <w:tc>
          <w:tcPr>
            <w:tcW w:type="dxa" w:w="6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Storage folders, database tables and keys, API endpoints, source code</w:t>
            </w:r>
          </w:p>
        </w:tc>
      </w:tr>
      <w:tr>
        <w:tc>
          <w:tcPr>
            <w:tcW w:type="dxa" w:w="26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Statuses</w:t>
            </w:r>
          </w:p>
        </w:tc>
        <w:tc>
          <w:tcPr>
            <w:tcW w:type="dxa" w:w="67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Standardised status values for tasks, documents and procurement</w:t>
            </w:r>
          </w:p>
        </w:tc>
      </w:tr>
    </w:tbl>
    <w:p>
      <w:pPr>
        <w:spacing w:after="120"/>
      </w:pPr>
    </w:p>
    <w:p>
      <w:pPr>
        <w:pStyle w:val="Heading3"/>
      </w:pPr>
      <w:r>
        <w:t xml:space="preserve">2.2 Out of Scope</w:t>
      </w:r>
    </w:p>
    <w:p>
      <w:pPr>
        <w:pStyle w:val="ListParagraph"/>
        <w:numPr>
          <w:ilvl w:val="0"/>
          <w:numId w:val="2"/>
        </w:numPr>
        <w:spacing w:after="60" w:line="276"/>
      </w:pPr>
      <w:r>
        <w:t xml:space="preserve">Display names, free-text descriptions, and narrative fields that are not used as system identifiers.</w:t>
      </w:r>
    </w:p>
    <w:p>
      <w:pPr>
        <w:pStyle w:val="ListParagraph"/>
        <w:numPr>
          <w:ilvl w:val="0"/>
          <w:numId w:val="2"/>
        </w:numPr>
        <w:spacing w:after="60" w:line="276"/>
      </w:pPr>
      <w:r>
        <w:t xml:space="preserve">Legacy data imported from external systems, which is governed by a separate data-migration mapping procedure.</w:t>
      </w:r>
    </w:p>
    <w:p>
      <w:pPr>
        <w:pStyle w:val="ListParagraph"/>
        <w:numPr>
          <w:ilvl w:val="0"/>
          <w:numId w:val="2"/>
        </w:numPr>
        <w:spacing w:after="60" w:line="276"/>
      </w:pPr>
      <w:r>
        <w:t xml:space="preserve">Third-party or integrated system identifiers that DCOS receives but does not generate.</w:t>
      </w:r>
    </w:p>
    <w:p>
      <w:pPr>
        <w:pStyle w:val="Heading1"/>
      </w:pPr>
      <w:r>
        <w:t xml:space="preserve">3.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Term</w:t>
            </w:r>
          </w:p>
        </w:tc>
        <w:tc>
          <w:tcPr>
            <w:tcW w:type="dxa" w:w="70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Definition</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Code</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A short, machine-friendly identifier composed only of permitted characters (e.g. PRJ-2026-001).</w:t>
            </w:r>
          </w:p>
        </w:tc>
      </w:tr>
      <w:tr>
        <w:tc>
          <w:tcPr>
            <w:tcW w:type="dxa" w:w="2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Identifier (ID)</w:t>
            </w:r>
          </w:p>
        </w:tc>
        <w:tc>
          <w:tcPr>
            <w:tcW w:type="dxa" w:w="70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A system-generated sequential reference for a record (e.g. USR-000001).</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WBS</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Work Breakdown Structure — the hierarchical spine connecting all project records.</w:t>
            </w:r>
          </w:p>
        </w:tc>
      </w:tr>
      <w:tr>
        <w:tc>
          <w:tcPr>
            <w:tcW w:type="dxa" w:w="2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Discipline</w:t>
            </w:r>
          </w:p>
        </w:tc>
        <w:tc>
          <w:tcPr>
            <w:tcW w:type="dxa" w:w="70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An engineering or management domain (ARC, STR, MEP, etc.).</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Revision</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A controlled version marker applied to documents (R00, R01, R02 …).</w:t>
            </w:r>
          </w:p>
        </w:tc>
      </w:tr>
      <w:tr>
        <w:tc>
          <w:tcPr>
            <w:tcW w:type="dxa" w:w="2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Reserved Prefix</w:t>
            </w:r>
          </w:p>
        </w:tc>
        <w:tc>
          <w:tcPr>
            <w:tcW w:type="dxa" w:w="70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A code prefix permanently assigned to one record type and never reused for another.</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Governance Board</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The authority that approves changes to controlled naming structures.</w:t>
            </w:r>
          </w:p>
        </w:tc>
      </w:tr>
      <w:tr>
        <w:tc>
          <w:tcPr>
            <w:tcW w:type="dxa" w:w="2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Controlled Structure</w:t>
            </w:r>
          </w:p>
        </w:tc>
        <w:tc>
          <w:tcPr>
            <w:tcW w:type="dxa" w:w="70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A naming format that cannot be altered without Governance Board approval.</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SOP</w:t>
            </w:r>
          </w:p>
        </w:tc>
        <w:tc>
          <w:tcPr>
            <w:tcW w:type="dxa" w:w="7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Standard Operating Procedure — this controlled document.</w:t>
            </w:r>
          </w:p>
        </w:tc>
      </w:tr>
    </w:tbl>
    <w:p>
      <w:pPr>
        <w:pStyle w:val="Heading1"/>
      </w:pPr>
      <w:r>
        <w:t xml:space="preserve">4. Roles and Responsibilities</w:t>
      </w:r>
    </w:p>
    <w:p>
      <w:pPr>
        <w:spacing w:after="120" w:before="0" w:line="276"/>
      </w:pPr>
      <w:r>
        <w:t xml:space="preserve">Naming governance is a shared responsibility. The following roles are accountable for applying and enforcing this SOP within DCOS.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Role</w:t>
            </w:r>
          </w:p>
        </w:tc>
        <w:tc>
          <w:tcPr>
            <w:tcW w:type="dxa" w:w="66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Responsibility</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Governance Board</w:t>
            </w:r>
          </w:p>
        </w:tc>
        <w:tc>
          <w:tcPr>
            <w:tcW w:type="dxa" w:w="66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Owns this SOP. Approves any change to controlled naming structures. Reviews the standard annually.</w:t>
            </w:r>
          </w:p>
        </w:tc>
      </w:tr>
      <w:tr>
        <w:tc>
          <w:tcPr>
            <w:tcW w:type="dxa" w:w="27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System / Platform Admin</w:t>
            </w:r>
          </w:p>
        </w:tc>
        <w:tc>
          <w:tcPr>
            <w:tcW w:type="dxa" w:w="66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Configures auto-code generation, reserved prefixes, and validation rules in the platform.</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Company Admin</w:t>
            </w:r>
          </w:p>
        </w:tc>
        <w:tc>
          <w:tcPr>
            <w:tcW w:type="dxa" w:w="66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Ensures company, stakeholder and user codes follow the standard within their tenant.</w:t>
            </w:r>
          </w:p>
        </w:tc>
      </w:tr>
      <w:tr>
        <w:tc>
          <w:tcPr>
            <w:tcW w:type="dxa" w:w="27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Project Manager</w:t>
            </w:r>
          </w:p>
        </w:tc>
        <w:tc>
          <w:tcPr>
            <w:tcW w:type="dxa" w:w="66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Confirms project codes, WBS structure and document numbering are correctly set up at project initiation.</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Document Controller</w:t>
            </w:r>
          </w:p>
        </w:tc>
        <w:tc>
          <w:tcPr>
            <w:tcW w:type="dxa" w:w="66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Enforces the document numbering convention; rejects non-compliant document numbers.</w:t>
            </w:r>
          </w:p>
        </w:tc>
      </w:tr>
      <w:tr>
        <w:tc>
          <w:tcPr>
            <w:tcW w:type="dxa" w:w="27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Discipline Managers</w:t>
            </w:r>
          </w:p>
        </w:tc>
        <w:tc>
          <w:tcPr>
            <w:tcW w:type="dxa" w:w="66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Ensure task, drawing and discipline codes follow the standard within their discipline.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QS / Commercial Team</w:t>
            </w:r>
          </w:p>
        </w:tc>
        <w:tc>
          <w:tcPr>
            <w:tcW w:type="dxa" w:w="66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Apply BOQ, cost, budget, variation, IPC and contract naming rules.</w:t>
            </w:r>
          </w:p>
        </w:tc>
      </w:tr>
      <w:tr>
        <w:tc>
          <w:tcPr>
            <w:tcW w:type="dxa" w:w="27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All Users</w:t>
            </w:r>
          </w:p>
        </w:tc>
        <w:tc>
          <w:tcPr>
            <w:tcW w:type="dxa" w:w="66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Apply this SOP to every record they create. Report inconsistencies to the Document Controller.</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Developers</w:t>
            </w:r>
          </w:p>
        </w:tc>
        <w:tc>
          <w:tcPr>
            <w:tcW w:type="dxa" w:w="66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Apply database, API and source-code naming rules; embed validation in the application.</w:t>
            </w:r>
          </w:p>
        </w:tc>
      </w:tr>
    </w:tbl>
    <w:p>
      <w:pPr>
        <w:pStyle w:val="Heading1"/>
      </w:pPr>
      <w:r>
        <w:t xml:space="preserve">5. General Naming Rules</w:t>
      </w:r>
    </w:p>
    <w:p>
      <w:pPr>
        <w:spacing w:after="160" w:before="0" w:line="276"/>
      </w:pPr>
      <w:r>
        <w:t xml:space="preserve">The following rules apply to every code and identifier created in DCOS, regardless of module. They take precedence over any module-specific convenience.</w:t>
      </w:r>
    </w:p>
    <w:p>
      <w:pPr>
        <w:pStyle w:val="Heading3"/>
      </w:pPr>
      <w:r>
        <w:t xml:space="preserve">Rule 01 — Use English Only</w:t>
      </w:r>
    </w:p>
    <w:p>
      <w:pPr>
        <w:spacing w:after="120" w:before="0" w:line="276"/>
      </w:pPr>
      <w:r>
        <w:t xml:space="preserve">All system codes, identifiers and structured names must be in English. Other languages may appear only in free-text display fields, never in codes.</w:t>
      </w:r>
    </w:p>
    <w:p>
      <w:pPr>
        <w:pBdr>
          <w:left w:val="single" w:color="548235" w:sz="12" w:space="4"/>
        </w:pBdr>
        <w:shd w:fill="EAF3E5" w:val="clear"/>
        <w:spacing w:after="0" w:line="252"/>
        <w:ind w:left="200" w:right="200"/>
      </w:pPr>
      <w:r>
        <w:rPr>
          <w:b/>
          <w:bCs/>
          <w:color w:val="548235"/>
        </w:rPr>
        <w:t xml:space="preserve">✓  </w:t>
      </w:r>
      <w:r>
        <w:rPr>
          <w:rFonts w:ascii="Consolas" w:cs="Consolas" w:eastAsia="Consolas" w:hAnsi="Consolas"/>
          <w:sz w:val="19"/>
          <w:szCs w:val="19"/>
        </w:rPr>
        <w:t xml:space="preserve">Structural Design      Concrete Pour      Purchase Request</w:t>
      </w:r>
    </w:p>
    <w:p>
      <w:pPr>
        <w:spacing w:after="40"/>
      </w:pPr>
    </w:p>
    <w:p>
      <w:pPr>
        <w:pBdr>
          <w:left w:val="single" w:color="C00000" w:sz="12" w:space="4"/>
        </w:pBdr>
        <w:shd w:fill="FBE9E7" w:val="clear"/>
        <w:spacing w:after="0" w:line="252"/>
        <w:ind w:left="200" w:right="200"/>
      </w:pPr>
      <w:r>
        <w:rPr>
          <w:b/>
          <w:bCs/>
          <w:color w:val="C00000"/>
        </w:rPr>
        <w:t xml:space="preserve">✗  </w:t>
      </w:r>
      <w:r>
        <w:rPr>
          <w:rFonts w:ascii="Consolas" w:cs="Consolas" w:eastAsia="Consolas" w:hAnsi="Consolas"/>
          <w:sz w:val="19"/>
          <w:szCs w:val="19"/>
        </w:rPr>
        <w:t xml:space="preserve">សំណង់        设计</w:t>
      </w:r>
    </w:p>
    <w:p>
      <w:pPr>
        <w:spacing w:after="120"/>
      </w:pPr>
    </w:p>
    <w:p>
      <w:pPr>
        <w:pStyle w:val="Heading3"/>
      </w:pPr>
      <w:r>
        <w:t xml:space="preserve">Rule 02 — Avoid Special Characters</w:t>
      </w:r>
    </w:p>
    <w:p>
      <w:pPr>
        <w:spacing w:after="120" w:before="0" w:line="276"/>
      </w:pPr>
      <w:r>
        <w:t xml:space="preserve">Only the following characters are permitted in system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Permitted</w:t>
            </w:r>
          </w:p>
        </w:tc>
        <w:tc>
          <w:tcPr>
            <w:tcW w:type="dxa" w:w="468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Not Permitted</w:t>
            </w:r>
          </w:p>
        </w:tc>
      </w:tr>
      <w:t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A–Z   (uppercase letters)</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   @   $   %   &amp;</w:t>
            </w:r>
          </w:p>
        </w:tc>
      </w:tr>
      <w:tr>
        <w:tc>
          <w:tcPr>
            <w:tcW w:type="dxa" w:w="468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0–9   (digits)</w:t>
            </w:r>
          </w:p>
        </w:tc>
        <w:tc>
          <w:tcPr>
            <w:tcW w:type="dxa" w:w="468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   ?   /   \</w:t>
            </w:r>
          </w:p>
        </w:tc>
      </w:tr>
      <w:t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   (hyphen)   _   (underscore)</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spaces and all other symbols</w:t>
            </w:r>
          </w:p>
        </w:tc>
      </w:tr>
    </w:tbl>
    <w:p>
      <w:pPr>
        <w:spacing w:after="120"/>
      </w:pPr>
    </w:p>
    <w:p>
      <w:pPr>
        <w:pStyle w:val="Heading3"/>
      </w:pPr>
      <w:r>
        <w:t xml:space="preserve">Rule 03 — No Spaces in System Codes</w:t>
      </w:r>
    </w:p>
    <w:p>
      <w:pPr>
        <w:spacing w:after="120" w:before="0" w:line="276"/>
      </w:pPr>
      <w:r>
        <w:t xml:space="preserve">System codes must never contain spaces. Use hyphens or underscores instead.</w:t>
      </w:r>
    </w:p>
    <w:p>
      <w:pPr>
        <w:pBdr>
          <w:left w:val="single" w:color="548235" w:sz="12" w:space="4"/>
        </w:pBdr>
        <w:shd w:fill="EAF3E5" w:val="clear"/>
        <w:spacing w:after="0" w:line="252"/>
        <w:ind w:left="200" w:right="200"/>
      </w:pPr>
      <w:r>
        <w:rPr>
          <w:b/>
          <w:bCs/>
          <w:color w:val="548235"/>
        </w:rPr>
        <w:t xml:space="preserve">✓  </w:t>
      </w:r>
      <w:r>
        <w:rPr>
          <w:rFonts w:ascii="Consolas" w:cs="Consolas" w:eastAsia="Consolas" w:hAnsi="Consolas"/>
          <w:sz w:val="19"/>
          <w:szCs w:val="19"/>
        </w:rPr>
        <w:t xml:space="preserve">PRJ-001        WBS-L05        TASK-0001</w:t>
      </w:r>
    </w:p>
    <w:p>
      <w:pPr>
        <w:spacing w:after="40"/>
      </w:pPr>
    </w:p>
    <w:p>
      <w:pPr>
        <w:pBdr>
          <w:left w:val="single" w:color="C00000" w:sz="12" w:space="4"/>
        </w:pBdr>
        <w:shd w:fill="FBE9E7" w:val="clear"/>
        <w:spacing w:after="0" w:line="252"/>
        <w:ind w:left="200" w:right="200"/>
      </w:pPr>
      <w:r>
        <w:rPr>
          <w:b/>
          <w:bCs/>
          <w:color w:val="C00000"/>
        </w:rPr>
        <w:t xml:space="preserve">✗  </w:t>
      </w:r>
      <w:r>
        <w:rPr>
          <w:rFonts w:ascii="Consolas" w:cs="Consolas" w:eastAsia="Consolas" w:hAnsi="Consolas"/>
          <w:sz w:val="19"/>
          <w:szCs w:val="19"/>
        </w:rPr>
        <w:t xml:space="preserve">Project 001        Task 1</w:t>
      </w:r>
    </w:p>
    <w:p>
      <w:pPr>
        <w:spacing w:after="120"/>
      </w:pPr>
    </w:p>
    <w:p>
      <w:pPr>
        <w:pStyle w:val="Heading3"/>
      </w:pPr>
      <w:r>
        <w:t xml:space="preserve">Rule 04 — Codes Are Permanent</w:t>
      </w:r>
    </w:p>
    <w:p>
      <w:pPr>
        <w:spacing w:after="120" w:before="0" w:line="276"/>
      </w:pPr>
      <w:r>
        <w:t xml:space="preserve">Once a code or identifier is generated and saved, it must never be changed. Codes are permanent keys that other records, documents and audit logs depend on. If a record is created in error, it must be cancelled or archived — not renumbered.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C00000" w:sz="24"/>
              <w:bottom w:val="single" w:color="FBE9E7" w:sz="2"/>
              <w:right w:val="single" w:color="FBE9E7" w:sz="2"/>
            </w:tcBorders>
            <w:shd w:fill="FBE9E7" w:val="clear"/>
            <w:tcMar>
              <w:top w:type="dxa" w:w="120"/>
              <w:left w:type="dxa" w:w="200"/>
              <w:bottom w:type="dxa" w:w="120"/>
              <w:right w:type="dxa" w:w="160"/>
            </w:tcMar>
          </w:tcPr>
          <w:p>
            <w:pPr>
              <w:spacing w:after="60"/>
            </w:pPr>
            <w:r>
              <w:rPr>
                <w:b/>
                <w:bCs/>
                <w:color w:val="C00000"/>
              </w:rPr>
              <w:t xml:space="preserve">Permanence rule</w:t>
            </w:r>
          </w:p>
          <w:p>
            <w:pPr>
              <w:spacing w:after="0" w:line="264"/>
            </w:pPr>
            <w:r>
              <w:t xml:space="preserve">A code, once issued, is immutable. Correct errors by cancelling/archiving the record and issuing a new code — never by editing the original code.</w:t>
            </w:r>
          </w:p>
        </w:tc>
      </w:tr>
    </w:tbl>
    <w:p>
      <w:pPr>
        <w:pStyle w:val="Heading1"/>
      </w:pPr>
      <w:r>
        <w:t xml:space="preserve">6. Procedure — Code Standards by Domain</w:t>
      </w:r>
    </w:p>
    <w:p>
      <w:pPr>
        <w:spacing w:after="120" w:before="0" w:line="276"/>
      </w:pPr>
      <w:r>
        <w:t xml:space="preserve">This section defines the required format for each record type. Each entry gives the format pattern followed by worked examples. Patterns use these placeholders: YYYY = four-digit year, XXX / XXXXX = zero-padded running sequence.</w:t>
      </w:r>
    </w:p>
    <w:p>
      <w:pPr>
        <w:pStyle w:val="Heading2"/>
      </w:pPr>
      <w:r>
        <w:t xml:space="preserve">6.1 Company</w:t>
      </w:r>
    </w:p>
    <w:p>
      <w:pPr>
        <w:spacing w:after="40" w:before="80"/>
      </w:pPr>
      <w:r>
        <w:rPr>
          <w:b/>
          <w:bCs/>
          <w:color w:val="1F3864"/>
        </w:rPr>
        <w:t xml:space="preserve">Company Code — format:</w:t>
      </w:r>
    </w:p>
    <w:p>
      <w:pPr>
        <w:pBdr>
          <w:left w:val="single" w:color="2E75B6" w:sz="12" w:space="4"/>
        </w:pBdr>
        <w:shd w:fill="F2F2F2" w:val="clear"/>
        <w:spacing w:after="0" w:line="252"/>
        <w:ind w:left="200" w:right="200"/>
      </w:pPr>
      <w:r>
        <w:rPr>
          <w:rFonts w:ascii="Consolas" w:cs="Consolas" w:eastAsia="Consolas" w:hAnsi="Consolas"/>
          <w:sz w:val="19"/>
          <w:szCs w:val="19"/>
        </w:rPr>
        <w:t xml:space="preserve">COM-XXX</w:t>
      </w:r>
    </w:p>
    <w:p>
      <w:pPr>
        <w:spacing w:after="80"/>
      </w:pPr>
    </w:p>
    <w:p>
      <w:pPr>
        <w:spacing w:after="40" w:before="80"/>
      </w:pPr>
      <w:r>
        <w:rPr>
          <w:b/>
          <w:bCs/>
          <w:color w:val="1F3864"/>
        </w:rPr>
        <w:t xml:space="preserve">Examples:</w:t>
      </w:r>
    </w:p>
    <w:p>
      <w:pPr>
        <w:pBdr>
          <w:left w:val="single" w:color="2E75B6" w:sz="12" w:space="4"/>
        </w:pBdr>
        <w:shd w:fill="F2F2F2" w:val="clear"/>
        <w:spacing w:after="0" w:line="252"/>
        <w:ind w:left="200" w:right="200"/>
      </w:pPr>
      <w:r>
        <w:rPr>
          <w:rFonts w:ascii="Consolas" w:cs="Consolas" w:eastAsia="Consolas" w:hAnsi="Consolas"/>
          <w:sz w:val="19"/>
          <w:szCs w:val="19"/>
        </w:rPr>
        <w:t xml:space="preserve">COM-CMED</w:t>
      </w:r>
    </w:p>
    <w:p>
      <w:pPr>
        <w:pBdr>
          <w:left w:val="single" w:color="2E75B6" w:sz="12" w:space="4"/>
        </w:pBdr>
        <w:shd w:fill="F2F2F2" w:val="clear"/>
        <w:spacing w:after="0" w:line="252"/>
        <w:ind w:left="200" w:right="200"/>
      </w:pPr>
      <w:r>
        <w:rPr>
          <w:rFonts w:ascii="Consolas" w:cs="Consolas" w:eastAsia="Consolas" w:hAnsi="Consolas"/>
          <w:sz w:val="19"/>
          <w:szCs w:val="19"/>
        </w:rPr>
        <w:t xml:space="preserve">COM-GDT</w:t>
      </w:r>
    </w:p>
    <w:p>
      <w:pPr>
        <w:pBdr>
          <w:left w:val="single" w:color="2E75B6" w:sz="12" w:space="4"/>
        </w:pBdr>
        <w:shd w:fill="F2F2F2" w:val="clear"/>
        <w:spacing w:after="0" w:line="252"/>
        <w:ind w:left="200" w:right="200"/>
      </w:pPr>
      <w:r>
        <w:rPr>
          <w:rFonts w:ascii="Consolas" w:cs="Consolas" w:eastAsia="Consolas" w:hAnsi="Consolas"/>
          <w:sz w:val="19"/>
          <w:szCs w:val="19"/>
        </w:rPr>
        <w:t xml:space="preserve">COM-PPH</w:t>
      </w:r>
    </w:p>
    <w:p>
      <w:pPr>
        <w:spacing w:after="80"/>
      </w:pPr>
    </w:p>
    <w:p>
      <w:pPr>
        <w:spacing w:after="40" w:before="80"/>
      </w:pPr>
      <w:r>
        <w:rPr>
          <w:b/>
          <w:bCs/>
          <w:color w:val="1F3864"/>
        </w:rPr>
        <w:t xml:space="preserve">Company ID — format:</w:t>
      </w:r>
    </w:p>
    <w:p>
      <w:pPr>
        <w:pBdr>
          <w:left w:val="single" w:color="2E75B6" w:sz="12" w:space="4"/>
        </w:pBdr>
        <w:shd w:fill="F2F2F2" w:val="clear"/>
        <w:spacing w:after="0" w:line="252"/>
        <w:ind w:left="200" w:right="200"/>
      </w:pPr>
      <w:r>
        <w:rPr>
          <w:rFonts w:ascii="Consolas" w:cs="Consolas" w:eastAsia="Consolas" w:hAnsi="Consolas"/>
          <w:sz w:val="19"/>
          <w:szCs w:val="19"/>
        </w:rPr>
        <w:t xml:space="preserve">CMP-00001</w:t>
      </w:r>
    </w:p>
    <w:p>
      <w:pPr>
        <w:spacing w:after="80"/>
      </w:pPr>
    </w:p>
    <w:p>
      <w:pPr>
        <w:spacing w:after="40" w:before="80"/>
      </w:pPr>
      <w:r>
        <w:rPr>
          <w:b/>
          <w:bCs/>
          <w:color w:val="1F3864"/>
        </w:rPr>
        <w:t xml:space="preserve">Examples:</w:t>
      </w:r>
    </w:p>
    <w:p>
      <w:pPr>
        <w:pBdr>
          <w:left w:val="single" w:color="2E75B6" w:sz="12" w:space="4"/>
        </w:pBdr>
        <w:shd w:fill="F2F2F2" w:val="clear"/>
        <w:spacing w:after="0" w:line="252"/>
        <w:ind w:left="200" w:right="200"/>
      </w:pPr>
      <w:r>
        <w:rPr>
          <w:rFonts w:ascii="Consolas" w:cs="Consolas" w:eastAsia="Consolas" w:hAnsi="Consolas"/>
          <w:sz w:val="19"/>
          <w:szCs w:val="19"/>
        </w:rPr>
        <w:t xml:space="preserve">CMP-00001</w:t>
      </w:r>
    </w:p>
    <w:p>
      <w:pPr>
        <w:pBdr>
          <w:left w:val="single" w:color="2E75B6" w:sz="12" w:space="4"/>
        </w:pBdr>
        <w:shd w:fill="F2F2F2" w:val="clear"/>
        <w:spacing w:after="0" w:line="252"/>
        <w:ind w:left="200" w:right="200"/>
      </w:pPr>
      <w:r>
        <w:rPr>
          <w:rFonts w:ascii="Consolas" w:cs="Consolas" w:eastAsia="Consolas" w:hAnsi="Consolas"/>
          <w:sz w:val="19"/>
          <w:szCs w:val="19"/>
        </w:rPr>
        <w:t xml:space="preserve">CMP-00002</w:t>
      </w:r>
    </w:p>
    <w:p>
      <w:pPr>
        <w:pBdr>
          <w:left w:val="single" w:color="2E75B6" w:sz="12" w:space="4"/>
        </w:pBdr>
        <w:shd w:fill="F2F2F2" w:val="clear"/>
        <w:spacing w:after="0" w:line="252"/>
        <w:ind w:left="200" w:right="200"/>
      </w:pPr>
      <w:r>
        <w:rPr>
          <w:rFonts w:ascii="Consolas" w:cs="Consolas" w:eastAsia="Consolas" w:hAnsi="Consolas"/>
          <w:sz w:val="19"/>
          <w:szCs w:val="19"/>
        </w:rPr>
        <w:t xml:space="preserve">CMP-00003</w:t>
      </w:r>
    </w:p>
    <w:p>
      <w:pPr>
        <w:spacing w:after="80"/>
      </w:pPr>
    </w:p>
    <w:p>
      <w:pPr>
        <w:pStyle w:val="Heading2"/>
      </w:pPr>
      <w:r>
        <w:t xml:space="preserve">6.2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Element</w:t>
            </w:r>
          </w:p>
        </w:tc>
        <w:tc>
          <w:tcPr>
            <w:tcW w:type="dxa" w:w="30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Format</w:t>
            </w:r>
          </w:p>
        </w:tc>
        <w:tc>
          <w:tcPr>
            <w:tcW w:type="dxa" w:w="39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Example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Project Code</w:t>
            </w:r>
          </w:p>
        </w:tc>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PRJ-YYYY-XXX</w:t>
            </w:r>
          </w:p>
        </w:tc>
        <w:tc>
          <w:tcPr>
            <w:tcW w:type="dxa" w:w="3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PRJ-2026-001</w:t>
            </w:r>
          </w:p>
        </w:tc>
      </w:tr>
      <w:tr>
        <w:tc>
          <w:tcPr>
            <w:tcW w:type="dxa" w:w="2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Project Short Name</w:t>
            </w:r>
          </w:p>
        </w:tc>
        <w:tc>
          <w:tcPr>
            <w:tcW w:type="dxa" w:w="30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PROJECT-ACRONYM</w:t>
            </w:r>
          </w:p>
        </w:tc>
        <w:tc>
          <w:tcPr>
            <w:tcW w:type="dxa" w:w="39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GDT</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Full Project Name</w:t>
            </w:r>
          </w:p>
        </w:tc>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Free-text display name</w:t>
            </w:r>
          </w:p>
        </w:tc>
        <w:tc>
          <w:tcPr>
            <w:tcW w:type="dxa" w:w="39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General Department of Taxation Tower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9" w:sz="2"/>
              <w:left w:val="single" w:color="2E75B6" w:sz="24"/>
              <w:bottom w:val="single" w:color="EEF3F9" w:sz="2"/>
              <w:right w:val="single" w:color="EEF3F9" w:sz="2"/>
            </w:tcBorders>
            <w:shd w:fill="EEF3F9" w:val="clear"/>
            <w:tcMar>
              <w:top w:type="dxa" w:w="120"/>
              <w:left w:type="dxa" w:w="200"/>
              <w:bottom w:type="dxa" w:w="120"/>
              <w:right w:type="dxa" w:w="160"/>
            </w:tcMar>
          </w:tcPr>
          <w:p>
            <w:pPr>
              <w:spacing w:after="0" w:line="264"/>
            </w:pPr>
            <w:r>
              <w:t xml:space="preserve">The Project Code is system-controlled and permanent. The Short Name (acronym) is used inside document numbers, so it must be unique, stable, and agreed at project setup.</w:t>
            </w:r>
          </w:p>
        </w:tc>
      </w:tr>
    </w:tbl>
    <w:p>
      <w:pPr>
        <w:pStyle w:val="Heading2"/>
      </w:pPr>
      <w:r>
        <w:t xml:space="preserve">6.3 Work Breakdown Structure (WBS)</w:t>
      </w:r>
    </w:p>
    <w:p>
      <w:pPr>
        <w:spacing w:after="120" w:before="0" w:line="276"/>
      </w:pPr>
      <w:r>
        <w:t xml:space="preserve">The WBS is the spine of DCOS. Each level carries its own code, and codes combine to form the full WBS path. The standard hierarchy is:</w:t>
      </w:r>
    </w:p>
    <w:p>
      <w:pPr>
        <w:pBdr>
          <w:left w:val="single" w:color="2E75B6" w:sz="12" w:space="4"/>
        </w:pBdr>
        <w:shd w:fill="F2F2F2" w:val="clear"/>
        <w:spacing w:after="0" w:line="252"/>
        <w:ind w:left="200" w:right="200"/>
      </w:pPr>
      <w:r>
        <w:rPr>
          <w:rFonts w:ascii="Consolas" w:cs="Consolas" w:eastAsia="Consolas" w:hAnsi="Consolas"/>
          <w:sz w:val="19"/>
          <w:szCs w:val="19"/>
        </w:rPr>
        <w:t xml:space="preserve">Project</w:t>
      </w:r>
    </w:p>
    <w:p>
      <w:pPr>
        <w:pBdr>
          <w:left w:val="single" w:color="2E75B6" w:sz="12" w:space="4"/>
        </w:pBdr>
        <w:shd w:fill="F2F2F2" w:val="clear"/>
        <w:spacing w:after="0" w:line="252"/>
        <w:ind w:left="200" w:right="200"/>
      </w:pPr>
      <w:r>
        <w:rPr>
          <w:rFonts w:ascii="Consolas" w:cs="Consolas" w:eastAsia="Consolas" w:hAnsi="Consolas"/>
          <w:sz w:val="19"/>
          <w:szCs w:val="19"/>
        </w:rPr>
        <w:t xml:space="preserve">  Building</w:t>
      </w:r>
    </w:p>
    <w:p>
      <w:pPr>
        <w:pBdr>
          <w:left w:val="single" w:color="2E75B6" w:sz="12" w:space="4"/>
        </w:pBdr>
        <w:shd w:fill="F2F2F2" w:val="clear"/>
        <w:spacing w:after="0" w:line="252"/>
        <w:ind w:left="200" w:right="200"/>
      </w:pPr>
      <w:r>
        <w:rPr>
          <w:rFonts w:ascii="Consolas" w:cs="Consolas" w:eastAsia="Consolas" w:hAnsi="Consolas"/>
          <w:sz w:val="19"/>
          <w:szCs w:val="19"/>
        </w:rPr>
        <w:t xml:space="preserve">    Level</w:t>
      </w:r>
    </w:p>
    <w:p>
      <w:pPr>
        <w:pBdr>
          <w:left w:val="single" w:color="2E75B6" w:sz="12" w:space="4"/>
        </w:pBdr>
        <w:shd w:fill="F2F2F2" w:val="clear"/>
        <w:spacing w:after="0" w:line="252"/>
        <w:ind w:left="200" w:right="200"/>
      </w:pPr>
      <w:r>
        <w:rPr>
          <w:rFonts w:ascii="Consolas" w:cs="Consolas" w:eastAsia="Consolas" w:hAnsi="Consolas"/>
          <w:sz w:val="19"/>
          <w:szCs w:val="19"/>
        </w:rPr>
        <w:t xml:space="preserve">      Zone</w:t>
      </w:r>
    </w:p>
    <w:p>
      <w:pPr>
        <w:pBdr>
          <w:left w:val="single" w:color="2E75B6" w:sz="12" w:space="4"/>
        </w:pBdr>
        <w:shd w:fill="F2F2F2" w:val="clear"/>
        <w:spacing w:after="0" w:line="252"/>
        <w:ind w:left="200" w:right="200"/>
      </w:pPr>
      <w:r>
        <w:rPr>
          <w:rFonts w:ascii="Consolas" w:cs="Consolas" w:eastAsia="Consolas" w:hAnsi="Consolas"/>
          <w:sz w:val="19"/>
          <w:szCs w:val="19"/>
        </w:rPr>
        <w:t xml:space="preserve">        Room</w:t>
      </w:r>
    </w:p>
    <w:p>
      <w:pPr>
        <w:pBdr>
          <w:left w:val="single" w:color="2E75B6" w:sz="12" w:space="4"/>
        </w:pBdr>
        <w:shd w:fill="F2F2F2" w:val="clear"/>
        <w:spacing w:after="0" w:line="252"/>
        <w:ind w:left="200" w:right="200"/>
      </w:pPr>
      <w:r>
        <w:rPr>
          <w:rFonts w:ascii="Consolas" w:cs="Consolas" w:eastAsia="Consolas" w:hAnsi="Consolas"/>
          <w:sz w:val="19"/>
          <w:szCs w:val="19"/>
        </w:rPr>
        <w:t xml:space="preserve">          Element</w:t>
      </w:r>
    </w:p>
    <w:p>
      <w:pPr>
        <w:pBdr>
          <w:left w:val="single" w:color="2E75B6" w:sz="12" w:space="4"/>
        </w:pBdr>
        <w:shd w:fill="F2F2F2" w:val="clear"/>
        <w:spacing w:after="0" w:line="252"/>
        <w:ind w:left="200" w:right="200"/>
      </w:pPr>
      <w:r>
        <w:rPr>
          <w:rFonts w:ascii="Consolas" w:cs="Consolas" w:eastAsia="Consolas" w:hAnsi="Consolas"/>
          <w:sz w:val="19"/>
          <w:szCs w:val="19"/>
        </w:rPr>
        <w:t xml:space="preserve">            Task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60"/>
        <w:gridCol w:w="430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WBS Level</w:t>
            </w:r>
          </w:p>
        </w:tc>
        <w:tc>
          <w:tcPr>
            <w:tcW w:type="dxa" w:w="31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Format</w:t>
            </w:r>
          </w:p>
        </w:tc>
        <w:tc>
          <w:tcPr>
            <w:tcW w:type="dxa" w:w="43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Examples</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Building</w:t>
            </w:r>
          </w:p>
        </w:tc>
        <w:tc>
          <w:tcPr>
            <w:tcW w:type="dxa" w:w="3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BLD-XX  or  BLD-NAME</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BLD-01,  BLD-TOWERA,  BLD-PODIUM,  BLD-PARKING</w:t>
            </w:r>
          </w:p>
        </w:tc>
      </w:tr>
      <w:tr>
        <w:tc>
          <w:tcPr>
            <w:tcW w:type="dxa" w:w="19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Level</w:t>
            </w:r>
          </w:p>
        </w:tc>
        <w:tc>
          <w:tcPr>
            <w:tcW w:type="dxa" w:w="31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Lnn  /  Bn  /  RF</w:t>
            </w:r>
          </w:p>
        </w:tc>
        <w:tc>
          <w:tcPr>
            <w:tcW w:type="dxa" w:w="4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L05,  L20,  B2,  RF</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Zone</w:t>
            </w:r>
          </w:p>
        </w:tc>
        <w:tc>
          <w:tcPr>
            <w:tcW w:type="dxa" w:w="3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ZA, ZB, ZC, ZD</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ZA,  ZB</w:t>
            </w:r>
          </w:p>
        </w:tc>
      </w:tr>
      <w:tr>
        <w:tc>
          <w:tcPr>
            <w:tcW w:type="dxa" w:w="19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Room</w:t>
            </w:r>
          </w:p>
        </w:tc>
        <w:tc>
          <w:tcPr>
            <w:tcW w:type="dxa" w:w="31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RM-XXXX</w:t>
            </w:r>
          </w:p>
        </w:tc>
        <w:tc>
          <w:tcPr>
            <w:tcW w:type="dxa" w:w="4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RM-MEETING01,  RM-TOILET01,  RM-LOBBY01</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Element</w:t>
            </w:r>
          </w:p>
        </w:tc>
        <w:tc>
          <w:tcPr>
            <w:tcW w:type="dxa" w:w="3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DIS-XXX (from element library)</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STR-001,  ARC-001,  MEP-001</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9" w:sz="2"/>
              <w:left w:val="single" w:color="2E75B6" w:sz="24"/>
              <w:bottom w:val="single" w:color="EEF3F9" w:sz="2"/>
              <w:right w:val="single" w:color="EEF3F9" w:sz="2"/>
            </w:tcBorders>
            <w:shd w:fill="EEF3F9" w:val="clear"/>
            <w:tcMar>
              <w:top w:type="dxa" w:w="120"/>
              <w:left w:type="dxa" w:w="200"/>
              <w:bottom w:type="dxa" w:w="120"/>
              <w:right w:type="dxa" w:w="160"/>
            </w:tcMar>
          </w:tcPr>
          <w:p>
            <w:pPr>
              <w:spacing w:after="60"/>
            </w:pPr>
            <w:r>
              <w:rPr>
                <w:b/>
                <w:bCs/>
                <w:color w:val="2E75B6"/>
              </w:rPr>
              <w:t xml:space="preserve">WBS rules</w:t>
            </w:r>
          </w:p>
          <w:p>
            <w:pPr>
              <w:spacing w:after="40" w:line="264"/>
            </w:pPr>
            <w:r>
              <w:t xml:space="preserve">WBS codes must be unique within a project.</w:t>
            </w:r>
          </w:p>
          <w:p>
            <w:pPr>
              <w:spacing w:after="40" w:line="264"/>
            </w:pPr>
            <w:r>
              <w:t xml:space="preserve">Element codes are drawn from the standardised element library — do not invent ad-hoc element codes.</w:t>
            </w:r>
          </w:p>
          <w:p>
            <w:pPr>
              <w:spacing w:after="0" w:line="264"/>
            </w:pPr>
            <w:r>
              <w:t xml:space="preserve">Level codes use B for basement (B1, B2) and RF for roof.</w:t>
            </w:r>
          </w:p>
        </w:tc>
      </w:tr>
    </w:tbl>
    <w:p>
      <w:pPr>
        <w:pStyle w:val="Heading2"/>
      </w:pPr>
      <w:r>
        <w:t xml:space="preserve">6.4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Element</w:t>
            </w:r>
          </w:p>
        </w:tc>
        <w:tc>
          <w:tcPr>
            <w:tcW w:type="dxa" w:w="34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Format</w:t>
            </w:r>
          </w:p>
        </w:tc>
        <w:tc>
          <w:tcPr>
            <w:tcW w:type="dxa" w:w="35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Example</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Task Number</w:t>
            </w:r>
          </w:p>
        </w:tc>
        <w:tc>
          <w:tcPr>
            <w:tcW w:type="dxa" w:w="3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TSK-000000</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TSK-000001</w:t>
            </w:r>
          </w:p>
        </w:tc>
      </w:tr>
      <w:tr>
        <w:tc>
          <w:tcPr>
            <w:tcW w:type="dxa" w:w="2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Task Title</w:t>
            </w:r>
          </w:p>
        </w:tc>
        <w:tc>
          <w:tcPr>
            <w:tcW w:type="dxa" w:w="3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[Discipline] + Action + Location</w:t>
            </w:r>
          </w:p>
        </w:tc>
        <w:tc>
          <w:tcPr>
            <w:tcW w:type="dxa" w:w="35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STR - Review Pile Layout</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Task Template Code</w:t>
            </w:r>
          </w:p>
        </w:tc>
        <w:tc>
          <w:tcPr>
            <w:tcW w:type="dxa" w:w="3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TMP-TSK-XXXX</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TMP-TSK-0001</w:t>
            </w:r>
          </w:p>
        </w:tc>
      </w:tr>
    </w:tbl>
    <w:p>
      <w:pPr>
        <w:spacing w:after="40"/>
      </w:pPr>
    </w:p>
    <w:p>
      <w:pPr>
        <w:spacing w:after="40" w:before="80"/>
      </w:pPr>
      <w:r>
        <w:rPr>
          <w:b/>
          <w:bCs/>
          <w:color w:val="1F3864"/>
        </w:rPr>
        <w:t xml:space="preserve">Task Title examples:</w:t>
      </w:r>
    </w:p>
    <w:p>
      <w:pPr>
        <w:pBdr>
          <w:left w:val="single" w:color="2E75B6" w:sz="12" w:space="4"/>
        </w:pBdr>
        <w:shd w:fill="F2F2F2" w:val="clear"/>
        <w:spacing w:after="0" w:line="252"/>
        <w:ind w:left="200" w:right="200"/>
      </w:pPr>
      <w:r>
        <w:rPr>
          <w:rFonts w:ascii="Consolas" w:cs="Consolas" w:eastAsia="Consolas" w:hAnsi="Consolas"/>
          <w:sz w:val="19"/>
          <w:szCs w:val="19"/>
        </w:rPr>
        <w:t xml:space="preserve">STR - Review Pile Layout</w:t>
      </w:r>
    </w:p>
    <w:p>
      <w:pPr>
        <w:pBdr>
          <w:left w:val="single" w:color="2E75B6" w:sz="12" w:space="4"/>
        </w:pBdr>
        <w:shd w:fill="F2F2F2" w:val="clear"/>
        <w:spacing w:after="0" w:line="252"/>
        <w:ind w:left="200" w:right="200"/>
      </w:pPr>
      <w:r>
        <w:rPr>
          <w:rFonts w:ascii="Consolas" w:cs="Consolas" w:eastAsia="Consolas" w:hAnsi="Consolas"/>
          <w:sz w:val="19"/>
          <w:szCs w:val="19"/>
        </w:rPr>
        <w:t xml:space="preserve">ARC - Submit Material Approval</w:t>
      </w:r>
    </w:p>
    <w:p>
      <w:pPr>
        <w:pBdr>
          <w:left w:val="single" w:color="2E75B6" w:sz="12" w:space="4"/>
        </w:pBdr>
        <w:shd w:fill="F2F2F2" w:val="clear"/>
        <w:spacing w:after="0" w:line="252"/>
        <w:ind w:left="200" w:right="200"/>
      </w:pPr>
      <w:r>
        <w:rPr>
          <w:rFonts w:ascii="Consolas" w:cs="Consolas" w:eastAsia="Consolas" w:hAnsi="Consolas"/>
          <w:sz w:val="19"/>
          <w:szCs w:val="19"/>
        </w:rPr>
        <w:t xml:space="preserve">MEP - Install Cable Tray Level 05</w:t>
      </w:r>
    </w:p>
    <w:p>
      <w:pPr>
        <w:pBdr>
          <w:left w:val="single" w:color="2E75B6" w:sz="12" w:space="4"/>
        </w:pBdr>
        <w:shd w:fill="F2F2F2" w:val="clear"/>
        <w:spacing w:after="0" w:line="252"/>
        <w:ind w:left="200" w:right="200"/>
      </w:pPr>
      <w:r>
        <w:rPr>
          <w:rFonts w:ascii="Consolas" w:cs="Consolas" w:eastAsia="Consolas" w:hAnsi="Consolas"/>
          <w:sz w:val="19"/>
          <w:szCs w:val="19"/>
        </w:rPr>
        <w:t xml:space="preserve">CON - Cast Column C12</w:t>
      </w:r>
    </w:p>
    <w:p>
      <w:pPr>
        <w:spacing w:after="80"/>
      </w:pPr>
    </w:p>
    <w:p>
      <w:pPr>
        <w:pStyle w:val="Heading2"/>
      </w:pPr>
      <w:r>
        <w:t xml:space="preserve">6.5 Document Numbering</w:t>
      </w:r>
    </w:p>
    <w:p>
      <w:pPr>
        <w:spacing w:after="120" w:before="0" w:line="276"/>
      </w:pPr>
      <w:r>
        <w:t xml:space="preserve">Document numbering is one of the most important controlled structures in DCOS. Every controlled document carries a number built from seven segments.</w:t>
      </w:r>
    </w:p>
    <w:p>
      <w:pPr>
        <w:spacing w:after="40" w:before="80"/>
      </w:pPr>
      <w:r>
        <w:rPr>
          <w:b/>
          <w:bCs/>
          <w:color w:val="1F3864"/>
        </w:rPr>
        <w:t xml:space="preserve">Structure — format:</w:t>
      </w:r>
    </w:p>
    <w:p>
      <w:pPr>
        <w:pBdr>
          <w:left w:val="single" w:color="2E75B6" w:sz="12" w:space="4"/>
        </w:pBdr>
        <w:shd w:fill="F2F2F2" w:val="clear"/>
        <w:spacing w:after="0" w:line="252"/>
        <w:ind w:left="200" w:right="200"/>
      </w:pPr>
      <w:r>
        <w:rPr>
          <w:rFonts w:ascii="Consolas" w:cs="Consolas" w:eastAsia="Consolas" w:hAnsi="Consolas"/>
          <w:sz w:val="19"/>
          <w:szCs w:val="19"/>
        </w:rPr>
        <w:t xml:space="preserve">PROJECT-DIS-TYPE-BLD-LVL-SEQ-REV</w:t>
      </w:r>
    </w:p>
    <w:p>
      <w:pPr>
        <w:spacing w:after="80"/>
      </w:pPr>
    </w:p>
    <w:p>
      <w:pPr>
        <w:spacing w:after="40" w:before="80"/>
      </w:pPr>
      <w:r>
        <w:rPr>
          <w:b/>
          <w:bCs/>
          <w:color w:val="1F3864"/>
        </w:rPr>
        <w:t xml:space="preserve">Worked example:</w:t>
      </w:r>
    </w:p>
    <w:p>
      <w:pPr>
        <w:pBdr>
          <w:left w:val="single" w:color="2E75B6" w:sz="12" w:space="4"/>
        </w:pBdr>
        <w:shd w:fill="F2F2F2" w:val="clear"/>
        <w:spacing w:after="0" w:line="252"/>
        <w:ind w:left="200" w:right="200"/>
      </w:pPr>
      <w:r>
        <w:rPr>
          <w:rFonts w:ascii="Consolas" w:cs="Consolas" w:eastAsia="Consolas" w:hAnsi="Consolas"/>
          <w:sz w:val="19"/>
          <w:szCs w:val="19"/>
        </w:rPr>
        <w:t xml:space="preserve">GDT-STR-DWG-TA-L05-001-R02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Segment</w:t>
            </w:r>
          </w:p>
        </w:tc>
        <w:tc>
          <w:tcPr>
            <w:tcW w:type="dxa" w:w="46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Meaning</w:t>
            </w:r>
          </w:p>
        </w:tc>
        <w:tc>
          <w:tcPr>
            <w:tcW w:type="dxa" w:w="27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From Example</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PROJECT</w:t>
            </w:r>
          </w:p>
        </w:tc>
        <w:tc>
          <w:tcPr>
            <w:tcW w:type="dxa" w:w="4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Project short name / acronym</w:t>
            </w:r>
          </w:p>
        </w:tc>
        <w:tc>
          <w:tcPr>
            <w:tcW w:type="dxa" w:w="2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GDT</w:t>
            </w:r>
          </w:p>
        </w:tc>
      </w:tr>
      <w:tr>
        <w:tc>
          <w:tcPr>
            <w:tcW w:type="dxa" w:w="20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DIS</w:t>
            </w:r>
          </w:p>
        </w:tc>
        <w:tc>
          <w:tcPr>
            <w:tcW w:type="dxa" w:w="46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Discipline code</w:t>
            </w:r>
          </w:p>
        </w:tc>
        <w:tc>
          <w:tcPr>
            <w:tcW w:type="dxa" w:w="27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STR</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TYPE</w:t>
            </w:r>
          </w:p>
        </w:tc>
        <w:tc>
          <w:tcPr>
            <w:tcW w:type="dxa" w:w="4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Document type code</w:t>
            </w:r>
          </w:p>
        </w:tc>
        <w:tc>
          <w:tcPr>
            <w:tcW w:type="dxa" w:w="2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DWG</w:t>
            </w:r>
          </w:p>
        </w:tc>
      </w:tr>
      <w:tr>
        <w:tc>
          <w:tcPr>
            <w:tcW w:type="dxa" w:w="20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BLD</w:t>
            </w:r>
          </w:p>
        </w:tc>
        <w:tc>
          <w:tcPr>
            <w:tcW w:type="dxa" w:w="46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Building</w:t>
            </w:r>
          </w:p>
        </w:tc>
        <w:tc>
          <w:tcPr>
            <w:tcW w:type="dxa" w:w="27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TA (Tower A)</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LVL</w:t>
            </w:r>
          </w:p>
        </w:tc>
        <w:tc>
          <w:tcPr>
            <w:tcW w:type="dxa" w:w="4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Level</w:t>
            </w:r>
          </w:p>
        </w:tc>
        <w:tc>
          <w:tcPr>
            <w:tcW w:type="dxa" w:w="2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L05</w:t>
            </w:r>
          </w:p>
        </w:tc>
      </w:tr>
      <w:tr>
        <w:tc>
          <w:tcPr>
            <w:tcW w:type="dxa" w:w="20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SEQ</w:t>
            </w:r>
          </w:p>
        </w:tc>
        <w:tc>
          <w:tcPr>
            <w:tcW w:type="dxa" w:w="46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Running sequence</w:t>
            </w:r>
          </w:p>
        </w:tc>
        <w:tc>
          <w:tcPr>
            <w:tcW w:type="dxa" w:w="27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001</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REV</w:t>
            </w:r>
          </w:p>
        </w:tc>
        <w:tc>
          <w:tcPr>
            <w:tcW w:type="dxa" w:w="4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Revision marker</w:t>
            </w:r>
          </w:p>
        </w:tc>
        <w:tc>
          <w:tcPr>
            <w:tcW w:type="dxa" w:w="2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R02</w:t>
            </w:r>
          </w:p>
        </w:tc>
      </w:tr>
    </w:tbl>
    <w:p>
      <w:pPr>
        <w:spacing w:after="120"/>
      </w:pPr>
    </w:p>
    <w:p>
      <w:pPr>
        <w:pStyle w:val="Heading3"/>
      </w:pPr>
      <w:r>
        <w:t xml:space="preserve">Discipline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Code</w:t>
            </w:r>
          </w:p>
        </w:tc>
        <w:tc>
          <w:tcPr>
            <w:tcW w:type="dxa" w:w="73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Discipline</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ARC</w:t>
            </w:r>
          </w:p>
        </w:tc>
        <w:tc>
          <w:tcPr>
            <w:tcW w:type="dxa" w:w="7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Architecture</w:t>
            </w:r>
          </w:p>
        </w:tc>
      </w:tr>
      <w:tr>
        <w:tc>
          <w:tcPr>
            <w:tcW w:type="dxa" w:w="20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STR</w:t>
            </w:r>
          </w:p>
        </w:tc>
        <w:tc>
          <w:tcPr>
            <w:tcW w:type="dxa" w:w="73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Structure</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MEP</w:t>
            </w:r>
          </w:p>
        </w:tc>
        <w:tc>
          <w:tcPr>
            <w:tcW w:type="dxa" w:w="7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MEP</w:t>
            </w:r>
          </w:p>
        </w:tc>
      </w:tr>
      <w:tr>
        <w:tc>
          <w:tcPr>
            <w:tcW w:type="dxa" w:w="20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BIM</w:t>
            </w:r>
          </w:p>
        </w:tc>
        <w:tc>
          <w:tcPr>
            <w:tcW w:type="dxa" w:w="73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BIM</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QS</w:t>
            </w:r>
          </w:p>
        </w:tc>
        <w:tc>
          <w:tcPr>
            <w:tcW w:type="dxa" w:w="7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Quantity Survey</w:t>
            </w:r>
          </w:p>
        </w:tc>
      </w:tr>
      <w:tr>
        <w:tc>
          <w:tcPr>
            <w:tcW w:type="dxa" w:w="20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PM</w:t>
            </w:r>
          </w:p>
        </w:tc>
        <w:tc>
          <w:tcPr>
            <w:tcW w:type="dxa" w:w="73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Project Management</w:t>
            </w:r>
          </w:p>
        </w:tc>
      </w:tr>
    </w:tbl>
    <w:p>
      <w:pPr>
        <w:spacing w:after="120"/>
      </w:pPr>
    </w:p>
    <w:p>
      <w:pPr>
        <w:pStyle w:val="Heading3"/>
      </w:pPr>
      <w:r>
        <w:t xml:space="preserve">Document Type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Code</w:t>
            </w:r>
          </w:p>
        </w:tc>
        <w:tc>
          <w:tcPr>
            <w:tcW w:type="dxa" w:w="328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Description</w:t>
            </w:r>
          </w:p>
        </w:tc>
        <w:tc>
          <w:tcPr>
            <w:tcW w:type="dxa" w:w="14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Code</w:t>
            </w:r>
          </w:p>
        </w:tc>
        <w:tc>
          <w:tcPr>
            <w:tcW w:type="dxa" w:w="328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Description</w:t>
            </w:r>
          </w:p>
        </w:tc>
      </w:tr>
      <w:tr>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DWG</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Drawing</w:t>
            </w:r>
          </w:p>
        </w:tc>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MOS</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Method Statement</w:t>
            </w:r>
          </w:p>
        </w:tc>
      </w:tr>
      <w:tr>
        <w:tc>
          <w:tcPr>
            <w:tcW w:type="dxa" w:w="1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CAL</w:t>
            </w:r>
          </w:p>
        </w:tc>
        <w:tc>
          <w:tcPr>
            <w:tcW w:type="dxa" w:w="328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Calculation</w:t>
            </w:r>
          </w:p>
        </w:tc>
        <w:tc>
          <w:tcPr>
            <w:tcW w:type="dxa" w:w="1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ITP</w:t>
            </w:r>
          </w:p>
        </w:tc>
        <w:tc>
          <w:tcPr>
            <w:tcW w:type="dxa" w:w="328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Inspection Test Plan</w:t>
            </w:r>
          </w:p>
        </w:tc>
      </w:tr>
      <w:tr>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SPC</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Specification</w:t>
            </w:r>
          </w:p>
        </w:tc>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MAR</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Material Approval</w:t>
            </w:r>
          </w:p>
        </w:tc>
      </w:tr>
      <w:tr>
        <w:tc>
          <w:tcPr>
            <w:tcW w:type="dxa" w:w="1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RPT</w:t>
            </w:r>
          </w:p>
        </w:tc>
        <w:tc>
          <w:tcPr>
            <w:tcW w:type="dxa" w:w="328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Report</w:t>
            </w:r>
          </w:p>
        </w:tc>
        <w:tc>
          <w:tcPr>
            <w:tcW w:type="dxa" w:w="1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MIR</w:t>
            </w:r>
          </w:p>
        </w:tc>
        <w:tc>
          <w:tcPr>
            <w:tcW w:type="dxa" w:w="328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Material Inspection</w:t>
            </w:r>
          </w:p>
        </w:tc>
      </w:tr>
      <w:tr>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BOQ</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Bill of Quantity</w:t>
            </w:r>
          </w:p>
        </w:tc>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RFI</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Request For Information</w:t>
            </w:r>
          </w:p>
        </w:tc>
      </w:tr>
    </w:tbl>
    <w:p>
      <w:pPr>
        <w:spacing w:after="120"/>
      </w:pPr>
    </w:p>
    <w:p>
      <w:pPr>
        <w:pStyle w:val="Heading3"/>
      </w:pPr>
      <w:r>
        <w:t xml:space="preserve">Revision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Revision</w:t>
            </w:r>
          </w:p>
        </w:tc>
        <w:tc>
          <w:tcPr>
            <w:tcW w:type="dxa" w:w="73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Meaning</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R00</w:t>
            </w:r>
          </w:p>
        </w:tc>
        <w:tc>
          <w:tcPr>
            <w:tcW w:type="dxa" w:w="7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Draft</w:t>
            </w:r>
          </w:p>
        </w:tc>
      </w:tr>
      <w:tr>
        <w:tc>
          <w:tcPr>
            <w:tcW w:type="dxa" w:w="20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R01</w:t>
            </w:r>
          </w:p>
        </w:tc>
        <w:tc>
          <w:tcPr>
            <w:tcW w:type="dxa" w:w="73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First Issue</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R02</w:t>
            </w:r>
          </w:p>
        </w:tc>
        <w:tc>
          <w:tcPr>
            <w:tcW w:type="dxa" w:w="7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Revision (and onward: R03, R04 …)</w:t>
            </w:r>
          </w:p>
        </w:tc>
      </w:tr>
    </w:tbl>
    <w:p>
      <w:pPr>
        <w:pStyle w:val="Heading2"/>
      </w:pPr>
      <w:r>
        <w:t xml:space="preserve">6.6 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Record</w:t>
            </w:r>
          </w:p>
        </w:tc>
        <w:tc>
          <w:tcPr>
            <w:tcW w:type="dxa" w:w="33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Format</w:t>
            </w:r>
          </w:p>
        </w:tc>
        <w:tc>
          <w:tcPr>
            <w:tcW w:type="dxa" w:w="32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Example</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Purchase Request</w:t>
            </w:r>
          </w:p>
        </w:tc>
        <w:tc>
          <w:tcPr>
            <w:tcW w:type="dxa" w:w="3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PR-YYYY-00000</w:t>
            </w:r>
          </w:p>
        </w:tc>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PR-2026-00001</w:t>
            </w:r>
          </w:p>
        </w:tc>
      </w:tr>
      <w:tr>
        <w:tc>
          <w:tcPr>
            <w:tcW w:type="dxa" w:w="28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RFQ</w:t>
            </w:r>
          </w:p>
        </w:tc>
        <w:tc>
          <w:tcPr>
            <w:tcW w:type="dxa" w:w="3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RFQ-YYYY-00000</w:t>
            </w:r>
          </w:p>
        </w:tc>
        <w:tc>
          <w:tcPr>
            <w:tcW w:type="dxa" w:w="32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RFQ-2026-00001</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Purchase Order</w:t>
            </w:r>
          </w:p>
        </w:tc>
        <w:tc>
          <w:tcPr>
            <w:tcW w:type="dxa" w:w="3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PO-YYYY-00000</w:t>
            </w:r>
          </w:p>
        </w:tc>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PO-2026-00001</w:t>
            </w:r>
          </w:p>
        </w:tc>
      </w:tr>
      <w:tr>
        <w:tc>
          <w:tcPr>
            <w:tcW w:type="dxa" w:w="28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Goods Receipt</w:t>
            </w:r>
          </w:p>
        </w:tc>
        <w:tc>
          <w:tcPr>
            <w:tcW w:type="dxa" w:w="3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GRN-YYYY-00000</w:t>
            </w:r>
          </w:p>
        </w:tc>
        <w:tc>
          <w:tcPr>
            <w:tcW w:type="dxa" w:w="32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GRN-2026-00001</w:t>
            </w:r>
          </w:p>
        </w:tc>
      </w:tr>
    </w:tbl>
    <w:p>
      <w:pPr>
        <w:pStyle w:val="Heading2"/>
      </w:pPr>
      <w:r>
        <w:t xml:space="preserve">6.7 QA / QC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Record</w:t>
            </w:r>
          </w:p>
        </w:tc>
        <w:tc>
          <w:tcPr>
            <w:tcW w:type="dxa" w:w="33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Format</w:t>
            </w:r>
          </w:p>
        </w:tc>
        <w:tc>
          <w:tcPr>
            <w:tcW w:type="dxa" w:w="32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Example</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Inspection Request</w:t>
            </w:r>
          </w:p>
        </w:tc>
        <w:tc>
          <w:tcPr>
            <w:tcW w:type="dxa" w:w="3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IR-YYYY-00000</w:t>
            </w:r>
          </w:p>
        </w:tc>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IR-2026-00001</w:t>
            </w:r>
          </w:p>
        </w:tc>
      </w:tr>
      <w:tr>
        <w:tc>
          <w:tcPr>
            <w:tcW w:type="dxa" w:w="28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Non-Conformance Report</w:t>
            </w:r>
          </w:p>
        </w:tc>
        <w:tc>
          <w:tcPr>
            <w:tcW w:type="dxa" w:w="3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NCR-YYYY-00000</w:t>
            </w:r>
          </w:p>
        </w:tc>
        <w:tc>
          <w:tcPr>
            <w:tcW w:type="dxa" w:w="32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NCR-2026-00001</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Punch List</w:t>
            </w:r>
          </w:p>
        </w:tc>
        <w:tc>
          <w:tcPr>
            <w:tcW w:type="dxa" w:w="3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PL-YYYY-00000</w:t>
            </w:r>
          </w:p>
        </w:tc>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PL-2026-00001</w:t>
            </w:r>
          </w:p>
        </w:tc>
      </w:tr>
    </w:tbl>
    <w:p>
      <w:pPr>
        <w:pStyle w:val="Heading2"/>
      </w:pPr>
      <w:r>
        <w:t xml:space="preserve">6.8 HSE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Record</w:t>
            </w:r>
          </w:p>
        </w:tc>
        <w:tc>
          <w:tcPr>
            <w:tcW w:type="dxa" w:w="33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Format</w:t>
            </w:r>
          </w:p>
        </w:tc>
        <w:tc>
          <w:tcPr>
            <w:tcW w:type="dxa" w:w="32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Example</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Incident</w:t>
            </w:r>
          </w:p>
        </w:tc>
        <w:tc>
          <w:tcPr>
            <w:tcW w:type="dxa" w:w="3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INC-YYYY-00000</w:t>
            </w:r>
          </w:p>
        </w:tc>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INC-2026-00001</w:t>
            </w:r>
          </w:p>
        </w:tc>
      </w:tr>
      <w:tr>
        <w:tc>
          <w:tcPr>
            <w:tcW w:type="dxa" w:w="28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Permit</w:t>
            </w:r>
          </w:p>
        </w:tc>
        <w:tc>
          <w:tcPr>
            <w:tcW w:type="dxa" w:w="3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PER-YYYY-00000</w:t>
            </w:r>
          </w:p>
        </w:tc>
        <w:tc>
          <w:tcPr>
            <w:tcW w:type="dxa" w:w="32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PER-2026-00001</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Toolbox Talk</w:t>
            </w:r>
          </w:p>
        </w:tc>
        <w:tc>
          <w:tcPr>
            <w:tcW w:type="dxa" w:w="3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TBT-YYYY-00000</w:t>
            </w:r>
          </w:p>
        </w:tc>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TBT-2026-00001</w:t>
            </w:r>
          </w:p>
        </w:tc>
      </w:tr>
    </w:tbl>
    <w:p>
      <w:pPr>
        <w:pStyle w:val="Heading2"/>
      </w:pPr>
      <w:r>
        <w:t xml:space="preserve">6.9 Commercial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Record</w:t>
            </w:r>
          </w:p>
        </w:tc>
        <w:tc>
          <w:tcPr>
            <w:tcW w:type="dxa" w:w="29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Format</w:t>
            </w:r>
          </w:p>
        </w:tc>
        <w:tc>
          <w:tcPr>
            <w:tcW w:type="dxa" w:w="35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Example</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BOQ Item</w:t>
            </w:r>
          </w:p>
        </w:tc>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BOQ-XX-XXX</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BOQ-CON-001,  BOQ-REB-002,  BOQ-FIN-003</w:t>
            </w:r>
          </w:p>
        </w:tc>
      </w:tr>
      <w:tr>
        <w:tc>
          <w:tcPr>
            <w:tcW w:type="dxa" w:w="29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Budget Code</w:t>
            </w:r>
          </w:p>
        </w:tc>
        <w:tc>
          <w:tcPr>
            <w:tcW w:type="dxa" w:w="29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BGT-XXXXX</w:t>
            </w:r>
          </w:p>
        </w:tc>
        <w:tc>
          <w:tcPr>
            <w:tcW w:type="dxa" w:w="35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BGT-00001</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Cost Code</w:t>
            </w:r>
          </w:p>
        </w:tc>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CST-XXXXX</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CST-00001</w:t>
            </w:r>
          </w:p>
        </w:tc>
      </w:tr>
      <w:tr>
        <w:tc>
          <w:tcPr>
            <w:tcW w:type="dxa" w:w="29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Variation Order</w:t>
            </w:r>
          </w:p>
        </w:tc>
        <w:tc>
          <w:tcPr>
            <w:tcW w:type="dxa" w:w="29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VO-YYYY-00000</w:t>
            </w:r>
          </w:p>
        </w:tc>
        <w:tc>
          <w:tcPr>
            <w:tcW w:type="dxa" w:w="35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VO-2026-00001</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Interim Payment Certificate</w:t>
            </w:r>
          </w:p>
        </w:tc>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IPC-YYYY-00000</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IPC-2026-00001</w:t>
            </w:r>
          </w:p>
        </w:tc>
      </w:tr>
    </w:tbl>
    <w:p>
      <w:pPr>
        <w:pStyle w:val="Heading2"/>
      </w:pPr>
      <w:r>
        <w:t xml:space="preserve">6.10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Record</w:t>
            </w:r>
          </w:p>
        </w:tc>
        <w:tc>
          <w:tcPr>
            <w:tcW w:type="dxa" w:w="33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Format</w:t>
            </w:r>
          </w:p>
        </w:tc>
        <w:tc>
          <w:tcPr>
            <w:tcW w:type="dxa" w:w="32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Example</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Contract Number</w:t>
            </w:r>
          </w:p>
        </w:tc>
        <w:tc>
          <w:tcPr>
            <w:tcW w:type="dxa" w:w="3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CNT-YYYY-00000</w:t>
            </w:r>
          </w:p>
        </w:tc>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CNT-2026-00001</w:t>
            </w:r>
          </w:p>
        </w:tc>
      </w:tr>
      <w:tr>
        <w:tc>
          <w:tcPr>
            <w:tcW w:type="dxa" w:w="28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Claim Number</w:t>
            </w:r>
          </w:p>
        </w:tc>
        <w:tc>
          <w:tcPr>
            <w:tcW w:type="dxa" w:w="3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CLM-YYYY-00000</w:t>
            </w:r>
          </w:p>
        </w:tc>
        <w:tc>
          <w:tcPr>
            <w:tcW w:type="dxa" w:w="32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CLM-2026-00001</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Extension of Time</w:t>
            </w:r>
          </w:p>
        </w:tc>
        <w:tc>
          <w:tcPr>
            <w:tcW w:type="dxa" w:w="3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EOT-YYYY-00000</w:t>
            </w:r>
          </w:p>
        </w:tc>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EOT-2026-00001</w:t>
            </w:r>
          </w:p>
        </w:tc>
      </w:tr>
    </w:tbl>
    <w:p>
      <w:pPr>
        <w:pStyle w:val="Heading2"/>
      </w:pPr>
      <w:r>
        <w:t xml:space="preserve">6.11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Element</w:t>
            </w:r>
          </w:p>
        </w:tc>
        <w:tc>
          <w:tcPr>
            <w:tcW w:type="dxa" w:w="36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Format</w:t>
            </w:r>
          </w:p>
        </w:tc>
        <w:tc>
          <w:tcPr>
            <w:tcW w:type="dxa" w:w="35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Example</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User ID</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USR-000000</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USR-000001</w:t>
            </w:r>
          </w:p>
        </w:tc>
      </w:tr>
      <w:tr>
        <w:tc>
          <w:tcPr>
            <w:tcW w:type="dxa" w:w="22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Username</w:t>
            </w:r>
          </w:p>
        </w:tc>
        <w:tc>
          <w:tcPr>
            <w:tcW w:type="dxa" w:w="36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firstname.lastname</w:t>
            </w:r>
          </w:p>
        </w:tc>
        <w:tc>
          <w:tcPr>
            <w:tcW w:type="dxa" w:w="35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liheng.pouth</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Email</w:t>
            </w:r>
          </w:p>
        </w:tc>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firstname.lastname@company.com</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liheng.pouth@dcos.com</w:t>
            </w:r>
          </w:p>
        </w:tc>
      </w:tr>
    </w:tbl>
    <w:p>
      <w:pPr>
        <w:pStyle w:val="Heading2"/>
      </w:pPr>
      <w:r>
        <w:t xml:space="preserve">6.12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Element</w:t>
            </w:r>
          </w:p>
        </w:tc>
        <w:tc>
          <w:tcPr>
            <w:tcW w:type="dxa" w:w="32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Format</w:t>
            </w:r>
          </w:p>
        </w:tc>
        <w:tc>
          <w:tcPr>
            <w:tcW w:type="dxa" w:w="35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Example</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Stakeholder Code</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STK-00000</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STK-00001</w:t>
            </w:r>
          </w:p>
        </w:tc>
      </w:tr>
      <w:tr>
        <w:tc>
          <w:tcPr>
            <w:tcW w:type="dxa" w:w="26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External Company</w:t>
            </w:r>
          </w:p>
        </w:tc>
        <w:tc>
          <w:tcPr>
            <w:tcW w:type="dxa" w:w="32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EXT-COMPANYNAME</w:t>
            </w:r>
          </w:p>
        </w:tc>
        <w:tc>
          <w:tcPr>
            <w:tcW w:type="dxa" w:w="35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EXT-CMED,  EXT-GDT,  EXT-HATTHA</w:t>
            </w:r>
          </w:p>
        </w:tc>
      </w:tr>
    </w:tbl>
    <w:p>
      <w:pPr>
        <w:pStyle w:val="Heading2"/>
      </w:pPr>
      <w:r>
        <w:t xml:space="preserve">6.13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Asset Type</w:t>
            </w:r>
          </w:p>
        </w:tc>
        <w:tc>
          <w:tcPr>
            <w:tcW w:type="dxa" w:w="27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Format</w:t>
            </w:r>
          </w:p>
        </w:tc>
        <w:tc>
          <w:tcPr>
            <w:tcW w:type="dxa" w:w="43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Example</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Equipment</w:t>
            </w:r>
          </w:p>
        </w:tc>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EQP-00000</w:t>
            </w:r>
          </w:p>
        </w:tc>
        <w:tc>
          <w:tcPr>
            <w:tcW w:type="dxa" w:w="4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EQP-00001 (Excavator),  EQP-00002 (Tower Crane)</w:t>
            </w:r>
          </w:p>
        </w:tc>
      </w:tr>
      <w:tr>
        <w:tc>
          <w:tcPr>
            <w:tcW w:type="dxa" w:w="2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Vehicle</w:t>
            </w:r>
          </w:p>
        </w:tc>
        <w:tc>
          <w:tcPr>
            <w:tcW w:type="dxa" w:w="27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VEH-00000</w:t>
            </w:r>
          </w:p>
        </w:tc>
        <w:tc>
          <w:tcPr>
            <w:tcW w:type="dxa" w:w="43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VEH-00001</w:t>
            </w:r>
          </w:p>
        </w:tc>
      </w:tr>
    </w:tbl>
    <w:p>
      <w:pPr>
        <w:pStyle w:val="Heading2"/>
      </w:pPr>
      <w:r>
        <w:t xml:space="preserve">6.14 Storage Folders</w:t>
      </w:r>
    </w:p>
    <w:p>
      <w:pPr>
        <w:spacing w:after="40" w:before="80"/>
      </w:pPr>
      <w:r>
        <w:rPr>
          <w:b/>
          <w:bCs/>
          <w:color w:val="1F3864"/>
        </w:rPr>
        <w:t xml:space="preserve">Project folder — format:</w:t>
      </w:r>
    </w:p>
    <w:p>
      <w:pPr>
        <w:pBdr>
          <w:left w:val="single" w:color="2E75B6" w:sz="12" w:space="4"/>
        </w:pBdr>
        <w:shd w:fill="F2F2F2" w:val="clear"/>
        <w:spacing w:after="0" w:line="252"/>
        <w:ind w:left="200" w:right="200"/>
      </w:pPr>
      <w:r>
        <w:rPr>
          <w:rFonts w:ascii="Consolas" w:cs="Consolas" w:eastAsia="Consolas" w:hAnsi="Consolas"/>
          <w:sz w:val="19"/>
          <w:szCs w:val="19"/>
        </w:rPr>
        <w:t xml:space="preserve">PRJ-2026-001_GDT</w:t>
      </w:r>
    </w:p>
    <w:p>
      <w:pPr>
        <w:spacing w:after="80"/>
      </w:pPr>
    </w:p>
    <w:p>
      <w:pPr>
        <w:spacing w:after="40" w:before="80"/>
      </w:pPr>
      <w:r>
        <w:rPr>
          <w:b/>
          <w:bCs/>
          <w:color w:val="1F3864"/>
        </w:rPr>
        <w:t xml:space="preserve">Standard discipline folders:</w:t>
      </w:r>
    </w:p>
    <w:p>
      <w:pPr>
        <w:pBdr>
          <w:left w:val="single" w:color="2E75B6" w:sz="12" w:space="4"/>
        </w:pBdr>
        <w:shd w:fill="F2F2F2" w:val="clear"/>
        <w:spacing w:after="0" w:line="252"/>
        <w:ind w:left="200" w:right="200"/>
      </w:pPr>
      <w:r>
        <w:rPr>
          <w:rFonts w:ascii="Consolas" w:cs="Consolas" w:eastAsia="Consolas" w:hAnsi="Consolas"/>
          <w:sz w:val="19"/>
          <w:szCs w:val="19"/>
        </w:rPr>
        <w:t xml:space="preserve">01_Project_Management</w:t>
      </w:r>
    </w:p>
    <w:p>
      <w:pPr>
        <w:pBdr>
          <w:left w:val="single" w:color="2E75B6" w:sz="12" w:space="4"/>
        </w:pBdr>
        <w:shd w:fill="F2F2F2" w:val="clear"/>
        <w:spacing w:after="0" w:line="252"/>
        <w:ind w:left="200" w:right="200"/>
      </w:pPr>
      <w:r>
        <w:rPr>
          <w:rFonts w:ascii="Consolas" w:cs="Consolas" w:eastAsia="Consolas" w:hAnsi="Consolas"/>
          <w:sz w:val="19"/>
          <w:szCs w:val="19"/>
        </w:rPr>
        <w:t xml:space="preserve">02_Architecture</w:t>
      </w:r>
    </w:p>
    <w:p>
      <w:pPr>
        <w:pBdr>
          <w:left w:val="single" w:color="2E75B6" w:sz="12" w:space="4"/>
        </w:pBdr>
        <w:shd w:fill="F2F2F2" w:val="clear"/>
        <w:spacing w:after="0" w:line="252"/>
        <w:ind w:left="200" w:right="200"/>
      </w:pPr>
      <w:r>
        <w:rPr>
          <w:rFonts w:ascii="Consolas" w:cs="Consolas" w:eastAsia="Consolas" w:hAnsi="Consolas"/>
          <w:sz w:val="19"/>
          <w:szCs w:val="19"/>
        </w:rPr>
        <w:t xml:space="preserve">03_Structure</w:t>
      </w:r>
    </w:p>
    <w:p>
      <w:pPr>
        <w:pBdr>
          <w:left w:val="single" w:color="2E75B6" w:sz="12" w:space="4"/>
        </w:pBdr>
        <w:shd w:fill="F2F2F2" w:val="clear"/>
        <w:spacing w:after="0" w:line="252"/>
        <w:ind w:left="200" w:right="200"/>
      </w:pPr>
      <w:r>
        <w:rPr>
          <w:rFonts w:ascii="Consolas" w:cs="Consolas" w:eastAsia="Consolas" w:hAnsi="Consolas"/>
          <w:sz w:val="19"/>
          <w:szCs w:val="19"/>
        </w:rPr>
        <w:t xml:space="preserve">04_MEP</w:t>
      </w:r>
    </w:p>
    <w:p>
      <w:pPr>
        <w:pBdr>
          <w:left w:val="single" w:color="2E75B6" w:sz="12" w:space="4"/>
        </w:pBdr>
        <w:shd w:fill="F2F2F2" w:val="clear"/>
        <w:spacing w:after="0" w:line="252"/>
        <w:ind w:left="200" w:right="200"/>
      </w:pPr>
      <w:r>
        <w:rPr>
          <w:rFonts w:ascii="Consolas" w:cs="Consolas" w:eastAsia="Consolas" w:hAnsi="Consolas"/>
          <w:sz w:val="19"/>
          <w:szCs w:val="19"/>
        </w:rPr>
        <w:t xml:space="preserve">05_QAQC</w:t>
      </w:r>
    </w:p>
    <w:p>
      <w:pPr>
        <w:pBdr>
          <w:left w:val="single" w:color="2E75B6" w:sz="12" w:space="4"/>
        </w:pBdr>
        <w:shd w:fill="F2F2F2" w:val="clear"/>
        <w:spacing w:after="0" w:line="252"/>
        <w:ind w:left="200" w:right="200"/>
      </w:pPr>
      <w:r>
        <w:rPr>
          <w:rFonts w:ascii="Consolas" w:cs="Consolas" w:eastAsia="Consolas" w:hAnsi="Consolas"/>
          <w:sz w:val="19"/>
          <w:szCs w:val="19"/>
        </w:rPr>
        <w:t xml:space="preserve">06_HSE</w:t>
      </w:r>
    </w:p>
    <w:p>
      <w:pPr>
        <w:pBdr>
          <w:left w:val="single" w:color="2E75B6" w:sz="12" w:space="4"/>
        </w:pBdr>
        <w:shd w:fill="F2F2F2" w:val="clear"/>
        <w:spacing w:after="0" w:line="252"/>
        <w:ind w:left="200" w:right="200"/>
      </w:pPr>
      <w:r>
        <w:rPr>
          <w:rFonts w:ascii="Consolas" w:cs="Consolas" w:eastAsia="Consolas" w:hAnsi="Consolas"/>
          <w:sz w:val="19"/>
          <w:szCs w:val="19"/>
        </w:rPr>
        <w:t xml:space="preserve">07_Commercial</w:t>
      </w:r>
    </w:p>
    <w:p>
      <w:pPr>
        <w:spacing w:after="80"/>
      </w:pPr>
    </w:p>
    <w:p>
      <w:pPr>
        <w:pStyle w:val="Heading1"/>
      </w:pPr>
      <w:r>
        <w:t xml:space="preserve">7. Procedure — Technical Naming Standards</w:t>
      </w:r>
    </w:p>
    <w:p>
      <w:pPr>
        <w:spacing w:after="120" w:before="0" w:line="276"/>
      </w:pPr>
      <w:r>
        <w:t xml:space="preserve">The following standards apply to developers and platform engineers building and extending DCOS.</w:t>
      </w:r>
    </w:p>
    <w:p>
      <w:pPr>
        <w:pStyle w:val="Heading2"/>
      </w:pPr>
      <w:r>
        <w:t xml:space="preserve">7.1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Object</w:t>
            </w:r>
          </w:p>
        </w:tc>
        <w:tc>
          <w:tcPr>
            <w:tcW w:type="dxa" w:w="24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Convention</w:t>
            </w:r>
          </w:p>
        </w:tc>
        <w:tc>
          <w:tcPr>
            <w:tcW w:type="dxa" w:w="46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Examples</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Tables</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snake_case</w:t>
            </w:r>
          </w:p>
        </w:tc>
        <w:tc>
          <w:tcPr>
            <w:tcW w:type="dxa" w:w="46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projects,  project_members,  task_assignments</w:t>
            </w:r>
          </w:p>
        </w:tc>
      </w:tr>
      <w:tr>
        <w:tc>
          <w:tcPr>
            <w:tcW w:type="dxa" w:w="2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Primary Keys</w:t>
            </w:r>
          </w:p>
        </w:tc>
        <w:tc>
          <w:tcPr>
            <w:tcW w:type="dxa" w:w="2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id</w:t>
            </w:r>
          </w:p>
        </w:tc>
        <w:tc>
          <w:tcPr>
            <w:tcW w:type="dxa" w:w="46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id</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Foreign Keys</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table_id</w:t>
            </w:r>
          </w:p>
        </w:tc>
        <w:tc>
          <w:tcPr>
            <w:tcW w:type="dxa" w:w="46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project_id,  task_id,  user_id</w:t>
            </w:r>
          </w:p>
        </w:tc>
      </w:tr>
    </w:tbl>
    <w:p>
      <w:pPr>
        <w:pStyle w:val="Heading2"/>
      </w:pPr>
      <w:r>
        <w:t xml:space="preserve">7.2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Element</w:t>
            </w:r>
          </w:p>
        </w:tc>
        <w:tc>
          <w:tcPr>
            <w:tcW w:type="dxa" w:w="24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Convention</w:t>
            </w:r>
          </w:p>
        </w:tc>
        <w:tc>
          <w:tcPr>
            <w:tcW w:type="dxa" w:w="46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Examples</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REST Endpoint</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/api/module/action</w:t>
            </w:r>
          </w:p>
        </w:tc>
        <w:tc>
          <w:tcPr>
            <w:tcW w:type="dxa" w:w="46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/api/projects,  /api/tasks,  /api/documents</w:t>
            </w:r>
          </w:p>
        </w:tc>
      </w:tr>
      <w:tr>
        <w:tc>
          <w:tcPr>
            <w:tcW w:type="dxa" w:w="2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URL Style</w:t>
            </w:r>
          </w:p>
        </w:tc>
        <w:tc>
          <w:tcPr>
            <w:tcW w:type="dxa" w:w="2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kebab-case</w:t>
            </w:r>
          </w:p>
        </w:tc>
        <w:tc>
          <w:tcPr>
            <w:tcW w:type="dxa" w:w="46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/project-setup,  /task-template,  /document-control</w:t>
            </w:r>
          </w:p>
        </w:tc>
      </w:tr>
    </w:tbl>
    <w:p>
      <w:pPr>
        <w:pStyle w:val="Heading2"/>
      </w:pPr>
      <w:r>
        <w:t xml:space="preserve">7.3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Artifact</w:t>
            </w:r>
          </w:p>
        </w:tc>
        <w:tc>
          <w:tcPr>
            <w:tcW w:type="dxa" w:w="24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Convention</w:t>
            </w:r>
          </w:p>
        </w:tc>
        <w:tc>
          <w:tcPr>
            <w:tcW w:type="dxa" w:w="46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Examples</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React Component</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PascalCase</w:t>
            </w:r>
          </w:p>
        </w:tc>
        <w:tc>
          <w:tcPr>
            <w:tcW w:type="dxa" w:w="46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TaskBoard.tsx,  ProjectSetup.tsx,  DocumentRegister.tsx</w:t>
            </w:r>
          </w:p>
        </w:tc>
      </w:tr>
      <w:tr>
        <w:tc>
          <w:tcPr>
            <w:tcW w:type="dxa" w:w="2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Variables</w:t>
            </w:r>
          </w:p>
        </w:tc>
        <w:tc>
          <w:tcPr>
            <w:tcW w:type="dxa" w:w="2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camelCase</w:t>
            </w:r>
          </w:p>
        </w:tc>
        <w:tc>
          <w:tcPr>
            <w:tcW w:type="dxa" w:w="46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projectName,  taskStatus,  approvalLevel</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Constants</w:t>
            </w:r>
          </w:p>
        </w:tc>
        <w:tc>
          <w:tcPr>
            <w:tcW w:type="dxa" w:w="2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UPPER_CASE</w:t>
            </w:r>
          </w:p>
        </w:tc>
        <w:tc>
          <w:tcPr>
            <w:tcW w:type="dxa" w:w="46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MAX_UPLOAD_SIZE,  DEFAULT_ROLE</w:t>
            </w:r>
          </w:p>
        </w:tc>
      </w:tr>
    </w:tbl>
    <w:p>
      <w:pPr>
        <w:pStyle w:val="Heading1"/>
      </w:pPr>
      <w:r>
        <w:t xml:space="preserve">8. Standard Status Values</w:t>
      </w:r>
    </w:p>
    <w:p>
      <w:pPr>
        <w:spacing w:after="120" w:before="0" w:line="276"/>
      </w:pPr>
      <w:r>
        <w:t xml:space="preserve">Only the standardised status values below may be used. Custom or free-text statuses are not permitted, as workflow, notification and reporting engines depend on a fixed status vocabulary.</w:t>
      </w:r>
    </w:p>
    <w:p>
      <w:pPr>
        <w:pStyle w:val="Heading3"/>
      </w:pPr>
      <w:r>
        <w:t xml:space="preserve">8.1 Task Status</w:t>
      </w:r>
    </w:p>
    <w:p>
      <w:pPr>
        <w:pBdr>
          <w:left w:val="single" w:color="2E75B6" w:sz="12" w:space="4"/>
        </w:pBdr>
        <w:shd w:fill="F2F2F2" w:val="clear"/>
        <w:spacing w:after="0" w:line="252"/>
        <w:ind w:left="200" w:right="200"/>
      </w:pPr>
      <w:r>
        <w:rPr>
          <w:rFonts w:ascii="Consolas" w:cs="Consolas" w:eastAsia="Consolas" w:hAnsi="Consolas"/>
          <w:sz w:val="19"/>
          <w:szCs w:val="19"/>
        </w:rPr>
        <w:t xml:space="preserve">Draft → Assigned → In Progress → Pending Approval → Approved → Rejected → Closed</w:t>
      </w:r>
    </w:p>
    <w:p>
      <w:pPr>
        <w:spacing w:after="80"/>
      </w:pPr>
    </w:p>
    <w:p>
      <w:pPr>
        <w:pStyle w:val="Heading3"/>
      </w:pPr>
      <w:r>
        <w:t xml:space="preserve">8.2 Document Status</w:t>
      </w:r>
    </w:p>
    <w:p>
      <w:pPr>
        <w:pBdr>
          <w:left w:val="single" w:color="2E75B6" w:sz="12" w:space="4"/>
        </w:pBdr>
        <w:shd w:fill="F2F2F2" w:val="clear"/>
        <w:spacing w:after="0" w:line="252"/>
        <w:ind w:left="200" w:right="200"/>
      </w:pPr>
      <w:r>
        <w:rPr>
          <w:rFonts w:ascii="Consolas" w:cs="Consolas" w:eastAsia="Consolas" w:hAnsi="Consolas"/>
          <w:sz w:val="19"/>
          <w:szCs w:val="19"/>
        </w:rPr>
        <w:t xml:space="preserve">Draft → Submitted → Review → Approved → Rejected → Archived</w:t>
      </w:r>
    </w:p>
    <w:p>
      <w:pPr>
        <w:spacing w:after="80"/>
      </w:pPr>
    </w:p>
    <w:p>
      <w:pPr>
        <w:pStyle w:val="Heading3"/>
      </w:pPr>
      <w:r>
        <w:t xml:space="preserve">8.3 Procurement Status</w:t>
      </w:r>
    </w:p>
    <w:p>
      <w:pPr>
        <w:pBdr>
          <w:left w:val="single" w:color="2E75B6" w:sz="12" w:space="4"/>
        </w:pBdr>
        <w:shd w:fill="F2F2F2" w:val="clear"/>
        <w:spacing w:after="0" w:line="252"/>
        <w:ind w:left="200" w:right="200"/>
      </w:pPr>
      <w:r>
        <w:rPr>
          <w:rFonts w:ascii="Consolas" w:cs="Consolas" w:eastAsia="Consolas" w:hAnsi="Consolas"/>
          <w:sz w:val="19"/>
          <w:szCs w:val="19"/>
        </w:rPr>
        <w:t xml:space="preserve">Draft → RFQ → Quoted → Approved → Ordered → Delivered → Closed</w:t>
      </w:r>
    </w:p>
    <w:p>
      <w:pPr>
        <w:spacing w:after="80"/>
      </w:pPr>
    </w:p>
    <w:p>
      <w:pPr>
        <w:pStyle w:val="Heading1"/>
      </w:pPr>
      <w:r>
        <w:t xml:space="preserve">9. Reserved Prefixes</w:t>
      </w:r>
    </w:p>
    <w:p>
      <w:pPr>
        <w:spacing w:after="120" w:before="0" w:line="276"/>
      </w:pPr>
      <w:r>
        <w:t xml:space="preserve">The following prefixes are permanently reserved. Each prefix maps to exactly one record type and must never be reused for a different purpose. New prefixes may only be introduced through the governance process in Section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Prefix</w:t>
            </w:r>
          </w:p>
        </w:tc>
        <w:tc>
          <w:tcPr>
            <w:tcW w:type="dxa" w:w="328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Description</w:t>
            </w:r>
          </w:p>
        </w:tc>
        <w:tc>
          <w:tcPr>
            <w:tcW w:type="dxa" w:w="14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Prefix</w:t>
            </w:r>
          </w:p>
        </w:tc>
        <w:tc>
          <w:tcPr>
            <w:tcW w:type="dxa" w:w="328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Description</w:t>
            </w:r>
          </w:p>
        </w:tc>
      </w:tr>
      <w:tr>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PRJ</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Project</w:t>
            </w:r>
          </w:p>
        </w:tc>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WBS</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WBS</w:t>
            </w:r>
          </w:p>
        </w:tc>
      </w:tr>
      <w:tr>
        <w:tc>
          <w:tcPr>
            <w:tcW w:type="dxa" w:w="1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TSK</w:t>
            </w:r>
          </w:p>
        </w:tc>
        <w:tc>
          <w:tcPr>
            <w:tcW w:type="dxa" w:w="328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Task</w:t>
            </w:r>
          </w:p>
        </w:tc>
        <w:tc>
          <w:tcPr>
            <w:tcW w:type="dxa" w:w="1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DOC</w:t>
            </w:r>
          </w:p>
        </w:tc>
        <w:tc>
          <w:tcPr>
            <w:tcW w:type="dxa" w:w="328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Document</w:t>
            </w:r>
          </w:p>
        </w:tc>
      </w:tr>
      <w:tr>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PR</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Purchase Request</w:t>
            </w:r>
          </w:p>
        </w:tc>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PO</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Purchase Order</w:t>
            </w:r>
          </w:p>
        </w:tc>
      </w:tr>
      <w:tr>
        <w:tc>
          <w:tcPr>
            <w:tcW w:type="dxa" w:w="1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RFQ</w:t>
            </w:r>
          </w:p>
        </w:tc>
        <w:tc>
          <w:tcPr>
            <w:tcW w:type="dxa" w:w="328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Request for Quotation</w:t>
            </w:r>
          </w:p>
        </w:tc>
        <w:tc>
          <w:tcPr>
            <w:tcW w:type="dxa" w:w="1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NCR</w:t>
            </w:r>
          </w:p>
        </w:tc>
        <w:tc>
          <w:tcPr>
            <w:tcW w:type="dxa" w:w="328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Non-Conformance Report</w:t>
            </w:r>
          </w:p>
        </w:tc>
      </w:tr>
      <w:tr>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IR</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Inspection Request</w:t>
            </w:r>
          </w:p>
        </w:tc>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VO</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Variation Order</w:t>
            </w:r>
          </w:p>
        </w:tc>
      </w:tr>
      <w:tr>
        <w:tc>
          <w:tcPr>
            <w:tcW w:type="dxa" w:w="1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IPC</w:t>
            </w:r>
          </w:p>
        </w:tc>
        <w:tc>
          <w:tcPr>
            <w:tcW w:type="dxa" w:w="328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Interim Payment Certificate</w:t>
            </w:r>
          </w:p>
        </w:tc>
        <w:tc>
          <w:tcPr>
            <w:tcW w:type="dxa" w:w="1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CNT</w:t>
            </w:r>
          </w:p>
        </w:tc>
        <w:tc>
          <w:tcPr>
            <w:tcW w:type="dxa" w:w="328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Contract</w:t>
            </w:r>
          </w:p>
        </w:tc>
      </w:tr>
      <w:tr>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CLM</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Claim</w:t>
            </w:r>
          </w:p>
        </w:tc>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EOT</w:t>
            </w:r>
          </w:p>
        </w:tc>
        <w:tc>
          <w:tcPr>
            <w:tcW w:type="dxa" w:w="32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Extension of Time</w:t>
            </w:r>
          </w:p>
        </w:tc>
      </w:tr>
      <w:tr>
        <w:tc>
          <w:tcPr>
            <w:tcW w:type="dxa" w:w="1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EQP</w:t>
            </w:r>
          </w:p>
        </w:tc>
        <w:tc>
          <w:tcPr>
            <w:tcW w:type="dxa" w:w="328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Equipment</w:t>
            </w:r>
          </w:p>
        </w:tc>
        <w:tc>
          <w:tcPr>
            <w:tcW w:type="dxa" w:w="1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rFonts w:ascii="Consolas" w:cs="Consolas" w:eastAsia="Consolas" w:hAnsi="Consolas"/>
                <w:b w:val="false"/>
                <w:bCs w:val="false"/>
                <w:color w:val="000000"/>
                <w:sz w:val="18"/>
                <w:szCs w:val="18"/>
              </w:rPr>
              <w:t xml:space="preserve">USR</w:t>
            </w:r>
          </w:p>
        </w:tc>
        <w:tc>
          <w:tcPr>
            <w:tcW w:type="dxa" w:w="328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User</w:t>
            </w:r>
          </w:p>
        </w:tc>
      </w:tr>
    </w:tbl>
    <w:p>
      <w:pPr>
        <w:pStyle w:val="Heading1"/>
      </w:pPr>
      <w:r>
        <w:t xml:space="preserve">10. Governance and Change Control</w:t>
      </w:r>
    </w:p>
    <w:p>
      <w:pPr>
        <w:spacing w:after="120" w:before="0" w:line="276"/>
      </w:pPr>
      <w:r>
        <w:t xml:space="preserve">Certain naming structures are foundational to the integrity of DCOS. Changing them after data exists would break references, search and reporting across the platform. These structures are therefore controlled and may only be changed with formal Governance Board approval.</w:t>
      </w:r>
    </w:p>
    <w:p>
      <w:pPr>
        <w:pStyle w:val="Heading3"/>
      </w:pPr>
      <w:r>
        <w:t xml:space="preserve">10.1 Controlled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C00000" w:sz="24"/>
              <w:bottom w:val="single" w:color="FBE9E7" w:sz="2"/>
              <w:right w:val="single" w:color="FBE9E7" w:sz="2"/>
            </w:tcBorders>
            <w:shd w:fill="FBE9E7" w:val="clear"/>
            <w:tcMar>
              <w:top w:type="dxa" w:w="120"/>
              <w:left w:type="dxa" w:w="200"/>
              <w:bottom w:type="dxa" w:w="120"/>
              <w:right w:type="dxa" w:w="160"/>
            </w:tcMar>
          </w:tcPr>
          <w:p>
            <w:pPr>
              <w:spacing w:after="60"/>
            </w:pPr>
            <w:r>
              <w:rPr>
                <w:b/>
                <w:bCs/>
                <w:color w:val="C00000"/>
              </w:rPr>
              <w:t xml:space="preserve">Cannot be changed without Governance Board approval</w:t>
            </w:r>
          </w:p>
          <w:p>
            <w:pPr>
              <w:spacing w:after="40" w:line="264"/>
            </w:pPr>
            <w:r>
              <w:t xml:space="preserve">Project Code structure</w:t>
            </w:r>
          </w:p>
          <w:p>
            <w:pPr>
              <w:spacing w:after="40" w:line="264"/>
            </w:pPr>
            <w:r>
              <w:t xml:space="preserve">Document numbering structure</w:t>
            </w:r>
          </w:p>
          <w:p>
            <w:pPr>
              <w:spacing w:after="40" w:line="264"/>
            </w:pPr>
            <w:r>
              <w:t xml:space="preserve">WBS structure</w:t>
            </w:r>
          </w:p>
          <w:p>
            <w:pPr>
              <w:spacing w:after="40" w:line="264"/>
            </w:pPr>
            <w:r>
              <w:t xml:space="preserve">Cost code structure</w:t>
            </w:r>
          </w:p>
          <w:p>
            <w:pPr>
              <w:spacing w:after="0" w:line="264"/>
            </w:pPr>
            <w:r>
              <w:t xml:space="preserve">API naming structure</w:t>
            </w:r>
          </w:p>
        </w:tc>
      </w:tr>
    </w:tbl>
    <w:p>
      <w:pPr>
        <w:pStyle w:val="Heading3"/>
      </w:pPr>
      <w:r>
        <w:t xml:space="preserve">10.2 Change Request Process</w:t>
      </w:r>
    </w:p>
    <w:p>
      <w:pPr>
        <w:pStyle w:val="ListParagraph"/>
        <w:numPr>
          <w:ilvl w:val="0"/>
          <w:numId w:val="3"/>
        </w:numPr>
        <w:spacing w:after="60" w:line="276"/>
      </w:pPr>
      <w:r>
        <w:t xml:space="preserve">A change request is raised describing the proposed change and its business justification.</w:t>
      </w:r>
    </w:p>
    <w:p>
      <w:pPr>
        <w:pStyle w:val="ListParagraph"/>
        <w:numPr>
          <w:ilvl w:val="0"/>
          <w:numId w:val="3"/>
        </w:numPr>
        <w:spacing w:after="60" w:line="276"/>
      </w:pPr>
      <w:r>
        <w:t xml:space="preserve">The Governance Board assesses impact on existing data, integrations and reporting.</w:t>
      </w:r>
    </w:p>
    <w:p>
      <w:pPr>
        <w:pStyle w:val="ListParagraph"/>
        <w:numPr>
          <w:ilvl w:val="0"/>
          <w:numId w:val="3"/>
        </w:numPr>
        <w:spacing w:after="60" w:line="276"/>
      </w:pPr>
      <w:r>
        <w:t xml:space="preserve">If approved, the change is versioned into this SOP and a migration plan is issued where existing records are affected.</w:t>
      </w:r>
    </w:p>
    <w:p>
      <w:pPr>
        <w:pStyle w:val="ListParagraph"/>
        <w:numPr>
          <w:ilvl w:val="0"/>
          <w:numId w:val="3"/>
        </w:numPr>
        <w:spacing w:after="60" w:line="276"/>
      </w:pPr>
      <w:r>
        <w:t xml:space="preserve">The updated SOP is published, communicated to all users, and the previous version is archived.</w:t>
      </w:r>
    </w:p>
    <w:p>
      <w:pPr>
        <w:pStyle w:val="Heading1"/>
      </w:pPr>
      <w:r>
        <w:t xml:space="preserve">11. Compliance and Enforcement</w:t>
      </w:r>
    </w:p>
    <w:p>
      <w:pPr>
        <w:spacing w:after="120" w:before="0" w:line="276"/>
      </w:pPr>
      <w:r>
        <w:t xml:space="preserve">Compliance with this SOP is mandatory. Wherever technically possible, the standard is enforced automatically by the platform rather than relying on manual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Enforcement Layer</w:t>
            </w:r>
          </w:p>
        </w:tc>
        <w:tc>
          <w:tcPr>
            <w:tcW w:type="dxa" w:w="66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Mechanism</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Automated generation</w:t>
            </w:r>
          </w:p>
        </w:tc>
        <w:tc>
          <w:tcPr>
            <w:tcW w:type="dxa" w:w="66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Codes for projects, tasks, documents and transactions are auto-generated to the correct format wherever possible.</w:t>
            </w:r>
          </w:p>
        </w:tc>
      </w:tr>
      <w:tr>
        <w:tc>
          <w:tcPr>
            <w:tcW w:type="dxa" w:w="27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Validation</w:t>
            </w:r>
          </w:p>
        </w:tc>
        <w:tc>
          <w:tcPr>
            <w:tcW w:type="dxa" w:w="66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Input forms reject codes containing spaces, special characters, or non-English text.</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Reserved prefixes</w:t>
            </w:r>
          </w:p>
        </w:tc>
        <w:tc>
          <w:tcPr>
            <w:tcW w:type="dxa" w:w="66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The platform blocks reuse of reserved prefixes for unintended record types.</w:t>
            </w:r>
          </w:p>
        </w:tc>
      </w:tr>
      <w:tr>
        <w:tc>
          <w:tcPr>
            <w:tcW w:type="dxa" w:w="27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Document control gate</w:t>
            </w:r>
          </w:p>
        </w:tc>
        <w:tc>
          <w:tcPr>
            <w:tcW w:type="dxa" w:w="66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The Document Controller rejects any document that does not follow the numbering structure.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Audit trail</w:t>
            </w:r>
          </w:p>
        </w:tc>
        <w:tc>
          <w:tcPr>
            <w:tcW w:type="dxa" w:w="66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All record creation is logged; non-compliant or duplicate codes are flagged for review.</w:t>
            </w:r>
          </w:p>
        </w:tc>
      </w:tr>
      <w:tr>
        <w:tc>
          <w:tcPr>
            <w:tcW w:type="dxa" w:w="27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Periodic review</w:t>
            </w:r>
          </w:p>
        </w:tc>
        <w:tc>
          <w:tcPr>
            <w:tcW w:type="dxa" w:w="66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Data-quality reports identify and escalate naming inconsistencies for correction.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9" w:sz="2"/>
              <w:left w:val="single" w:color="1F3864" w:sz="24"/>
              <w:bottom w:val="single" w:color="EEF3F9" w:sz="2"/>
              <w:right w:val="single" w:color="EEF3F9" w:sz="2"/>
            </w:tcBorders>
            <w:shd w:fill="EEF3F9" w:val="clear"/>
            <w:tcMar>
              <w:top w:type="dxa" w:w="120"/>
              <w:left w:type="dxa" w:w="200"/>
              <w:bottom w:type="dxa" w:w="120"/>
              <w:right w:type="dxa" w:w="160"/>
            </w:tcMar>
          </w:tcPr>
          <w:p>
            <w:pPr>
              <w:spacing w:after="60"/>
            </w:pPr>
            <w:r>
              <w:rPr>
                <w:b/>
                <w:bCs/>
                <w:color w:val="1F3864"/>
              </w:rPr>
              <w:t xml:space="preserve">Final principle</w:t>
            </w:r>
          </w:p>
          <w:p>
            <w:pPr>
              <w:spacing w:after="0" w:line="264"/>
            </w:pPr>
            <w:r>
              <w:t xml:space="preserve">Naming conventions are the language of DCOS. Every project, document, task, contract, cost record, inspection and workflow must follow these standards. Applied consistently from the beginning, they allow DCOS to scale from one project to thousands without losing structure or control.</w:t>
            </w:r>
          </w:p>
        </w:tc>
      </w:tr>
    </w:tbl>
    <w:p>
      <w:pPr>
        <w:pStyle w:val="Heading1"/>
      </w:pPr>
      <w:r>
        <w:t xml:space="preserve">12. References</w:t>
      </w:r>
    </w:p>
    <w:p>
      <w:pPr>
        <w:pStyle w:val="ListParagraph"/>
        <w:numPr>
          <w:ilvl w:val="0"/>
          <w:numId w:val="2"/>
        </w:numPr>
        <w:spacing w:after="60" w:line="276"/>
      </w:pPr>
      <w:r>
        <w:t xml:space="preserve">DCOS Enterprise Naming Convention Standard, Version 1.0 (source standard for this SOP).</w:t>
      </w:r>
    </w:p>
    <w:p>
      <w:pPr>
        <w:pStyle w:val="ListParagraph"/>
        <w:numPr>
          <w:ilvl w:val="0"/>
          <w:numId w:val="2"/>
        </w:numPr>
        <w:spacing w:after="60" w:line="276"/>
      </w:pPr>
      <w:r>
        <w:t xml:space="preserve">DCOS System Architecture &amp; Module Design, R0/R1.</w:t>
      </w:r>
    </w:p>
    <w:p>
      <w:pPr>
        <w:pStyle w:val="ListParagraph"/>
        <w:numPr>
          <w:ilvl w:val="0"/>
          <w:numId w:val="2"/>
        </w:numPr>
        <w:spacing w:after="60" w:line="276"/>
      </w:pPr>
      <w:r>
        <w:t xml:space="preserve">DCOS System Architecture Gap Analysis &amp; Improvement Report, DCOS-ARCH-GAP-001 R1.</w:t>
      </w:r>
    </w:p>
    <w:p>
      <w:pPr>
        <w:pStyle w:val="Heading1"/>
      </w:pPr>
      <w:r>
        <w:t xml:space="preserve">13.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5300"/>
        <w:gridCol w:w="1360"/>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Version</w:t>
            </w:r>
          </w:p>
        </w:tc>
        <w:tc>
          <w:tcPr>
            <w:tcW w:type="dxa" w:w="14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Date</w:t>
            </w:r>
          </w:p>
        </w:tc>
        <w:tc>
          <w:tcPr>
            <w:tcW w:type="dxa" w:w="53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Description</w:t>
            </w:r>
          </w:p>
        </w:tc>
        <w:tc>
          <w:tcPr>
            <w:tcW w:type="dxa" w:w="136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pPr>
              <w:spacing w:after="0" w:line="252"/>
              <w:jc w:val="left"/>
            </w:pPr>
            <w:r>
              <w:rPr>
                <w:b/>
                <w:bCs/>
                <w:color w:val="FFFFFF"/>
              </w:rPr>
              <w:t xml:space="preserve">Author</w:t>
            </w:r>
          </w:p>
        </w:tc>
      </w:tr>
      <w:tr>
        <w:tc>
          <w:tcPr>
            <w:tcW w:type="dxa" w:w="1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v1.0</w:t>
            </w:r>
          </w:p>
        </w:tc>
        <w:tc>
          <w:tcPr>
            <w:tcW w:type="dxa" w:w="1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w:t>
            </w:r>
          </w:p>
        </w:tc>
        <w:tc>
          <w:tcPr>
            <w:tcW w:type="dxa" w:w="5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Original Enterprise Naming Convention Standard (source).</w:t>
            </w:r>
          </w:p>
        </w:tc>
        <w:tc>
          <w:tcPr>
            <w:tcW w:type="dxa" w:w="1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jc w:val="left"/>
            </w:pPr>
            <w:r>
              <w:rPr>
                <w:b w:val="false"/>
                <w:bCs w:val="false"/>
                <w:color w:val="000000"/>
              </w:rPr>
              <w:t xml:space="preserve">DCOS Team</w:t>
            </w:r>
          </w:p>
        </w:tc>
      </w:tr>
      <w:tr>
        <w:tc>
          <w:tcPr>
            <w:tcW w:type="dxa" w:w="1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R1.0</w:t>
            </w:r>
          </w:p>
        </w:tc>
        <w:tc>
          <w:tcPr>
            <w:tcW w:type="dxa" w:w="14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Jun 2026</w:t>
            </w:r>
          </w:p>
        </w:tc>
        <w:tc>
          <w:tcPr>
            <w:tcW w:type="dxa" w:w="530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Reissued as a controlled SOP: added purpose, scope, roles, governance, compliance and reference structure; consolidated all code standards into procedural tables.</w:t>
            </w:r>
          </w:p>
        </w:tc>
        <w:tc>
          <w:tcPr>
            <w:tcW w:type="dxa" w:w="1360"/>
            <w:tcBorders>
              <w:top w:val="single" w:color="BFBFBF" w:sz="1"/>
              <w:left w:val="single" w:color="BFBFBF" w:sz="1"/>
              <w:bottom w:val="single" w:color="BFBFBF" w:sz="1"/>
              <w:right w:val="single" w:color="BFBFBF" w:sz="1"/>
            </w:tcBorders>
            <w:shd w:fill="EEF3F9" w:val="clear"/>
            <w:tcMar>
              <w:top w:type="dxa" w:w="70"/>
              <w:left w:type="dxa" w:w="120"/>
              <w:bottom w:type="dxa" w:w="70"/>
              <w:right w:type="dxa" w:w="120"/>
            </w:tcMar>
            <w:vAlign w:val="center"/>
          </w:tcPr>
          <w:p>
            <w:pPr>
              <w:spacing w:after="0" w:line="252"/>
              <w:jc w:val="left"/>
            </w:pPr>
            <w:r>
              <w:rPr>
                <w:b w:val="false"/>
                <w:bCs w:val="false"/>
                <w:color w:val="000000"/>
              </w:rPr>
              <w:t xml:space="preserve">DCOS Governance</w:t>
            </w:r>
          </w:p>
        </w:tc>
      </w:tr>
    </w:tbl>
    <w:p>
      <w:pPr>
        <w:spacing w:after="200"/>
      </w:pPr>
    </w:p>
    <w:p>
      <w:pPr>
        <w:pBdr>
          <w:top w:val="single" w:color="2E75B6" w:sz="4" w:space="8"/>
        </w:pBdr>
        <w:spacing w:before="200"/>
        <w:jc w:val="center"/>
      </w:pPr>
      <w:r>
        <w:rPr>
          <w:i/>
          <w:iCs/>
          <w:color w:val="595959"/>
          <w:sz w:val="19"/>
          <w:szCs w:val="19"/>
        </w:rPr>
        <w:t xml:space="preserve">End of Standard Operating Procedure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360"/>
      </w:tabs>
      <w:spacing w:before="0"/>
    </w:pPr>
    <w:r>
      <w:rPr>
        <w:color w:val="595959"/>
        <w:sz w:val="16"/>
        <w:szCs w:val="16"/>
      </w:rPr>
      <w:t xml:space="preserve">Internal — Controlled Document</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360"/>
      </w:tabs>
      <w:spacing w:after="0"/>
    </w:pPr>
    <w:r>
      <w:rPr>
        <w:color w:val="595959"/>
        <w:sz w:val="16"/>
        <w:szCs w:val="16"/>
      </w:rPr>
      <w:t xml:space="preserve">DCOS — Naming Convention SOP</w:t>
    </w:r>
    <w:r>
      <w:rPr>
        <w:color w:val="595959"/>
        <w:sz w:val="16"/>
        <w:szCs w:val="16"/>
      </w:rPr>
      <w:t xml:space="preserve">	DCOS-SOP-NMC-001  |  R1.0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DCOS Enterprise Naming Convention SOP</dc:title>
  <dc:creator>DCOS Governance</dc:creator>
  <cp:lastModifiedBy>Un-named</cp:lastModifiedBy>
  <cp:revision>1</cp:revision>
  <dcterms:created xsi:type="dcterms:W3CDTF">2026-06-05T09:25:15.056Z</dcterms:created>
  <dcterms:modified xsi:type="dcterms:W3CDTF">2026-06-05T09:25:15.056Z</dcterms:modified>
</cp:coreProperties>
</file>

<file path=docProps/custom.xml><?xml version="1.0" encoding="utf-8"?>
<Properties xmlns="http://schemas.openxmlformats.org/officeDocument/2006/custom-properties" xmlns:vt="http://schemas.openxmlformats.org/officeDocument/2006/docPropsVTypes"/>
</file>