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120"/>
        <w:jc w:val="center"/>
      </w:pPr>
      <w:r>
        <w:rPr>
          <w:rFonts w:ascii="Arial" w:cs="Arial" w:eastAsia="Arial" w:hAnsi="Arial"/>
          <w:b/>
          <w:bCs/>
          <w:color w:val="1F4E79"/>
          <w:sz w:val="56"/>
          <w:szCs w:val="56"/>
        </w:rPr>
        <w:t xml:space="preserve">DCOS</w:t>
      </w:r>
    </w:p>
    <w:p>
      <w:pPr>
        <w:spacing w:after="200"/>
        <w:jc w:val="center"/>
      </w:pPr>
      <w:r>
        <w:rPr>
          <w:rFonts w:ascii="Arial" w:cs="Arial" w:eastAsia="Arial" w:hAnsi="Arial"/>
          <w:i/>
          <w:iCs/>
          <w:color w:val="666666"/>
          <w:sz w:val="22"/>
          <w:szCs w:val="22"/>
        </w:rPr>
        <w:t xml:space="preserve">Construction ERP &amp; Operations Management Platform</w:t>
      </w:r>
    </w:p>
    <w:p>
      <w:pPr>
        <w:spacing w:after="60" w:before="60"/>
      </w:pPr>
    </w:p>
    <w:p>
      <w:pPr>
        <w:pBdr>
          <w:bottom w:val="single" w:color="1F4E79" w:sz="18" w:space="1"/>
        </w:pBdr>
        <w:spacing w:after="200"/>
        <w:jc w:val="center"/>
      </w:pPr>
      <w:r>
        <w:rPr>
          <w:rFonts w:ascii="Arial" w:cs="Arial" w:eastAsia="Arial" w:hAnsi="Arial"/>
          <w:b/>
          <w:bCs/>
          <w:color w:val="1F4E79"/>
          <w:sz w:val="36"/>
          <w:szCs w:val="36"/>
        </w:rPr>
        <w:t xml:space="preserve">ENTERPRISE MASTER DATA CATALOGUE</w:t>
      </w:r>
    </w:p>
    <w:p>
      <w:pPr>
        <w:spacing w:after="60" w:before="60"/>
      </w:pPr>
    </w:p>
    <w:p>
      <w:pPr>
        <w:spacing w:after="80"/>
        <w:jc w:val="center"/>
      </w:pPr>
      <w:r>
        <w:rPr>
          <w:rFonts w:ascii="Arial" w:cs="Arial" w:eastAsia="Arial" w:hAnsi="Arial"/>
          <w:b/>
          <w:bCs/>
          <w:color w:val="333333"/>
          <w:sz w:val="24"/>
          <w:szCs w:val="24"/>
        </w:rPr>
        <w:t xml:space="preserve">Document ID:  DCOS-MDM-CAT-001</w:t>
      </w:r>
    </w:p>
    <w:p>
      <w:pPr>
        <w:spacing w:after="80"/>
        <w:jc w:val="center"/>
      </w:pPr>
      <w:r>
        <w:rPr>
          <w:rFonts w:ascii="Arial" w:cs="Arial" w:eastAsia="Arial" w:hAnsi="Arial"/>
          <w:color w:val="555555"/>
          <w:sz w:val="20"/>
          <w:szCs w:val="20"/>
        </w:rPr>
        <w:t xml:space="preserve">Document Type:  Enterprise Master Data Catalogue</w:t>
      </w:r>
    </w:p>
    <w:p>
      <w:pPr>
        <w:spacing w:after="80"/>
        <w:jc w:val="center"/>
      </w:pPr>
      <w:r>
        <w:rPr>
          <w:rFonts w:ascii="Arial" w:cs="Arial" w:eastAsia="Arial" w:hAnsi="Arial"/>
          <w:color w:val="555555"/>
          <w:sz w:val="20"/>
          <w:szCs w:val="20"/>
        </w:rPr>
        <w:t xml:space="preserve">Status:  Draft for Standardization</w:t>
      </w:r>
    </w:p>
    <w:p>
      <w:pPr>
        <w:spacing w:after="80"/>
        <w:jc w:val="center"/>
      </w:pPr>
      <w:r>
        <w:rPr>
          <w:rFonts w:ascii="Arial" w:cs="Arial" w:eastAsia="Arial" w:hAnsi="Arial"/>
          <w:color w:val="555555"/>
          <w:sz w:val="18"/>
          <w:szCs w:val="18"/>
        </w:rPr>
        <w:t xml:space="preserve">Parent Standard:  DCOS-MDM-STD-001 — DCOS Enterprise Master Data Standard</w:t>
      </w:r>
    </w:p>
    <w:p>
      <w:pPr>
        <w:spacing w:after="60" w:before="60"/>
      </w:pPr>
    </w:p>
    <w:p>
      <w:pPr>
        <w:spacing w:after="60" w:before="60"/>
      </w:pPr>
    </w:p>
    <w:p>
      <w:pPr>
        <w:spacing w:after="60"/>
        <w:jc w:val="center"/>
      </w:pPr>
      <w:r>
        <w:rPr>
          <w:rFonts w:ascii="Arial" w:cs="Arial" w:eastAsia="Arial" w:hAnsi="Arial"/>
          <w:color w:val="666666"/>
          <w:sz w:val="18"/>
          <w:szCs w:val="18"/>
        </w:rPr>
        <w:t xml:space="preserve">Classification:  Internal — Enterprise Architecture</w:t>
      </w:r>
    </w:p>
    <w:p>
      <w:pPr>
        <w:spacing w:after="60"/>
        <w:jc w:val="center"/>
      </w:pPr>
      <w:r>
        <w:rPr>
          <w:rFonts w:ascii="Arial" w:cs="Arial" w:eastAsia="Arial" w:hAnsi="Arial"/>
          <w:color w:val="666666"/>
          <w:sz w:val="18"/>
          <w:szCs w:val="18"/>
        </w:rPr>
        <w:t xml:space="preserve">Version:  0.9  |  Date:  September 2026</w:t>
      </w:r>
    </w:p>
    <w:p>
      <w:pPr>
        <w:spacing w:after="60" w:before="60"/>
      </w:pPr>
    </w:p>
    <w:p>
      <w:pPr>
        <w:spacing w:after="60" w:before="60"/>
      </w:pPr>
    </w:p>
    <w:p>
      <w:pPr>
        <w:spacing w:after="60" w:before="60"/>
      </w:pPr>
    </w:p>
    <w:p>
      <w:pPr>
        <w:jc w:val="center"/>
      </w:pPr>
      <w:r>
        <w:rPr>
          <w:rFonts w:ascii="Arial" w:cs="Arial" w:eastAsia="Arial" w:hAnsi="Arial"/>
          <w:color w:val="666666"/>
          <w:sz w:val="18"/>
          <w:szCs w:val="18"/>
        </w:rPr>
        <w:t xml:space="preserve">Prepared for:  DCOS Platform Architecture &amp; Data Governance</w:t>
      </w:r>
    </w:p>
    <w:p>
      <w:pPr>
        <w:jc w:val="center"/>
      </w:pPr>
      <w:r>
        <w:rPr>
          <w:rFonts w:ascii="Arial" w:cs="Arial" w:eastAsia="Arial" w:hAnsi="Arial"/>
          <w:color w:val="888888"/>
          <w:sz w:val="16"/>
          <w:szCs w:val="16"/>
        </w:rPr>
        <w:t xml:space="preserve">Audience:  Management, Project Controls, Engineering, QS, Procurement, Construction, Warehouse, QA/QC, HSE, HR, Finance, IT, Developers, Data Administrators, Auditors</w:t>
      </w:r>
    </w:p>
    <w:p>
      <w:r>
        <w:br w:type="page"/>
      </w:r>
    </w:p>
    <w:p>
      <w:pPr>
        <w:pStyle w:val="Heading1"/>
        <w:spacing w:after="200" w:before="360"/>
      </w:pPr>
      <w:r>
        <w:rPr>
          <w:rFonts w:ascii="Arial" w:cs="Arial" w:eastAsia="Arial" w:hAnsi="Arial"/>
          <w:b/>
          <w:bCs/>
          <w:color w:val="1F4E79"/>
          <w:sz w:val="28"/>
          <w:szCs w:val="28"/>
        </w:rPr>
        <w:t xml:space="preserve">DOCUMENT CONTROL</w:t>
      </w:r>
    </w:p>
    <w:p>
      <w:pPr>
        <w:pStyle w:val="Heading2"/>
        <w:spacing w:after="140" w:before="280"/>
      </w:pPr>
      <w:r>
        <w:rPr>
          <w:rFonts w:ascii="Arial" w:cs="Arial" w:eastAsia="Arial" w:hAnsi="Arial"/>
          <w:b/>
          <w:bCs/>
          <w:color w:val="1F4E79"/>
          <w:sz w:val="24"/>
          <w:szCs w:val="24"/>
        </w:rPr>
        <w:t xml:space="preserve">Document Information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Document ID</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DCOS-MDM-CAT-001</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Document Title</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Master Data Catalogue</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Document Type</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 Master Data Catalogue</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Status</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Draft for Standardization</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Version</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0.9</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Parent Standard</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DCOS-MDM-STD-001 — DCOS Enterprise Master Data Standard</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Classification</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Internal — Enterprise Architecture</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Effective Date</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Upon formal approval</w:t>
            </w:r>
          </w:p>
        </w:tc>
      </w:tr>
    </w:tbl>
    <w:p>
      <w:pPr>
        <w:spacing w:after="60" w:before="60"/>
      </w:pPr>
    </w:p>
    <w:p>
      <w:pPr>
        <w:pStyle w:val="Heading2"/>
        <w:spacing w:after="140" w:before="280"/>
      </w:pPr>
      <w:r>
        <w:rPr>
          <w:rFonts w:ascii="Arial" w:cs="Arial" w:eastAsia="Arial" w:hAnsi="Arial"/>
          <w:b/>
          <w:bCs/>
          <w:color w:val="1F4E79"/>
          <w:sz w:val="24"/>
          <w:szCs w:val="24"/>
        </w:rPr>
        <w:t xml:space="preserve">Revision History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200"/>
      </w:tblGrid>
      <w:tr>
        <w:tc>
          <w:tcPr>
            <w:tcW w:type="dxa" w:w="1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Version</w:t>
            </w:r>
          </w:p>
        </w:tc>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Date</w:t>
            </w:r>
          </w:p>
        </w:tc>
        <w:tc>
          <w:tcPr>
            <w:tcW w:type="dxa" w:w="2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Author</w:t>
            </w:r>
          </w:p>
        </w:tc>
        <w:tc>
          <w:tcPr>
            <w:tcW w:type="dxa" w:w="5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Description</w:t>
            </w:r>
          </w:p>
        </w:tc>
      </w:tr>
      <w:tr>
        <w:tc>
          <w:tcPr>
            <w:tcW w:type="dxa" w:w="1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0.9</w:t>
            </w:r>
          </w:p>
        </w:tc>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Sep 2026</w:t>
            </w:r>
          </w:p>
        </w:tc>
        <w:tc>
          <w:tcPr>
            <w:tcW w:type="dxa" w:w="2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 Architecture</w:t>
            </w:r>
          </w:p>
        </w:tc>
        <w:tc>
          <w:tcPr>
            <w:tcW w:type="dxa" w:w="5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Initial draft catalogue for standardization review.</w:t>
            </w:r>
          </w:p>
        </w:tc>
      </w:tr>
    </w:tbl>
    <w:p>
      <w:pPr>
        <w:spacing w:after="60" w:before="60"/>
      </w:pPr>
    </w:p>
    <w:p>
      <w:pPr>
        <w:pStyle w:val="Heading2"/>
        <w:spacing w:after="140" w:before="280"/>
      </w:pPr>
      <w:r>
        <w:rPr>
          <w:rFonts w:ascii="Arial" w:cs="Arial" w:eastAsia="Arial" w:hAnsi="Arial"/>
          <w:b/>
          <w:bCs/>
          <w:color w:val="1F4E79"/>
          <w:sz w:val="24"/>
          <w:szCs w:val="24"/>
        </w:rPr>
        <w:t xml:space="preserve">Distribution</w:t>
      </w:r>
    </w:p>
    <w:p>
      <w:pPr>
        <w:spacing w:after="80" w:before="80"/>
        <w:jc w:val="left"/>
      </w:pPr>
      <w:r>
        <w:rPr>
          <w:rFonts w:ascii="Arial" w:cs="Arial" w:eastAsia="Arial" w:hAnsi="Arial"/>
          <w:b w:val="false"/>
          <w:bCs w:val="false"/>
          <w:i w:val="false"/>
          <w:iCs w:val="false"/>
          <w:color w:val="333333"/>
          <w:sz w:val="20"/>
          <w:szCs w:val="20"/>
        </w:rPr>
        <w:t xml:space="preserve">This catalogue is controlled under DCOS Master Data Governance. Distribution is restricted to authorized DCOS stakeholders. Uncontrolled copies are not valid for implementation.</w:t>
      </w:r>
    </w:p>
    <w:p>
      <w:pPr>
        <w:spacing w:after="60" w:before="60"/>
      </w:pPr>
    </w:p>
    <w:p>
      <w:pPr>
        <w:pStyle w:val="Heading2"/>
        <w:spacing w:after="140" w:before="280"/>
      </w:pPr>
      <w:r>
        <w:rPr>
          <w:rFonts w:ascii="Arial" w:cs="Arial" w:eastAsia="Arial" w:hAnsi="Arial"/>
          <w:b/>
          <w:bCs/>
          <w:color w:val="1F4E79"/>
          <w:sz w:val="24"/>
          <w:szCs w:val="24"/>
        </w:rPr>
        <w:t xml:space="preserve">Related Documents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Document</w:t>
            </w:r>
          </w:p>
        </w:tc>
        <w:tc>
          <w:tcPr>
            <w:tcW w:type="dxa" w:w="7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Relationship</w:t>
            </w:r>
          </w:p>
        </w:tc>
      </w:tr>
      <w:tr>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DCOS-MDM-STD-001</w:t>
            </w:r>
          </w:p>
        </w:tc>
        <w:tc>
          <w:tcPr>
            <w:tcW w:type="dxa" w:w="70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Parent Enterprise Master Data Standard — principles and policy.</w:t>
            </w:r>
          </w:p>
        </w:tc>
      </w:tr>
      <w:tr>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DCOS-MDM-DIC-001</w:t>
            </w:r>
          </w:p>
        </w:tc>
        <w:tc>
          <w:tcPr>
            <w:tcW w:type="dxa" w:w="70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Future Master Data Dictionary — field-level definitions (out of scope here).</w:t>
            </w:r>
          </w:p>
        </w:tc>
      </w:tr>
    </w:tbl>
    <w:p>
      <w:r>
        <w:br w:type="page"/>
      </w:r>
    </w:p>
    <w:p>
      <w:pPr>
        <w:pStyle w:val="Heading1"/>
        <w:spacing w:after="200" w:before="360"/>
      </w:pPr>
      <w:r>
        <w:rPr>
          <w:rFonts w:ascii="Arial" w:cs="Arial" w:eastAsia="Arial" w:hAnsi="Arial"/>
          <w:b/>
          <w:bCs/>
          <w:color w:val="1F4E79"/>
          <w:sz w:val="28"/>
          <w:szCs w:val="28"/>
        </w:rPr>
        <w:t xml:space="preserve">1. Introduction</w:t>
      </w:r>
    </w:p>
    <w:p>
      <w:pPr>
        <w:spacing w:after="80" w:before="80"/>
        <w:jc w:val="left"/>
      </w:pPr>
      <w:r>
        <w:rPr>
          <w:rFonts w:ascii="Arial" w:cs="Arial" w:eastAsia="Arial" w:hAnsi="Arial"/>
          <w:b w:val="false"/>
          <w:bCs w:val="false"/>
          <w:i w:val="false"/>
          <w:iCs w:val="false"/>
          <w:color w:val="333333"/>
          <w:sz w:val="20"/>
          <w:szCs w:val="20"/>
        </w:rPr>
        <w:t xml:space="preserve">DCOS is an integrated Construction ERP &amp; Operations Management Platform designed to manage the complete lifecycle of construction and real-estate projects. The platform spans company and organization management, project management, WBS, planning and scheduling, design management, BIM coordination, quantity surveying, estimation, BOQ management, procurement, supplier and subcontractor management, construction operations, material and warehouse management, QA/QC, HSE, document control, equipment management, HR and workforce, payroll, accounting and finance, cost control, contract management, claims, commissioning, handover, and Defects Liability Period (DLP).</w:t>
      </w:r>
    </w:p>
    <w:p>
      <w:pPr>
        <w:spacing w:after="80" w:before="80"/>
        <w:jc w:val="left"/>
      </w:pPr>
      <w:r>
        <w:rPr>
          <w:rFonts w:ascii="Arial" w:cs="Arial" w:eastAsia="Arial" w:hAnsi="Arial"/>
          <w:b w:val="false"/>
          <w:bCs w:val="false"/>
          <w:i w:val="false"/>
          <w:iCs w:val="false"/>
          <w:color w:val="333333"/>
          <w:sz w:val="20"/>
          <w:szCs w:val="20"/>
        </w:rPr>
        <w:t xml:space="preserve">The DCOS platform SHALL operate using a centralized and standardized master-data model. Without a controlled catalogue of master data, modules will create independent copies of the same business entities, leading to inconsistency, duplication, and unreliable reporting.</w:t>
      </w:r>
    </w:p>
    <w:p>
      <w:pPr>
        <w:spacing w:after="80" w:before="80"/>
        <w:jc w:val="left"/>
      </w:pPr>
      <w:r>
        <w:rPr>
          <w:rFonts w:ascii="Arial" w:cs="Arial" w:eastAsia="Arial" w:hAnsi="Arial"/>
          <w:b w:val="false"/>
          <w:bCs w:val="false"/>
          <w:i w:val="false"/>
          <w:iCs w:val="false"/>
          <w:color w:val="333333"/>
          <w:sz w:val="20"/>
          <w:szCs w:val="20"/>
        </w:rPr>
        <w:t xml:space="preserve">This document establishes the official DCOS Master Data Catalogue. It defines what master data exists within DCOS, the domains and entities that the platform recognizes and controls, and the high-level rules that govern ownership, scope, and reuse.</w:t>
      </w:r>
    </w:p>
    <w:p>
      <w:pPr>
        <w:pStyle w:val="Heading1"/>
        <w:spacing w:after="200" w:before="360"/>
      </w:pPr>
      <w:r>
        <w:rPr>
          <w:rFonts w:ascii="Arial" w:cs="Arial" w:eastAsia="Arial" w:hAnsi="Arial"/>
          <w:b/>
          <w:bCs/>
          <w:color w:val="1F4E79"/>
          <w:sz w:val="28"/>
          <w:szCs w:val="28"/>
        </w:rPr>
        <w:t xml:space="preserve">2. Purpose</w:t>
      </w:r>
    </w:p>
    <w:p>
      <w:pPr>
        <w:spacing w:after="80" w:before="80"/>
        <w:jc w:val="left"/>
      </w:pPr>
      <w:r>
        <w:rPr>
          <w:rFonts w:ascii="Arial" w:cs="Arial" w:eastAsia="Arial" w:hAnsi="Arial"/>
          <w:b w:val="false"/>
          <w:bCs w:val="false"/>
          <w:i w:val="false"/>
          <w:iCs w:val="false"/>
          <w:color w:val="333333"/>
          <w:sz w:val="20"/>
          <w:szCs w:val="20"/>
        </w:rPr>
        <w:t xml:space="preserve">The purpose of this document is to define:</w:t>
      </w:r>
    </w:p>
    <w:p>
      <w:pPr>
        <w:spacing w:after="100" w:before="100"/>
        <w:jc w:val="center"/>
      </w:pPr>
      <w:r>
        <w:rPr>
          <w:rFonts w:ascii="Arial" w:cs="Arial" w:eastAsia="Arial" w:hAnsi="Arial"/>
          <w:b/>
          <w:bCs/>
          <w:i/>
          <w:iCs/>
          <w:color w:val="1F4E79"/>
          <w:sz w:val="22"/>
          <w:szCs w:val="22"/>
        </w:rPr>
        <w:t xml:space="preserve">WHAT master data exists within DCOS.</w:t>
      </w:r>
    </w:p>
    <w:p>
      <w:pPr>
        <w:spacing w:after="80" w:before="80"/>
        <w:jc w:val="left"/>
      </w:pPr>
      <w:r>
        <w:rPr>
          <w:rFonts w:ascii="Arial" w:cs="Arial" w:eastAsia="Arial" w:hAnsi="Arial"/>
          <w:b w:val="false"/>
          <w:bCs w:val="false"/>
          <w:i w:val="false"/>
          <w:iCs w:val="false"/>
          <w:color w:val="333333"/>
          <w:sz w:val="20"/>
          <w:szCs w:val="20"/>
        </w:rPr>
        <w:t xml:space="preserve">The catalogue provides a common enterprise reference for Management, Project Management, Engineering, Design, BIM, Quantity Surveying, Procurement, Construction, Warehouse, QA/QC, HSE, HR, Finance, IT, Developers, Database Architects, Data Administrators, System Administrators, and Auditors.</w:t>
      </w:r>
    </w:p>
    <w:p>
      <w:pPr>
        <w:spacing w:after="80" w:before="80"/>
        <w:jc w:val="left"/>
      </w:pPr>
      <w:r>
        <w:rPr>
          <w:rFonts w:ascii="Arial" w:cs="Arial" w:eastAsia="Arial" w:hAnsi="Arial"/>
          <w:b w:val="false"/>
          <w:bCs w:val="false"/>
          <w:i w:val="false"/>
          <w:iCs w:val="false"/>
          <w:color w:val="333333"/>
          <w:sz w:val="20"/>
          <w:szCs w:val="20"/>
        </w:rPr>
        <w:t xml:space="preserve">This catalogue SHALL enable DCOS teams to answer:</w:t>
      </w:r>
    </w:p>
    <w:p>
      <w:pPr>
        <w:pStyle w:val="ListParagraph"/>
        <w:numPr>
          <w:ilvl w:val="0"/>
          <w:numId w:val="2"/>
        </w:numPr>
        <w:spacing w:after="40" w:before="40"/>
      </w:pPr>
      <w:r>
        <w:rPr>
          <w:rFonts w:ascii="Arial" w:cs="Arial" w:eastAsia="Arial" w:hAnsi="Arial"/>
          <w:color w:val="333333"/>
          <w:sz w:val="20"/>
          <w:szCs w:val="20"/>
        </w:rPr>
        <w:t xml:space="preserve">What master data exists in DCOS?</w:t>
      </w:r>
    </w:p>
    <w:p>
      <w:pPr>
        <w:pStyle w:val="ListParagraph"/>
        <w:numPr>
          <w:ilvl w:val="0"/>
          <w:numId w:val="2"/>
        </w:numPr>
        <w:spacing w:after="40" w:before="40"/>
      </w:pPr>
      <w:r>
        <w:rPr>
          <w:rFonts w:ascii="Arial" w:cs="Arial" w:eastAsia="Arial" w:hAnsi="Arial"/>
          <w:color w:val="333333"/>
          <w:sz w:val="20"/>
          <w:szCs w:val="20"/>
        </w:rPr>
        <w:t xml:space="preserve">What domain does each entity belong to?</w:t>
      </w:r>
    </w:p>
    <w:p>
      <w:pPr>
        <w:pStyle w:val="ListParagraph"/>
        <w:numPr>
          <w:ilvl w:val="0"/>
          <w:numId w:val="2"/>
        </w:numPr>
        <w:spacing w:after="40" w:before="40"/>
      </w:pPr>
      <w:r>
        <w:rPr>
          <w:rFonts w:ascii="Arial" w:cs="Arial" w:eastAsia="Arial" w:hAnsi="Arial"/>
          <w:color w:val="333333"/>
          <w:sz w:val="20"/>
          <w:szCs w:val="20"/>
        </w:rPr>
        <w:t xml:space="preserve">Who owns it?</w:t>
      </w:r>
    </w:p>
    <w:p>
      <w:pPr>
        <w:pStyle w:val="ListParagraph"/>
        <w:numPr>
          <w:ilvl w:val="0"/>
          <w:numId w:val="2"/>
        </w:numPr>
        <w:spacing w:after="40" w:before="40"/>
      </w:pPr>
      <w:r>
        <w:rPr>
          <w:rFonts w:ascii="Arial" w:cs="Arial" w:eastAsia="Arial" w:hAnsi="Arial"/>
          <w:color w:val="333333"/>
          <w:sz w:val="20"/>
          <w:szCs w:val="20"/>
        </w:rPr>
        <w:t xml:space="preserve">Is it enterprise-level or project-level?</w:t>
      </w:r>
    </w:p>
    <w:p>
      <w:pPr>
        <w:pStyle w:val="ListParagraph"/>
        <w:numPr>
          <w:ilvl w:val="0"/>
          <w:numId w:val="2"/>
        </w:numPr>
        <w:spacing w:after="40" w:before="40"/>
      </w:pPr>
      <w:r>
        <w:rPr>
          <w:rFonts w:ascii="Arial" w:cs="Arial" w:eastAsia="Arial" w:hAnsi="Arial"/>
          <w:color w:val="333333"/>
          <w:sz w:val="20"/>
          <w:szCs w:val="20"/>
        </w:rPr>
        <w:t xml:space="preserve">Which modules use it?</w:t>
      </w:r>
    </w:p>
    <w:p>
      <w:pPr>
        <w:pStyle w:val="ListParagraph"/>
        <w:numPr>
          <w:ilvl w:val="0"/>
          <w:numId w:val="2"/>
        </w:numPr>
        <w:spacing w:after="40" w:before="40"/>
      </w:pPr>
      <w:r>
        <w:rPr>
          <w:rFonts w:ascii="Arial" w:cs="Arial" w:eastAsia="Arial" w:hAnsi="Arial"/>
          <w:color w:val="333333"/>
          <w:sz w:val="20"/>
          <w:szCs w:val="20"/>
        </w:rPr>
        <w:t xml:space="preserve">What other master data does it relate to?</w:t>
      </w:r>
    </w:p>
    <w:p>
      <w:pPr>
        <w:pStyle w:val="ListParagraph"/>
        <w:numPr>
          <w:ilvl w:val="0"/>
          <w:numId w:val="2"/>
        </w:numPr>
        <w:spacing w:after="40" w:before="40"/>
      </w:pPr>
      <w:r>
        <w:rPr>
          <w:rFonts w:ascii="Arial" w:cs="Arial" w:eastAsia="Arial" w:hAnsi="Arial"/>
          <w:color w:val="333333"/>
          <w:sz w:val="20"/>
          <w:szCs w:val="20"/>
        </w:rPr>
        <w:t xml:space="preserve">Is it Master Data, Reference Data, or Transaction Data?</w:t>
      </w:r>
    </w:p>
    <w:p>
      <w:pPr>
        <w:pStyle w:val="ListParagraph"/>
        <w:numPr>
          <w:ilvl w:val="0"/>
          <w:numId w:val="2"/>
        </w:numPr>
        <w:spacing w:after="40" w:before="40"/>
      </w:pPr>
      <w:r>
        <w:rPr>
          <w:rFonts w:ascii="Arial" w:cs="Arial" w:eastAsia="Arial" w:hAnsi="Arial"/>
          <w:color w:val="333333"/>
          <w:sz w:val="20"/>
          <w:szCs w:val="20"/>
        </w:rPr>
        <w:t xml:space="preserve">Which system is the authoritative System of Record?</w:t>
      </w:r>
    </w:p>
    <w:p>
      <w:pPr>
        <w:pStyle w:val="ListParagraph"/>
        <w:numPr>
          <w:ilvl w:val="0"/>
          <w:numId w:val="2"/>
        </w:numPr>
        <w:spacing w:after="40" w:before="40"/>
      </w:pPr>
      <w:r>
        <w:rPr>
          <w:rFonts w:ascii="Arial" w:cs="Arial" w:eastAsia="Arial" w:hAnsi="Arial"/>
          <w:color w:val="333333"/>
          <w:sz w:val="20"/>
          <w:szCs w:val="20"/>
        </w:rPr>
        <w:t xml:space="preserve">How is duplication prevented?</w:t>
      </w:r>
    </w:p>
    <w:p>
      <w:pPr>
        <w:pStyle w:val="Heading1"/>
        <w:spacing w:after="200" w:before="360"/>
      </w:pPr>
      <w:r>
        <w:rPr>
          <w:rFonts w:ascii="Arial" w:cs="Arial" w:eastAsia="Arial" w:hAnsi="Arial"/>
          <w:b/>
          <w:bCs/>
          <w:color w:val="1F4E79"/>
          <w:sz w:val="28"/>
          <w:szCs w:val="28"/>
        </w:rPr>
        <w:t xml:space="preserve">3. Scope</w:t>
      </w:r>
    </w:p>
    <w:p>
      <w:pPr>
        <w:pStyle w:val="Heading2"/>
        <w:spacing w:after="140" w:before="280"/>
      </w:pPr>
      <w:r>
        <w:rPr>
          <w:rFonts w:ascii="Arial" w:cs="Arial" w:eastAsia="Arial" w:hAnsi="Arial"/>
          <w:b/>
          <w:bCs/>
          <w:color w:val="1F4E79"/>
          <w:sz w:val="24"/>
          <w:szCs w:val="24"/>
        </w:rPr>
        <w:t xml:space="preserve">3.1 In Scope</w:t>
      </w:r>
    </w:p>
    <w:p>
      <w:pPr>
        <w:spacing w:after="80" w:before="80"/>
        <w:jc w:val="left"/>
      </w:pPr>
      <w:r>
        <w:rPr>
          <w:rFonts w:ascii="Arial" w:cs="Arial" w:eastAsia="Arial" w:hAnsi="Arial"/>
          <w:b w:val="false"/>
          <w:bCs w:val="false"/>
          <w:i w:val="false"/>
          <w:iCs w:val="false"/>
          <w:color w:val="333333"/>
          <w:sz w:val="20"/>
          <w:szCs w:val="20"/>
        </w:rPr>
        <w:t xml:space="preserve">This document SHALL define:</w:t>
      </w:r>
    </w:p>
    <w:p>
      <w:pPr>
        <w:pStyle w:val="ListParagraph"/>
        <w:numPr>
          <w:ilvl w:val="0"/>
          <w:numId w:val="2"/>
        </w:numPr>
        <w:spacing w:after="40" w:before="40"/>
      </w:pPr>
      <w:r>
        <w:rPr>
          <w:rFonts w:ascii="Arial" w:cs="Arial" w:eastAsia="Arial" w:hAnsi="Arial"/>
          <w:color w:val="333333"/>
          <w:sz w:val="20"/>
          <w:szCs w:val="20"/>
        </w:rPr>
        <w:t xml:space="preserve">Master Data Domains</w:t>
      </w:r>
    </w:p>
    <w:p>
      <w:pPr>
        <w:pStyle w:val="ListParagraph"/>
        <w:numPr>
          <w:ilvl w:val="0"/>
          <w:numId w:val="2"/>
        </w:numPr>
        <w:spacing w:after="40" w:before="40"/>
      </w:pPr>
      <w:r>
        <w:rPr>
          <w:rFonts w:ascii="Arial" w:cs="Arial" w:eastAsia="Arial" w:hAnsi="Arial"/>
          <w:color w:val="333333"/>
          <w:sz w:val="20"/>
          <w:szCs w:val="20"/>
        </w:rPr>
        <w:t xml:space="preserve">Master Data Entities</w:t>
      </w:r>
    </w:p>
    <w:p>
      <w:pPr>
        <w:pStyle w:val="ListParagraph"/>
        <w:numPr>
          <w:ilvl w:val="0"/>
          <w:numId w:val="2"/>
        </w:numPr>
        <w:spacing w:after="40" w:before="40"/>
      </w:pPr>
      <w:r>
        <w:rPr>
          <w:rFonts w:ascii="Arial" w:cs="Arial" w:eastAsia="Arial" w:hAnsi="Arial"/>
          <w:color w:val="333333"/>
          <w:sz w:val="20"/>
          <w:szCs w:val="20"/>
        </w:rPr>
        <w:t xml:space="preserve">Entity Codes and Entity Names</w:t>
      </w:r>
    </w:p>
    <w:p>
      <w:pPr>
        <w:pStyle w:val="ListParagraph"/>
        <w:numPr>
          <w:ilvl w:val="0"/>
          <w:numId w:val="2"/>
        </w:numPr>
        <w:spacing w:after="40" w:before="40"/>
      </w:pPr>
      <w:r>
        <w:rPr>
          <w:rFonts w:ascii="Arial" w:cs="Arial" w:eastAsia="Arial" w:hAnsi="Arial"/>
          <w:color w:val="333333"/>
          <w:sz w:val="20"/>
          <w:szCs w:val="20"/>
        </w:rPr>
        <w:t xml:space="preserve">Business Definitions and Purpose</w:t>
      </w:r>
    </w:p>
    <w:p>
      <w:pPr>
        <w:pStyle w:val="ListParagraph"/>
        <w:numPr>
          <w:ilvl w:val="0"/>
          <w:numId w:val="2"/>
        </w:numPr>
        <w:spacing w:after="40" w:before="40"/>
      </w:pPr>
      <w:r>
        <w:rPr>
          <w:rFonts w:ascii="Arial" w:cs="Arial" w:eastAsia="Arial" w:hAnsi="Arial"/>
          <w:color w:val="333333"/>
          <w:sz w:val="20"/>
          <w:szCs w:val="20"/>
        </w:rPr>
        <w:t xml:space="preserve">Business Owner / Responsible Function</w:t>
      </w:r>
    </w:p>
    <w:p>
      <w:pPr>
        <w:pStyle w:val="ListParagraph"/>
        <w:numPr>
          <w:ilvl w:val="0"/>
          <w:numId w:val="2"/>
        </w:numPr>
        <w:spacing w:after="40" w:before="40"/>
      </w:pPr>
      <w:r>
        <w:rPr>
          <w:rFonts w:ascii="Arial" w:cs="Arial" w:eastAsia="Arial" w:hAnsi="Arial"/>
          <w:color w:val="333333"/>
          <w:sz w:val="20"/>
          <w:szCs w:val="20"/>
        </w:rPr>
        <w:t xml:space="preserve">Primary DCOS Modules that consume each entity</w:t>
      </w:r>
    </w:p>
    <w:p>
      <w:pPr>
        <w:pStyle w:val="ListParagraph"/>
        <w:numPr>
          <w:ilvl w:val="0"/>
          <w:numId w:val="2"/>
        </w:numPr>
        <w:spacing w:after="40" w:before="40"/>
      </w:pPr>
      <w:r>
        <w:rPr>
          <w:rFonts w:ascii="Arial" w:cs="Arial" w:eastAsia="Arial" w:hAnsi="Arial"/>
          <w:color w:val="333333"/>
          <w:sz w:val="20"/>
          <w:szCs w:val="20"/>
        </w:rPr>
        <w:t xml:space="preserve">High-level relationships between entities</w:t>
      </w:r>
    </w:p>
    <w:p>
      <w:pPr>
        <w:pStyle w:val="ListParagraph"/>
        <w:numPr>
          <w:ilvl w:val="0"/>
          <w:numId w:val="2"/>
        </w:numPr>
        <w:spacing w:after="40" w:before="40"/>
      </w:pPr>
      <w:r>
        <w:rPr>
          <w:rFonts w:ascii="Arial" w:cs="Arial" w:eastAsia="Arial" w:hAnsi="Arial"/>
          <w:color w:val="333333"/>
          <w:sz w:val="20"/>
          <w:szCs w:val="20"/>
        </w:rPr>
        <w:t xml:space="preserve">Classification as Enterprise / Project / Hybrid master data</w:t>
      </w:r>
    </w:p>
    <w:p>
      <w:pPr>
        <w:pStyle w:val="ListParagraph"/>
        <w:numPr>
          <w:ilvl w:val="0"/>
          <w:numId w:val="2"/>
        </w:numPr>
        <w:spacing w:after="40" w:before="40"/>
      </w:pPr>
      <w:r>
        <w:rPr>
          <w:rFonts w:ascii="Arial" w:cs="Arial" w:eastAsia="Arial" w:hAnsi="Arial"/>
          <w:color w:val="333333"/>
          <w:sz w:val="20"/>
          <w:szCs w:val="20"/>
        </w:rPr>
        <w:t xml:space="preserve">Classification as Master / Reference / Configuration</w:t>
      </w:r>
    </w:p>
    <w:p>
      <w:pPr>
        <w:pStyle w:val="ListParagraph"/>
        <w:numPr>
          <w:ilvl w:val="0"/>
          <w:numId w:val="2"/>
        </w:numPr>
        <w:spacing w:after="40" w:before="40"/>
      </w:pPr>
      <w:r>
        <w:rPr>
          <w:rFonts w:ascii="Arial" w:cs="Arial" w:eastAsia="Arial" w:hAnsi="Arial"/>
          <w:color w:val="333333"/>
          <w:sz w:val="20"/>
          <w:szCs w:val="20"/>
        </w:rPr>
        <w:t xml:space="preserve">Whether the entity is mandatory or optional at enterprise level</w:t>
      </w:r>
    </w:p>
    <w:p>
      <w:pPr>
        <w:pStyle w:val="ListParagraph"/>
        <w:numPr>
          <w:ilvl w:val="0"/>
          <w:numId w:val="2"/>
        </w:numPr>
        <w:spacing w:after="40" w:before="40"/>
      </w:pPr>
      <w:r>
        <w:rPr>
          <w:rFonts w:ascii="Arial" w:cs="Arial" w:eastAsia="Arial" w:hAnsi="Arial"/>
          <w:color w:val="333333"/>
          <w:sz w:val="20"/>
          <w:szCs w:val="20"/>
        </w:rPr>
        <w:t xml:space="preserve">High-level notes and architectural guidance</w:t>
      </w:r>
    </w:p>
    <w:p>
      <w:pPr>
        <w:pStyle w:val="Heading2"/>
        <w:spacing w:after="140" w:before="280"/>
      </w:pPr>
      <w:r>
        <w:rPr>
          <w:rFonts w:ascii="Arial" w:cs="Arial" w:eastAsia="Arial" w:hAnsi="Arial"/>
          <w:b/>
          <w:bCs/>
          <w:color w:val="1F4E79"/>
          <w:sz w:val="24"/>
          <w:szCs w:val="24"/>
        </w:rPr>
        <w:t xml:space="preserve">3.2 Out of Scope</w:t>
      </w:r>
    </w:p>
    <w:p>
      <w:pPr>
        <w:spacing w:after="80" w:before="80"/>
        <w:jc w:val="left"/>
      </w:pPr>
      <w:r>
        <w:rPr>
          <w:rFonts w:ascii="Arial" w:cs="Arial" w:eastAsia="Arial" w:hAnsi="Arial"/>
          <w:b w:val="false"/>
          <w:bCs w:val="false"/>
          <w:i w:val="false"/>
          <w:iCs w:val="false"/>
          <w:color w:val="333333"/>
          <w:sz w:val="20"/>
          <w:szCs w:val="20"/>
        </w:rPr>
        <w:t xml:space="preserve">This document is a Master Data Catalogue, not a Data Dictionary. It SHALL NOT fully define:</w:t>
      </w:r>
    </w:p>
    <w:p>
      <w:pPr>
        <w:pStyle w:val="ListParagraph"/>
        <w:numPr>
          <w:ilvl w:val="0"/>
          <w:numId w:val="2"/>
        </w:numPr>
        <w:spacing w:after="40" w:before="40"/>
      </w:pPr>
      <w:r>
        <w:rPr>
          <w:rFonts w:ascii="Arial" w:cs="Arial" w:eastAsia="Arial" w:hAnsi="Arial"/>
          <w:color w:val="333333"/>
          <w:sz w:val="20"/>
          <w:szCs w:val="20"/>
        </w:rPr>
        <w:t xml:space="preserve">Every database column or SQL table structure</w:t>
      </w:r>
    </w:p>
    <w:p>
      <w:pPr>
        <w:pStyle w:val="ListParagraph"/>
        <w:numPr>
          <w:ilvl w:val="0"/>
          <w:numId w:val="2"/>
        </w:numPr>
        <w:spacing w:after="40" w:before="40"/>
      </w:pPr>
      <w:r>
        <w:rPr>
          <w:rFonts w:ascii="Arial" w:cs="Arial" w:eastAsia="Arial" w:hAnsi="Arial"/>
          <w:color w:val="333333"/>
          <w:sz w:val="20"/>
          <w:szCs w:val="20"/>
        </w:rPr>
        <w:t xml:space="preserve">Detailed data types or field-level validation rules</w:t>
      </w:r>
    </w:p>
    <w:p>
      <w:pPr>
        <w:pStyle w:val="ListParagraph"/>
        <w:numPr>
          <w:ilvl w:val="0"/>
          <w:numId w:val="2"/>
        </w:numPr>
        <w:spacing w:after="40" w:before="40"/>
      </w:pPr>
      <w:r>
        <w:rPr>
          <w:rFonts w:ascii="Arial" w:cs="Arial" w:eastAsia="Arial" w:hAnsi="Arial"/>
          <w:color w:val="333333"/>
          <w:sz w:val="20"/>
          <w:szCs w:val="20"/>
        </w:rPr>
        <w:t xml:space="preserve">API endpoints or UI screen designs</w:t>
      </w:r>
    </w:p>
    <w:p>
      <w:pPr>
        <w:pStyle w:val="ListParagraph"/>
        <w:numPr>
          <w:ilvl w:val="0"/>
          <w:numId w:val="2"/>
        </w:numPr>
        <w:spacing w:after="40" w:before="40"/>
      </w:pPr>
      <w:r>
        <w:rPr>
          <w:rFonts w:ascii="Arial" w:cs="Arial" w:eastAsia="Arial" w:hAnsi="Arial"/>
          <w:color w:val="333333"/>
          <w:sz w:val="20"/>
          <w:szCs w:val="20"/>
        </w:rPr>
        <w:t xml:space="preserve">Detailed approval workflows</w:t>
      </w:r>
    </w:p>
    <w:p>
      <w:pPr>
        <w:pStyle w:val="ListParagraph"/>
        <w:numPr>
          <w:ilvl w:val="0"/>
          <w:numId w:val="2"/>
        </w:numPr>
        <w:spacing w:after="40" w:before="40"/>
      </w:pPr>
      <w:r>
        <w:rPr>
          <w:rFonts w:ascii="Arial" w:cs="Arial" w:eastAsia="Arial" w:hAnsi="Arial"/>
          <w:color w:val="333333"/>
          <w:sz w:val="20"/>
          <w:szCs w:val="20"/>
        </w:rPr>
        <w:t xml:space="preserve">Individual material codes, supplier records, or employee records</w:t>
      </w:r>
    </w:p>
    <w:p>
      <w:pPr>
        <w:pStyle w:val="ListParagraph"/>
        <w:numPr>
          <w:ilvl w:val="0"/>
          <w:numId w:val="2"/>
        </w:numPr>
        <w:spacing w:after="40" w:before="40"/>
      </w:pPr>
      <w:r>
        <w:rPr>
          <w:rFonts w:ascii="Arial" w:cs="Arial" w:eastAsia="Arial" w:hAnsi="Arial"/>
          <w:color w:val="333333"/>
          <w:sz w:val="20"/>
          <w:szCs w:val="20"/>
        </w:rPr>
        <w:t xml:space="preserve">Detailed pricing or detailed WBS coding structures</w:t>
      </w:r>
    </w:p>
    <w:p>
      <w:pPr>
        <w:spacing w:after="80" w:before="80"/>
        <w:jc w:val="left"/>
      </w:pPr>
      <w:r>
        <w:rPr>
          <w:rFonts w:ascii="Arial" w:cs="Arial" w:eastAsia="Arial" w:hAnsi="Arial"/>
          <w:b w:val="false"/>
          <w:bCs w:val="false"/>
          <w:i w:val="false"/>
          <w:iCs w:val="false"/>
          <w:color w:val="333333"/>
          <w:sz w:val="20"/>
          <w:szCs w:val="20"/>
        </w:rPr>
        <w:t xml:space="preserve">Those items are governed by other DCOS standards and specifications, including the future DCOS-MDM-DIC-001 — Master Data Dictionary.</w:t>
      </w:r>
    </w:p>
    <w:p>
      <w:pPr>
        <w:pStyle w:val="Heading1"/>
        <w:spacing w:after="200" w:before="360"/>
      </w:pPr>
      <w:r>
        <w:rPr>
          <w:rFonts w:ascii="Arial" w:cs="Arial" w:eastAsia="Arial" w:hAnsi="Arial"/>
          <w:b/>
          <w:bCs/>
          <w:color w:val="1F4E79"/>
          <w:sz w:val="28"/>
          <w:szCs w:val="28"/>
        </w:rPr>
        <w:t xml:space="preserve">4. Relationship to DCOS-MDM-STD-001</w:t>
      </w:r>
    </w:p>
    <w:p>
      <w:pPr>
        <w:spacing w:after="80" w:before="80"/>
        <w:jc w:val="left"/>
      </w:pPr>
      <w:r>
        <w:rPr>
          <w:rFonts w:ascii="Arial" w:cs="Arial" w:eastAsia="Arial" w:hAnsi="Arial"/>
          <w:b w:val="false"/>
          <w:bCs w:val="false"/>
          <w:i w:val="false"/>
          <w:iCs w:val="false"/>
          <w:color w:val="333333"/>
          <w:sz w:val="20"/>
          <w:szCs w:val="20"/>
        </w:rPr>
        <w:t xml:space="preserve">This catalogue is subordinate to DCOS-MDM-STD-001 — DCOS Enterprise Master Data Standard. The Standard defines the principles, policies, and governance framework for master data. This Catalogue enumerates the concrete domains and entities that the Standard governs.</w:t>
      </w:r>
    </w:p>
    <w:p>
      <w:pPr>
        <w:spacing w:after="80" w:before="80"/>
        <w:jc w:val="left"/>
      </w:pPr>
      <w:r>
        <w:rPr>
          <w:rFonts w:ascii="Arial" w:cs="Arial" w:eastAsia="Arial" w:hAnsi="Arial"/>
          <w:b w:val="false"/>
          <w:bCs w:val="false"/>
          <w:i w:val="false"/>
          <w:iCs w:val="false"/>
          <w:color w:val="333333"/>
          <w:sz w:val="20"/>
          <w:szCs w:val="20"/>
        </w:rPr>
        <w:t xml:space="preserve">Where conflict arises between this Catalogue and the Standard, the Standard SHALL take precedence until the Catalogue is formally updated under governance.</w:t>
      </w:r>
    </w:p>
    <w:p>
      <w:pPr>
        <w:pStyle w:val="Heading1"/>
        <w:spacing w:after="200" w:before="360"/>
      </w:pPr>
      <w:r>
        <w:rPr>
          <w:rFonts w:ascii="Arial" w:cs="Arial" w:eastAsia="Arial" w:hAnsi="Arial"/>
          <w:b/>
          <w:bCs/>
          <w:color w:val="1F4E79"/>
          <w:sz w:val="28"/>
          <w:szCs w:val="28"/>
        </w:rPr>
        <w:t xml:space="preserve">5. Master Data Classification</w:t>
      </w:r>
    </w:p>
    <w:p>
      <w:pPr>
        <w:spacing w:after="80" w:before="80"/>
        <w:jc w:val="left"/>
      </w:pPr>
      <w:r>
        <w:rPr>
          <w:rFonts w:ascii="Arial" w:cs="Arial" w:eastAsia="Arial" w:hAnsi="Arial"/>
          <w:b w:val="false"/>
          <w:bCs w:val="false"/>
          <w:i w:val="false"/>
          <w:iCs w:val="false"/>
          <w:color w:val="333333"/>
          <w:sz w:val="20"/>
          <w:szCs w:val="20"/>
        </w:rPr>
        <w:t xml:space="preserve">DCOS classifies master data into the following categories. Classification drives ownership, lifecycle, and reuse rules.</w:t>
      </w:r>
    </w:p>
    <w:p>
      <w:pPr>
        <w:pStyle w:val="Heading2"/>
        <w:spacing w:after="140" w:before="280"/>
      </w:pPr>
      <w:r>
        <w:rPr>
          <w:rFonts w:ascii="Arial" w:cs="Arial" w:eastAsia="Arial" w:hAnsi="Arial"/>
          <w:b/>
          <w:bCs/>
          <w:color w:val="1F4E79"/>
          <w:sz w:val="24"/>
          <w:szCs w:val="24"/>
        </w:rPr>
        <w:t xml:space="preserve">5.1 Enterprise Master Data</w:t>
      </w:r>
    </w:p>
    <w:p>
      <w:pPr>
        <w:spacing w:after="80" w:before="80"/>
        <w:jc w:val="left"/>
      </w:pPr>
      <w:r>
        <w:rPr>
          <w:rFonts w:ascii="Arial" w:cs="Arial" w:eastAsia="Arial" w:hAnsi="Arial"/>
          <w:b w:val="false"/>
          <w:bCs w:val="false"/>
          <w:i w:val="false"/>
          <w:iCs w:val="false"/>
          <w:color w:val="333333"/>
          <w:sz w:val="20"/>
          <w:szCs w:val="20"/>
        </w:rPr>
        <w:t xml:space="preserve">Data shared across the organization and reusable by multiple projects and modules. Examples: Company, Business Unit, Department, Employee, Supplier (Business Partner), Material, Equipment, Currency, Unit of Measure.</w:t>
      </w:r>
    </w:p>
    <w:p>
      <w:pPr>
        <w:pStyle w:val="Heading2"/>
        <w:spacing w:after="140" w:before="280"/>
      </w:pPr>
      <w:r>
        <w:rPr>
          <w:rFonts w:ascii="Arial" w:cs="Arial" w:eastAsia="Arial" w:hAnsi="Arial"/>
          <w:b/>
          <w:bCs/>
          <w:color w:val="1F4E79"/>
          <w:sz w:val="24"/>
          <w:szCs w:val="24"/>
        </w:rPr>
        <w:t xml:space="preserve">5.2 Project Master Data</w:t>
      </w:r>
    </w:p>
    <w:p>
      <w:pPr>
        <w:spacing w:after="80" w:before="80"/>
        <w:jc w:val="left"/>
      </w:pPr>
      <w:r>
        <w:rPr>
          <w:rFonts w:ascii="Arial" w:cs="Arial" w:eastAsia="Arial" w:hAnsi="Arial"/>
          <w:b w:val="false"/>
          <w:bCs w:val="false"/>
          <w:i w:val="false"/>
          <w:iCs w:val="false"/>
          <w:color w:val="333333"/>
          <w:sz w:val="20"/>
          <w:szCs w:val="20"/>
        </w:rPr>
        <w:t xml:space="preserve">Data created or controlled primarily at project level. Examples: Project, Project Phase, WBS, Building, Level, Zone, Project Cost Code, Project-specific BOQ structure.</w:t>
      </w:r>
    </w:p>
    <w:p>
      <w:pPr>
        <w:pStyle w:val="Heading2"/>
        <w:spacing w:after="140" w:before="280"/>
      </w:pPr>
      <w:r>
        <w:rPr>
          <w:rFonts w:ascii="Arial" w:cs="Arial" w:eastAsia="Arial" w:hAnsi="Arial"/>
          <w:b/>
          <w:bCs/>
          <w:color w:val="1F4E79"/>
          <w:sz w:val="24"/>
          <w:szCs w:val="24"/>
        </w:rPr>
        <w:t xml:space="preserve">5.3 Resource Master Data</w:t>
      </w:r>
    </w:p>
    <w:p>
      <w:pPr>
        <w:spacing w:after="80" w:before="80"/>
        <w:jc w:val="left"/>
      </w:pPr>
      <w:r>
        <w:rPr>
          <w:rFonts w:ascii="Arial" w:cs="Arial" w:eastAsia="Arial" w:hAnsi="Arial"/>
          <w:b w:val="false"/>
          <w:bCs w:val="false"/>
          <w:i w:val="false"/>
          <w:iCs w:val="false"/>
          <w:color w:val="333333"/>
          <w:sz w:val="20"/>
          <w:szCs w:val="20"/>
        </w:rPr>
        <w:t xml:space="preserve">Resources used to execute projects. Examples: Material, Labor (via Employee/Skill), Equipment, Plant, Tools, Resource Group. Resource masters are typically enterprise-scoped and allocated to projects.</w:t>
      </w:r>
    </w:p>
    <w:p>
      <w:pPr>
        <w:pStyle w:val="Heading2"/>
        <w:spacing w:after="140" w:before="280"/>
      </w:pPr>
      <w:r>
        <w:rPr>
          <w:rFonts w:ascii="Arial" w:cs="Arial" w:eastAsia="Arial" w:hAnsi="Arial"/>
          <w:b/>
          <w:bCs/>
          <w:color w:val="1F4E79"/>
          <w:sz w:val="24"/>
          <w:szCs w:val="24"/>
        </w:rPr>
        <w:t xml:space="preserve">5.4 Commercial / Cost Master Data</w:t>
      </w:r>
    </w:p>
    <w:p>
      <w:pPr>
        <w:spacing w:after="80" w:before="80"/>
        <w:jc w:val="left"/>
      </w:pPr>
      <w:r>
        <w:rPr>
          <w:rFonts w:ascii="Arial" w:cs="Arial" w:eastAsia="Arial" w:hAnsi="Arial"/>
          <w:b w:val="false"/>
          <w:bCs w:val="false"/>
          <w:i w:val="false"/>
          <w:iCs w:val="false"/>
          <w:color w:val="333333"/>
          <w:sz w:val="20"/>
          <w:szCs w:val="20"/>
        </w:rPr>
        <w:t xml:space="preserve">Data used to control commercial and project cost structures. Examples: Cost Code, Cost Category, Work Category, Contract Type, Revenue Category. Some are enterprise reference; project cost structures may be project-scoped.</w:t>
      </w:r>
    </w:p>
    <w:p>
      <w:pPr>
        <w:pStyle w:val="Heading2"/>
        <w:spacing w:after="140" w:before="280"/>
      </w:pPr>
      <w:r>
        <w:rPr>
          <w:rFonts w:ascii="Arial" w:cs="Arial" w:eastAsia="Arial" w:hAnsi="Arial"/>
          <w:b/>
          <w:bCs/>
          <w:color w:val="1F4E79"/>
          <w:sz w:val="24"/>
          <w:szCs w:val="24"/>
        </w:rPr>
        <w:t xml:space="preserve">5.5 Organizational Master Data</w:t>
      </w:r>
    </w:p>
    <w:p>
      <w:pPr>
        <w:spacing w:after="80" w:before="80"/>
        <w:jc w:val="left"/>
      </w:pPr>
      <w:r>
        <w:rPr>
          <w:rFonts w:ascii="Arial" w:cs="Arial" w:eastAsia="Arial" w:hAnsi="Arial"/>
          <w:b w:val="false"/>
          <w:bCs w:val="false"/>
          <w:i w:val="false"/>
          <w:iCs w:val="false"/>
          <w:color w:val="333333"/>
          <w:sz w:val="20"/>
          <w:szCs w:val="20"/>
        </w:rPr>
        <w:t xml:space="preserve">Structural elements of the enterprise. Examples: Company, Branch, Business Unit, Department, Team, Position, Role.</w:t>
      </w:r>
    </w:p>
    <w:p>
      <w:pPr>
        <w:pStyle w:val="Heading2"/>
        <w:spacing w:after="140" w:before="280"/>
      </w:pPr>
      <w:r>
        <w:rPr>
          <w:rFonts w:ascii="Arial" w:cs="Arial" w:eastAsia="Arial" w:hAnsi="Arial"/>
          <w:b/>
          <w:bCs/>
          <w:color w:val="1F4E79"/>
          <w:sz w:val="24"/>
          <w:szCs w:val="24"/>
        </w:rPr>
        <w:t xml:space="preserve">5.6 Reference / Classification Data</w:t>
      </w:r>
    </w:p>
    <w:p>
      <w:pPr>
        <w:spacing w:after="80" w:before="80"/>
        <w:jc w:val="left"/>
      </w:pPr>
      <w:r>
        <w:rPr>
          <w:rFonts w:ascii="Arial" w:cs="Arial" w:eastAsia="Arial" w:hAnsi="Arial"/>
          <w:b w:val="false"/>
          <w:bCs w:val="false"/>
          <w:i w:val="false"/>
          <w:iCs w:val="false"/>
          <w:color w:val="333333"/>
          <w:sz w:val="20"/>
          <w:szCs w:val="20"/>
        </w:rPr>
        <w:t xml:space="preserve">Controlled lists and classification values that support master and transaction data. Examples: Country, Province, Currency, Unit of Measure, Trade, Discipline, Project Type, Building Type, Material Category.</w:t>
      </w:r>
    </w:p>
    <w:p>
      <w:pPr>
        <w:spacing w:after="80" w:before="80"/>
        <w:jc w:val="left"/>
      </w:pPr>
      <w:r>
        <w:rPr>
          <w:rFonts w:ascii="Arial" w:cs="Arial" w:eastAsia="Arial" w:hAnsi="Arial"/>
          <w:b w:val="false"/>
          <w:bCs w:val="false"/>
          <w:i w:val="false"/>
          <w:iCs w:val="false"/>
          <w:color w:val="333333"/>
          <w:sz w:val="20"/>
          <w:szCs w:val="20"/>
        </w:rPr>
        <w:t xml:space="preserve">Reference data is distinguished from core master data: it is typically smaller, more stable, and used for classification rather than as the primary business object. Not every dropdown list is master data; only those that require centralized governance and consistency across modules.</w:t>
      </w:r>
    </w:p>
    <w:p>
      <w:pPr>
        <w:pStyle w:val="Heading1"/>
        <w:spacing w:after="200" w:before="360"/>
      </w:pPr>
      <w:r>
        <w:rPr>
          <w:rFonts w:ascii="Arial" w:cs="Arial" w:eastAsia="Arial" w:hAnsi="Arial"/>
          <w:b/>
          <w:bCs/>
          <w:color w:val="1F4E79"/>
          <w:sz w:val="28"/>
          <w:szCs w:val="28"/>
        </w:rPr>
        <w:t xml:space="preserve">6. DCOS Master Data Architecture</w:t>
      </w:r>
    </w:p>
    <w:p>
      <w:pPr>
        <w:pStyle w:val="Heading2"/>
        <w:spacing w:after="140" w:before="280"/>
      </w:pPr>
      <w:r>
        <w:rPr>
          <w:rFonts w:ascii="Arial" w:cs="Arial" w:eastAsia="Arial" w:hAnsi="Arial"/>
          <w:b/>
          <w:bCs/>
          <w:color w:val="1F4E79"/>
          <w:sz w:val="24"/>
          <w:szCs w:val="24"/>
        </w:rPr>
        <w:t xml:space="preserve">6.1 Core Principle</w:t>
      </w:r>
    </w:p>
    <w:p>
      <w:pPr>
        <w:spacing w:after="100" w:before="100"/>
        <w:jc w:val="center"/>
      </w:pPr>
      <w:r>
        <w:rPr>
          <w:rFonts w:ascii="Arial" w:cs="Arial" w:eastAsia="Arial" w:hAnsi="Arial"/>
          <w:b/>
          <w:bCs/>
          <w:i/>
          <w:iCs/>
          <w:color w:val="1F4E79"/>
          <w:sz w:val="20"/>
          <w:szCs w:val="20"/>
        </w:rPr>
        <w:t xml:space="preserve">One business entity = One controlled master-data definition = One authoritative source.</w:t>
      </w:r>
    </w:p>
    <w:p>
      <w:pPr>
        <w:spacing w:after="80" w:before="80"/>
        <w:jc w:val="left"/>
      </w:pPr>
      <w:r>
        <w:rPr>
          <w:rFonts w:ascii="Arial" w:cs="Arial" w:eastAsia="Arial" w:hAnsi="Arial"/>
          <w:b w:val="false"/>
          <w:bCs w:val="false"/>
          <w:i w:val="false"/>
          <w:iCs w:val="false"/>
          <w:color w:val="333333"/>
          <w:sz w:val="20"/>
          <w:szCs w:val="20"/>
        </w:rPr>
        <w:t xml:space="preserve">A Supplier SHALL NOT be independently created in Procurement, QS, Warehouse, Finance, and Subcontractor Management. DCOS SHALL maintain one authoritative Business Partner / Party Master (or specialized Supplier Master), reused by those modules.</w:t>
      </w:r>
    </w:p>
    <w:p>
      <w:pPr>
        <w:spacing w:after="80" w:before="80"/>
        <w:jc w:val="left"/>
      </w:pPr>
      <w:r>
        <w:rPr>
          <w:rFonts w:ascii="Arial" w:cs="Arial" w:eastAsia="Arial" w:hAnsi="Arial"/>
          <w:b w:val="false"/>
          <w:bCs w:val="false"/>
          <w:i w:val="false"/>
          <w:iCs w:val="false"/>
          <w:color w:val="333333"/>
          <w:sz w:val="20"/>
          <w:szCs w:val="20"/>
        </w:rPr>
        <w:t xml:space="preserve">Likewise: One Project Master, One WBS Master, One Material Master, One Employee Master, One Equipment Master, One Customer / Client representation under Party.</w:t>
      </w:r>
    </w:p>
    <w:p>
      <w:pPr>
        <w:pStyle w:val="Heading2"/>
        <w:spacing w:after="140" w:before="280"/>
      </w:pPr>
      <w:r>
        <w:rPr>
          <w:rFonts w:ascii="Arial" w:cs="Arial" w:eastAsia="Arial" w:hAnsi="Arial"/>
          <w:b/>
          <w:bCs/>
          <w:color w:val="1F4E79"/>
          <w:sz w:val="24"/>
          <w:szCs w:val="24"/>
        </w:rPr>
        <w:t xml:space="preserve">6.2 Architectural Recommendation — Party Model</w:t>
      </w:r>
    </w:p>
    <w:p>
      <w:pPr>
        <w:spacing w:after="80" w:before="80"/>
        <w:jc w:val="left"/>
      </w:pPr>
      <w:r>
        <w:rPr>
          <w:rFonts w:ascii="Arial" w:cs="Arial" w:eastAsia="Arial" w:hAnsi="Arial"/>
          <w:b w:val="false"/>
          <w:bCs w:val="false"/>
          <w:i w:val="false"/>
          <w:iCs w:val="false"/>
          <w:color w:val="333333"/>
          <w:sz w:val="20"/>
          <w:szCs w:val="20"/>
        </w:rPr>
        <w:t xml:space="preserve">DCOS SHOULD adopt a common Business Partner / Party Master for external and internal parties, with roles that distinguish:</w:t>
      </w:r>
    </w:p>
    <w:p>
      <w:pPr>
        <w:pStyle w:val="ListParagraph"/>
        <w:numPr>
          <w:ilvl w:val="0"/>
          <w:numId w:val="2"/>
        </w:numPr>
        <w:spacing w:after="40" w:before="40"/>
      </w:pPr>
      <w:r>
        <w:rPr>
          <w:rFonts w:ascii="Arial" w:cs="Arial" w:eastAsia="Arial" w:hAnsi="Arial"/>
          <w:color w:val="333333"/>
          <w:sz w:val="20"/>
          <w:szCs w:val="20"/>
        </w:rPr>
        <w:t xml:space="preserve">Supplier</w:t>
      </w:r>
    </w:p>
    <w:p>
      <w:pPr>
        <w:pStyle w:val="ListParagraph"/>
        <w:numPr>
          <w:ilvl w:val="0"/>
          <w:numId w:val="2"/>
        </w:numPr>
        <w:spacing w:after="40" w:before="40"/>
      </w:pPr>
      <w:r>
        <w:rPr>
          <w:rFonts w:ascii="Arial" w:cs="Arial" w:eastAsia="Arial" w:hAnsi="Arial"/>
          <w:color w:val="333333"/>
          <w:sz w:val="20"/>
          <w:szCs w:val="20"/>
        </w:rPr>
        <w:t xml:space="preserve">Subcontractor / Trade Contractor</w:t>
      </w:r>
    </w:p>
    <w:p>
      <w:pPr>
        <w:pStyle w:val="ListParagraph"/>
        <w:numPr>
          <w:ilvl w:val="0"/>
          <w:numId w:val="2"/>
        </w:numPr>
        <w:spacing w:after="40" w:before="40"/>
      </w:pPr>
      <w:r>
        <w:rPr>
          <w:rFonts w:ascii="Arial" w:cs="Arial" w:eastAsia="Arial" w:hAnsi="Arial"/>
          <w:color w:val="333333"/>
          <w:sz w:val="20"/>
          <w:szCs w:val="20"/>
        </w:rPr>
        <w:t xml:space="preserve">Customer / Client / Owner / Developer</w:t>
      </w:r>
    </w:p>
    <w:p>
      <w:pPr>
        <w:pStyle w:val="ListParagraph"/>
        <w:numPr>
          <w:ilvl w:val="0"/>
          <w:numId w:val="2"/>
        </w:numPr>
        <w:spacing w:after="40" w:before="40"/>
      </w:pPr>
      <w:r>
        <w:rPr>
          <w:rFonts w:ascii="Arial" w:cs="Arial" w:eastAsia="Arial" w:hAnsi="Arial"/>
          <w:color w:val="333333"/>
          <w:sz w:val="20"/>
          <w:szCs w:val="20"/>
        </w:rPr>
        <w:t xml:space="preserve">Consultant</w:t>
      </w:r>
    </w:p>
    <w:p>
      <w:pPr>
        <w:pStyle w:val="ListParagraph"/>
        <w:numPr>
          <w:ilvl w:val="0"/>
          <w:numId w:val="2"/>
        </w:numPr>
        <w:spacing w:after="40" w:before="40"/>
      </w:pPr>
      <w:r>
        <w:rPr>
          <w:rFonts w:ascii="Arial" w:cs="Arial" w:eastAsia="Arial" w:hAnsi="Arial"/>
          <w:color w:val="333333"/>
          <w:sz w:val="20"/>
          <w:szCs w:val="20"/>
        </w:rPr>
        <w:t xml:space="preserve">Other related parties</w:t>
      </w:r>
    </w:p>
    <w:p>
      <w:pPr>
        <w:spacing w:after="80" w:before="80"/>
        <w:jc w:val="left"/>
      </w:pPr>
      <w:r>
        <w:rPr>
          <w:rFonts w:ascii="Arial" w:cs="Arial" w:eastAsia="Arial" w:hAnsi="Arial"/>
          <w:b w:val="false"/>
          <w:bCs w:val="false"/>
          <w:i w:val="false"/>
          <w:iCs w:val="false"/>
          <w:color w:val="333333"/>
          <w:sz w:val="20"/>
          <w:szCs w:val="20"/>
        </w:rPr>
        <w:t xml:space="preserve">This avoids parallel Supplier, Subcontractor, and Customer masters that inevitably diverge. Where operational separation is required, specialized views or role-based records MAY be maintained on top of the single Party Master. Employee / Worker remains a separate Person / Employee Master under HR ownership.</w:t>
      </w:r>
    </w:p>
    <w:p>
      <w:pPr>
        <w:pStyle w:val="Heading2"/>
        <w:spacing w:after="140" w:before="280"/>
      </w:pPr>
      <w:r>
        <w:rPr>
          <w:rFonts w:ascii="Arial" w:cs="Arial" w:eastAsia="Arial" w:hAnsi="Arial"/>
          <w:b/>
          <w:bCs/>
          <w:color w:val="1F4E79"/>
          <w:sz w:val="24"/>
          <w:szCs w:val="24"/>
        </w:rPr>
        <w:t xml:space="preserve">6.3 Identification and Coding</w:t>
      </w:r>
    </w:p>
    <w:p>
      <w:pPr>
        <w:spacing w:after="80" w:before="80"/>
        <w:jc w:val="left"/>
      </w:pPr>
      <w:r>
        <w:rPr>
          <w:rFonts w:ascii="Arial" w:cs="Arial" w:eastAsia="Arial" w:hAnsi="Arial"/>
          <w:b w:val="false"/>
          <w:bCs w:val="false"/>
          <w:i w:val="false"/>
          <w:iCs w:val="false"/>
          <w:color w:val="333333"/>
          <w:sz w:val="20"/>
          <w:szCs w:val="20"/>
        </w:rPr>
        <w:t xml:space="preserve">Catalogue-level domain and entity codes use the following scheme: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600"/>
      </w:tblGrid>
      <w:tr>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Code</w:t>
            </w:r>
          </w:p>
        </w:tc>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Domain</w:t>
            </w:r>
          </w:p>
        </w:tc>
        <w:tc>
          <w:tcPr>
            <w:tcW w:type="dxa" w:w="5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Typical Entities</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ORG</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Organization</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Company, Business Unit, Department, Position, Role</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PRJ</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 Project Type, Phase, Status</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WBS</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WBS / Structure</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WBS, Building, Level, Zone, Room, Work Package</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LOC</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Location</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Country, Site, Warehouse, Storage Location</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BP</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Business Partner</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Party, Party Role, Contact, Classification</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MAT</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Material</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Material, Category, Type, UOM</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EMP</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Employee</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Employee, Skill, Trade, Certification</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EQP</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Equipment</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Equipment, Category, Type, Model</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CST</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Cost</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Cost Code, Cost Category, Work Category</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BOQ</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BOQ / QS</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BOQ, BOQ Item</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PROC</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Procurement</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Procurement Category, Method, Terms</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DOC</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Document</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Document Type, Category, Status, Confidentiality</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DES</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Design</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Discipline, Design Package</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BIM</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BIM</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Element Classification, LOI</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QA</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QA/QC</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Inspection Type, Test Type, Defect Category</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HSE</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HSE</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Hazard, Risk, Incident, PPE, Permit Type</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FIN</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Finance</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Account, Cost Centre, Currency, Tax Type</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CON</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Contract</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Contract, Contract Type, Retention, Claim Category</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HO</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Handover / DLP</w:t>
            </w:r>
          </w:p>
        </w:tc>
        <w:tc>
          <w:tcPr>
            <w:tcW w:type="dxa" w:w="5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Handover Package, Asset, Warranty, DLP Category</w:t>
            </w:r>
          </w:p>
        </w:tc>
      </w:tr>
      <w:tr>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REF</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Reference</w:t>
            </w:r>
          </w:p>
        </w:tc>
        <w:tc>
          <w:tcPr>
            <w:tcW w:type="dxa" w:w="5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Shared cross-cutting reference data</w:t>
            </w:r>
          </w:p>
        </w:tc>
      </w:tr>
    </w:tbl>
    <w:p>
      <w:pPr>
        <w:spacing w:after="80" w:before="80"/>
        <w:jc w:val="left"/>
      </w:pPr>
      <w:r>
        <w:rPr>
          <w:rFonts w:ascii="Arial" w:cs="Arial" w:eastAsia="Arial" w:hAnsi="Arial"/>
          <w:b w:val="false"/>
          <w:bCs w:val="false"/>
          <w:i w:val="false"/>
          <w:iCs w:val="false"/>
          <w:color w:val="333333"/>
          <w:sz w:val="20"/>
          <w:szCs w:val="20"/>
        </w:rPr>
        <w:t xml:space="preserve">Entity identifiers follow the pattern MDM-&lt;DOMAIN&gt; or MDM-&lt;DOMAIN&gt;-&lt;ENTITY&gt; (e.g., MDM-ORG, MDM-PRJ, MDM-MAT, MDM-BP). Individual business record codes (material codes, supplier codes) are defined in the Data Dictionary and operational standards, not in this catalogue.</w:t>
      </w:r>
    </w:p>
    <w:p>
      <w:pPr>
        <w:pStyle w:val="Heading1"/>
        <w:spacing w:after="200" w:before="360"/>
      </w:pPr>
      <w:r>
        <w:rPr>
          <w:rFonts w:ascii="Arial" w:cs="Arial" w:eastAsia="Arial" w:hAnsi="Arial"/>
          <w:b/>
          <w:bCs/>
          <w:color w:val="1F4E79"/>
          <w:sz w:val="28"/>
          <w:szCs w:val="28"/>
        </w:rPr>
        <w:t xml:space="preserve">7. Master Data Domains</w:t>
      </w:r>
    </w:p>
    <w:p>
      <w:pPr>
        <w:spacing w:after="80" w:before="80"/>
        <w:jc w:val="left"/>
      </w:pPr>
      <w:r>
        <w:rPr>
          <w:rFonts w:ascii="Arial" w:cs="Arial" w:eastAsia="Arial" w:hAnsi="Arial"/>
          <w:b w:val="false"/>
          <w:bCs w:val="false"/>
          <w:i w:val="false"/>
          <w:iCs w:val="false"/>
          <w:color w:val="333333"/>
          <w:sz w:val="20"/>
          <w:szCs w:val="20"/>
        </w:rPr>
        <w:t xml:space="preserve">The following domains structure the DCOS master data catalogue. Domains group related entities; they do not imply that every module must own its own master.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6200"/>
      </w:tblGrid>
      <w:tr>
        <w:tc>
          <w:tcPr>
            <w:tcW w:type="dxa" w:w="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w:t>
            </w:r>
          </w:p>
        </w:tc>
        <w:tc>
          <w:tcPr>
            <w:tcW w:type="dxa" w:w="3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Domain</w:t>
            </w:r>
          </w:p>
        </w:tc>
        <w:tc>
          <w:tcPr>
            <w:tcW w:type="dxa" w:w="6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Description</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Organization</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Company structure, departments, positions, roles</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2</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Project</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 identity, type, phase, status</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3</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WBS / Project Structure</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WBS, building, level, zone, room, work package</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4</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Location</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Geography, site, warehouse, storage location</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5</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Business Partner / Party</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Supplier, subcontractor, client, consultant as roles</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6</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Material</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Material master and material classification</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7</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Employee / Workforce</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Employee, skill, trade, certification</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8</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Equipment</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Equipment asset and classification</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9</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Cost</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Cost code, cost category, work category</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10</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QS / BOQ</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BOQ and BOQ item structures</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11</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Procurement</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Procurement category, method, commercial terms</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12</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Document</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Document type, category, status, confidentiality</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13</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Design / Engineering</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Discipline, design package</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14</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BIM</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BIM classification and information levels</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15</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QA/QC</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Inspection, test, defect classification</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16</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HSE</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Hazard, risk, incident, PPE, permit types</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17</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Finance</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Account, cost centre, currency, tax</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18</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Contract</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Contract master and commercial classifications</w:t>
            </w:r>
          </w:p>
        </w:tc>
      </w:tr>
      <w:tr>
        <w:tc>
          <w:tcPr>
            <w:tcW w:type="dxa" w:w="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19</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Handover / DLP</w:t>
            </w:r>
          </w:p>
        </w:tc>
        <w:tc>
          <w:tcPr>
            <w:tcW w:type="dxa" w:w="6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Handover package, asset, warranty, DLP</w:t>
            </w:r>
          </w:p>
        </w:tc>
      </w:tr>
      <w:tr>
        <w:tc>
          <w:tcPr>
            <w:tcW w:type="dxa" w:w="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20</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Reference Data</w:t>
            </w:r>
          </w:p>
        </w:tc>
        <w:tc>
          <w:tcPr>
            <w:tcW w:type="dxa" w:w="6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Cross-cutting controlled lists</w:t>
            </w:r>
          </w:p>
        </w:tc>
      </w:tr>
    </w:tbl>
    <w:p>
      <w:r>
        <w:br w:type="page"/>
      </w:r>
    </w:p>
    <w:p>
      <w:pPr>
        <w:pStyle w:val="Heading1"/>
        <w:spacing w:after="200" w:before="360"/>
      </w:pPr>
      <w:r>
        <w:rPr>
          <w:rFonts w:ascii="Arial" w:cs="Arial" w:eastAsia="Arial" w:hAnsi="Arial"/>
          <w:b/>
          <w:bCs/>
          <w:color w:val="1F4E79"/>
          <w:sz w:val="28"/>
          <w:szCs w:val="28"/>
        </w:rPr>
        <w:t xml:space="preserve">8. Master Data Catalogue</w:t>
      </w:r>
    </w:p>
    <w:p>
      <w:pPr>
        <w:spacing w:after="80" w:before="80"/>
        <w:jc w:val="left"/>
      </w:pPr>
      <w:r>
        <w:rPr>
          <w:rFonts w:ascii="Arial" w:cs="Arial" w:eastAsia="Arial" w:hAnsi="Arial"/>
          <w:b w:val="false"/>
          <w:bCs w:val="false"/>
          <w:i w:val="false"/>
          <w:iCs w:val="false"/>
          <w:color w:val="333333"/>
          <w:sz w:val="20"/>
          <w:szCs w:val="20"/>
        </w:rPr>
        <w:t xml:space="preserve">The primary catalogue lists each master-data entity recognized by DCOS. Definitions are concise and business-oriented. Status values: Proposed (for standardization), Approved, Retired.</w:t>
      </w:r>
    </w:p>
    <w:p>
      <w:pPr>
        <w:pStyle w:val="Heading2"/>
        <w:spacing w:after="140" w:before="280"/>
      </w:pPr>
      <w:r>
        <w:rPr>
          <w:rFonts w:ascii="Arial" w:cs="Arial" w:eastAsia="Arial" w:hAnsi="Arial"/>
          <w:b/>
          <w:bCs/>
          <w:color w:val="1F4E79"/>
          <w:sz w:val="24"/>
          <w:szCs w:val="24"/>
        </w:rPr>
        <w:t xml:space="preserve">8.1 Organization Domain (ORG)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MDM-ORG-COM</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Company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Legal entity operating within the DCOS enterprise group. Purpose: Identify the legal and reporting entity.</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Corporate / Finance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MDM-ORG-BU</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Business Unit</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Organizational unit responsible for a line of business or region. Purpose: Structure management and reporting hierarchy.</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Corporate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MDM-ORG-BR</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Branch</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Physical or operational branch of a company. Purpose: Support multi-location operations.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Corporate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MDM-ORG-DEP</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Department</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Functional department within a company or business unit. Purpose: Organize roles, cost centres, and ownership.</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HR / Corporate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MDM-ORG-TEAM</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Team</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Operational team within a department or project. Purpose: Support workforce assignment and responsibility.</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Both</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HR / Project Management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MDM-ORG-POS</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Position</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Organizational position or job slot. Purpose: Define structure independent of incumbent.</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HR</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MDM-ORG-ROL</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Organization Role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Defined role used for authorization and responsibility. Purpose: Support access control and accountability.</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HR / IT Security</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bl>
          <w:p>
            <w:pPr>
              <w:spacing w:after="120" w:before="60"/>
              <w:jc w:val="left"/>
            </w:pPr>
            <w:r>
              <w:rPr>
                <w:rFonts w:ascii="Arial" w:cs="Arial" w:eastAsia="Arial" w:hAnsi="Arial"/>
                <w:b w:val="false"/>
                <w:bCs w:val="false"/>
                <w:i w:val="false"/>
                <w:iCs w:val="false"/>
                <w:color w:val="333333"/>
                <w:sz w:val="16"/>
                <w:szCs w:val="16"/>
              </w:rPr>
              <w:t xml:space="preserve">Notes: MDM-ORG-COM: Supports multi-company environments. | MDM-ORG-BR: Optional where Business Unit covers structure. | MDM-ORG-TEAM: May be project-specific. | MDM-ORG-ROL: Distinct from security profiles where needed.</w:t>
            </w:r>
          </w:p>
        </w:tc>
      </w:tr>
    </w:tbl>
    <w:p>
      <w:pPr>
        <w:pStyle w:val="Heading2"/>
        <w:spacing w:after="140" w:before="280"/>
      </w:pPr>
      <w:r>
        <w:rPr>
          <w:rFonts w:ascii="Arial" w:cs="Arial" w:eastAsia="Arial" w:hAnsi="Arial"/>
          <w:b/>
          <w:bCs/>
          <w:color w:val="1F4E79"/>
          <w:sz w:val="24"/>
          <w:szCs w:val="24"/>
        </w:rPr>
        <w:t xml:space="preserve">8.2 Project Domain (PRJ)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MDM-PRJ</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Project</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A construction or real-estate project managed in DCOS. Purpose: Primary container for all project activity and data.</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 Management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MDM-PRJ-TYPE</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Project Type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project (e.g., residential, commercial, infrastructure). Purpose: Enable filtering, templates, and reporting.</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 Management</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MDM-PRJ-CAT</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Project Category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Higher-level category for portfolio grouping. Purpose: Portfolio and strategic reporting.</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 Management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MDM-PRJ-PHS</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Project Phase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Defined phase of the project lifecycle (e.g., Design, Construction, Handover). Purpose: Control phase gates and status.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Both</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 Management</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MDM-PRJ-STAT</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Project Status</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Controlled status values for a project (e.g., Planning, Active, Closed). Purpose: Lifecycle control and filtering.</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 Management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bl>
          <w:p>
            <w:pPr>
              <w:spacing w:after="120" w:before="60"/>
              <w:jc w:val="left"/>
            </w:pPr>
            <w:r>
              <w:rPr>
                <w:rFonts w:ascii="Arial" w:cs="Arial" w:eastAsia="Arial" w:hAnsi="Arial"/>
                <w:b w:val="false"/>
                <w:bCs w:val="false"/>
                <w:i w:val="false"/>
                <w:iCs w:val="false"/>
                <w:color w:val="333333"/>
                <w:sz w:val="16"/>
                <w:szCs w:val="16"/>
              </w:rPr>
              <w:t xml:space="preserve">Notes: MDM-PRJ: Core enterprise object; multi-project support required. | MDM-PRJ-PHS: Standard phases may be enterprise; sequence is project-specific.</w:t>
            </w:r>
          </w:p>
        </w:tc>
      </w:tr>
    </w:tbl>
    <w:p>
      <w:pPr>
        <w:pStyle w:val="Heading2"/>
        <w:spacing w:after="140" w:before="280"/>
      </w:pPr>
      <w:r>
        <w:rPr>
          <w:rFonts w:ascii="Arial" w:cs="Arial" w:eastAsia="Arial" w:hAnsi="Arial"/>
          <w:b/>
          <w:bCs/>
          <w:color w:val="1F4E79"/>
          <w:sz w:val="24"/>
          <w:szCs w:val="24"/>
        </w:rPr>
        <w:t xml:space="preserve">8.3 WBS / Project Structure Domain (WBS)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MDM-WBS</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WBS</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Work Breakdown Structure element defining hierarchical project work. Purpose: Structure scope, cost, schedule, and progress.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Planning / Project Controls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MDM-WBS-BLD</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Building</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Physical building or major facility within a project. Purpose: Spatial and cost structure for multi-building projects.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 Controls / Design</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MDM-WBS-LVL</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Level</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Floor level or elevation within a building. Purpose: Support spatial planning, quantities, and progress.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Design / Project Controls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MDM-WBS-ZON</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Zone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Logical or physical zone within a building or site. Purpose: Support work packaging and progress tracking.</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Planning / Construction</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MDM-WBS-ROM</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Room / Space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Individual room or defined space. Purpose: Support detailed design, fit-out, and handover.</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Design / Handover</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MDM-WBS-WP</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Work Package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Defined package of work for planning and execution. Purpose: Group activities for subcontract and progress.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Planning / Project Controls</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120" w:before="60"/>
              <w:jc w:val="left"/>
            </w:pPr>
            <w:r>
              <w:rPr>
                <w:rFonts w:ascii="Arial" w:cs="Arial" w:eastAsia="Arial" w:hAnsi="Arial"/>
                <w:b w:val="false"/>
                <w:bCs w:val="false"/>
                <w:i w:val="false"/>
                <w:iCs w:val="false"/>
                <w:color w:val="333333"/>
                <w:sz w:val="16"/>
                <w:szCs w:val="16"/>
              </w:rPr>
              <w:t xml:space="preserve">Notes: MDM-WBS: Project-specific; coding rules in separate standard. | MDM-WBS-BLD: Required for multi-building projects. | MDM-WBS-ROM: Often derived from BIM; control level depends on governance.</w:t>
            </w:r>
          </w:p>
        </w:tc>
      </w:tr>
    </w:tbl>
    <w:p>
      <w:pPr>
        <w:pStyle w:val="Heading2"/>
        <w:spacing w:after="140" w:before="280"/>
      </w:pPr>
      <w:r>
        <w:rPr>
          <w:rFonts w:ascii="Arial" w:cs="Arial" w:eastAsia="Arial" w:hAnsi="Arial"/>
          <w:b/>
          <w:bCs/>
          <w:color w:val="1F4E79"/>
          <w:sz w:val="24"/>
          <w:szCs w:val="24"/>
        </w:rPr>
        <w:t xml:space="preserve">8.4 Location Domain (LOC)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MDM-LOC-CTY</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Country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Country of operation or address. Purpose: Address, tax, and regulatory context.</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Corporate / Finance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MDM-LOC-PRV</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Province / State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First-level administrative division. Purpose: Address and reporting.</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Corporate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MDM-LOC-DST</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District / City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Lower-level administrative or city unit. Purpose: Address detail.</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Corporate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MDM-LOC-SITE</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Site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Physical construction or operational site. Purpose: Locate project activities and logistics.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Both</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 Management / Operations</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MDM-LOC-WH</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Warehouse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Storage facility for materials and equipment. Purpose: Inventory and logistics control.</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Both</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Warehouse / Procurement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MDM-LOC-SL</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Storage Location</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Bin, rack, or defined storage area within a warehouse. Purpose: Detailed inventory placement.</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Both</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Warehouse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bl>
          <w:p>
            <w:pPr>
              <w:spacing w:after="120" w:before="60"/>
              <w:jc w:val="left"/>
            </w:pPr>
            <w:r>
              <w:rPr>
                <w:rFonts w:ascii="Arial" w:cs="Arial" w:eastAsia="Arial" w:hAnsi="Arial"/>
                <w:b w:val="false"/>
                <w:bCs w:val="false"/>
                <w:i w:val="false"/>
                <w:iCs w:val="false"/>
                <w:color w:val="333333"/>
                <w:sz w:val="16"/>
                <w:szCs w:val="16"/>
              </w:rPr>
              <w:t xml:space="preserve">Notes: MDM-LOC-SITE: May be shared across projects in some cases. | MDM-LOC-WH: Enterprise or project warehouses.</w:t>
            </w:r>
          </w:p>
        </w:tc>
      </w:tr>
    </w:tbl>
    <w:p>
      <w:pPr>
        <w:pStyle w:val="Heading2"/>
        <w:spacing w:after="140" w:before="280"/>
      </w:pPr>
      <w:r>
        <w:rPr>
          <w:rFonts w:ascii="Arial" w:cs="Arial" w:eastAsia="Arial" w:hAnsi="Arial"/>
          <w:b/>
          <w:bCs/>
          <w:color w:val="1F4E79"/>
          <w:sz w:val="24"/>
          <w:szCs w:val="24"/>
        </w:rPr>
        <w:t xml:space="preserve">8.5 Business Partner / Party Domain (BP)</w:t>
      </w:r>
    </w:p>
    <w:p>
      <w:pPr>
        <w:spacing w:after="80" w:before="80"/>
        <w:jc w:val="left"/>
      </w:pPr>
      <w:r>
        <w:rPr>
          <w:rFonts w:ascii="Arial" w:cs="Arial" w:eastAsia="Arial" w:hAnsi="Arial"/>
          <w:b w:val="false"/>
          <w:bCs w:val="false"/>
          <w:i w:val="false"/>
          <w:iCs w:val="false"/>
          <w:color w:val="333333"/>
          <w:sz w:val="20"/>
          <w:szCs w:val="20"/>
        </w:rPr>
        <w:t xml:space="preserve">Architectural decision: External parties (Supplier, Subcontractor, Client, Consultant, Owner, Developer) SHALL be managed under a common Business Partner / Party Master with role assignments. This prevents duplicate and conflicting party records across modules.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MDM-BP</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Business Partner (Party)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Any external or related organization or individual with whom the enterprise transacts or interacts. Purpose: Single source of truth for party identity and master attributes.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 / Commercial / Finance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MDM-BP-ROLE</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Party Role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Role of a Business Partner (Supplier, Subcontractor, Client, Consultant, etc.). Purpose: Specialize behavior and module access without duplicating the party.</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 / Commercial</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MDM-BP-CAT</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Party Category / Classification</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Business classification of the party (e.g., trade, size, strategic). Purpose: Filtering, reporting, and risk.</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MDM-BP-CON</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Party Contact</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Named contact person for a Business Partner. Purpose: Communication and operational contact.</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 / Commercial</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120" w:before="60"/>
              <w:jc w:val="left"/>
            </w:pPr>
            <w:r>
              <w:rPr>
                <w:rFonts w:ascii="Arial" w:cs="Arial" w:eastAsia="Arial" w:hAnsi="Arial"/>
                <w:b w:val="false"/>
                <w:bCs w:val="false"/>
                <w:i w:val="false"/>
                <w:iCs w:val="false"/>
                <w:color w:val="333333"/>
                <w:sz w:val="16"/>
                <w:szCs w:val="16"/>
              </w:rPr>
              <w:t xml:space="preserve">Notes: MDM-BP: Core entity; roles determine usage. | MDM-BP-ROLE: A party MAY hold multiple roles. | MDM-BP-CON: Not a full Employee; contact of external party.</w:t>
            </w:r>
          </w:p>
        </w:tc>
      </w:tr>
    </w:tbl>
    <w:p>
      <w:pPr>
        <w:pStyle w:val="Heading2"/>
        <w:spacing w:after="140" w:before="280"/>
      </w:pPr>
      <w:r>
        <w:rPr>
          <w:rFonts w:ascii="Arial" w:cs="Arial" w:eastAsia="Arial" w:hAnsi="Arial"/>
          <w:b/>
          <w:bCs/>
          <w:color w:val="1F4E79"/>
          <w:sz w:val="24"/>
          <w:szCs w:val="24"/>
        </w:rPr>
        <w:t xml:space="preserve">8.6 Material Domain (MAT)</w:t>
      </w:r>
    </w:p>
    <w:p>
      <w:pPr>
        <w:spacing w:after="80" w:before="80"/>
        <w:jc w:val="left"/>
      </w:pPr>
      <w:r>
        <w:rPr>
          <w:rFonts w:ascii="Arial" w:cs="Arial" w:eastAsia="Arial" w:hAnsi="Arial"/>
          <w:b w:val="false"/>
          <w:bCs w:val="false"/>
          <w:i w:val="false"/>
          <w:iCs w:val="false"/>
          <w:color w:val="333333"/>
          <w:sz w:val="20"/>
          <w:szCs w:val="20"/>
        </w:rPr>
        <w:t xml:space="preserve">Material Master represents the definition of a material or product (e.g., Portland Cement 42.5N). Material transactions (receipt, issue, transfer) reference the Material Master and SHALL NOT recreate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MDM-MAT</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Material</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Definable material, product, or stock item used in construction or operations. Purpose: Single definition for procurement, inventory, QS, and cost.</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 / QS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MDM-MAT-CAT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Material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Hierarchical classification of materials. Purpose: Organize and report material data.</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 / QS</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MDM-MAT-GRP</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Material Group</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Grouping for planning, procurement, or valuation. Purpose: Support procurement and inventory strategies.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MDM-MAT-TYPE</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Material Type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Type controlling valuation and process behavior. Purpose: Differentiate stock, non-stock, service, etc.</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 / Finance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MDM-MAT-UOM</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Unit of Measure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Unit in which quantity is measured (e.g., kg, m³, bag). Purpose: Consistent quantity handling across modules.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 / QS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bl>
          <w:p>
            <w:pPr>
              <w:spacing w:after="120" w:before="60"/>
              <w:jc w:val="left"/>
            </w:pPr>
            <w:r>
              <w:rPr>
                <w:rFonts w:ascii="Arial" w:cs="Arial" w:eastAsia="Arial" w:hAnsi="Arial"/>
                <w:b w:val="false"/>
                <w:bCs w:val="false"/>
                <w:i w:val="false"/>
                <w:iCs w:val="false"/>
                <w:color w:val="333333"/>
                <w:sz w:val="16"/>
                <w:szCs w:val="16"/>
              </w:rPr>
              <w:t xml:space="preserve">Notes: MDM-MAT: Enterprise-wide; project may reference subset. | MDM-MAT-UOM: Shared reference data.</w:t>
            </w:r>
          </w:p>
        </w:tc>
      </w:tr>
    </w:tbl>
    <w:p>
      <w:pPr>
        <w:pStyle w:val="Heading2"/>
        <w:spacing w:after="140" w:before="280"/>
      </w:pPr>
      <w:r>
        <w:rPr>
          <w:rFonts w:ascii="Arial" w:cs="Arial" w:eastAsia="Arial" w:hAnsi="Arial"/>
          <w:b/>
          <w:bCs/>
          <w:color w:val="1F4E79"/>
          <w:sz w:val="24"/>
          <w:szCs w:val="24"/>
        </w:rPr>
        <w:t xml:space="preserve">8.7 Employee / Workforce Domain (EMP)</w:t>
      </w:r>
    </w:p>
    <w:p>
      <w:pPr>
        <w:spacing w:after="80" w:before="80"/>
        <w:jc w:val="left"/>
      </w:pPr>
      <w:r>
        <w:rPr>
          <w:rFonts w:ascii="Arial" w:cs="Arial" w:eastAsia="Arial" w:hAnsi="Arial"/>
          <w:b w:val="false"/>
          <w:bCs w:val="false"/>
          <w:i w:val="false"/>
          <w:iCs w:val="false"/>
          <w:color w:val="333333"/>
          <w:sz w:val="20"/>
          <w:szCs w:val="20"/>
        </w:rPr>
        <w:t xml:space="preserve">Employee Master is distinct from attendance, timesheet, and payroll transactions. Workers may be employees or non-employee labor; classification is handled via employment type and assignment.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MDM-EMP</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Employee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Person employed or engaged by the organization and recorded in HR. Purpose: Authoritative person record for workforce, access, and cost.</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HR</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MDM-EMP-SKL</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Skill</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Defined skill or competency. Purpose: Match workforce to work requirements.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HR</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MDM-EMP-TRD</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Trade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Construction trade classification (e.g., electrician, carpenter). Purpose: Workforce planning and subcontract scope.</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HR / Construction</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MDM-EMP-CERT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Certification</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Professional or statutory certification type. Purpose: Compliance and assignment eligibility.</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HR / HSE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120" w:before="60"/>
              <w:jc w:val="left"/>
            </w:pPr>
            <w:r>
              <w:rPr>
                <w:rFonts w:ascii="Arial" w:cs="Arial" w:eastAsia="Arial" w:hAnsi="Arial"/>
                <w:b w:val="false"/>
                <w:bCs w:val="false"/>
                <w:i w:val="false"/>
                <w:iCs w:val="false"/>
                <w:color w:val="333333"/>
                <w:sz w:val="16"/>
                <w:szCs w:val="16"/>
              </w:rPr>
              <w:t xml:space="preserve">Notes: MDM-EMP: System of Record may be external HR system. | MDM-EMP-CERT: Instance of certification is transactional/assignment data.</w:t>
            </w:r>
          </w:p>
        </w:tc>
      </w:tr>
    </w:tbl>
    <w:p>
      <w:pPr>
        <w:pStyle w:val="Heading2"/>
        <w:spacing w:after="140" w:before="280"/>
      </w:pPr>
      <w:r>
        <w:rPr>
          <w:rFonts w:ascii="Arial" w:cs="Arial" w:eastAsia="Arial" w:hAnsi="Arial"/>
          <w:b/>
          <w:bCs/>
          <w:color w:val="1F4E79"/>
          <w:sz w:val="24"/>
          <w:szCs w:val="24"/>
        </w:rPr>
        <w:t xml:space="preserve">8.8 Equipment Domain (EQP)</w:t>
      </w:r>
    </w:p>
    <w:p>
      <w:pPr>
        <w:spacing w:after="80" w:before="80"/>
        <w:jc w:val="left"/>
      </w:pPr>
      <w:r>
        <w:rPr>
          <w:rFonts w:ascii="Arial" w:cs="Arial" w:eastAsia="Arial" w:hAnsi="Arial"/>
          <w:b w:val="false"/>
          <w:bCs w:val="false"/>
          <w:i w:val="false"/>
          <w:iCs w:val="false"/>
          <w:color w:val="333333"/>
          <w:sz w:val="20"/>
          <w:szCs w:val="20"/>
        </w:rPr>
        <w:t xml:space="preserve">Equipment Master defines the asset or equipment item. Utilization, maintenance, rental, and movement are transactional and reference the Equipment Master.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MDM-EQP</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Equipment</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Plant, machinery, or tool managed as an equipment asset. Purpose: Track identity, ownership, and allocation to projects.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Equipment / Operations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MDM-EQP-CAT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Equipment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equipment (e.g., earthmoving, lifting, tools). Purpose: Reporting and maintenance strategies.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Equipment</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MDM-EQP-TYPE</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Equipment Type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Type within category controlling attributes and processes. Purpose: Standardize equipment master attributes.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Equipment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MDM-EQP-MFG</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Equipment Manufacturer</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Manufacturer of equipment. Purpose: Support model and parts linkage.</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Equipment</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MDM-EQP-MDL</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Equipment Model</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Specific model from a manufacturer. Purpose: Standardize specifications.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Equipment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60" w:before="60"/>
            </w:pPr>
          </w:p>
        </w:tc>
      </w:tr>
    </w:tbl>
    <w:p>
      <w:pPr>
        <w:pStyle w:val="Heading2"/>
        <w:spacing w:after="140" w:before="280"/>
      </w:pPr>
      <w:r>
        <w:rPr>
          <w:rFonts w:ascii="Arial" w:cs="Arial" w:eastAsia="Arial" w:hAnsi="Arial"/>
          <w:b/>
          <w:bCs/>
          <w:color w:val="1F4E79"/>
          <w:sz w:val="24"/>
          <w:szCs w:val="24"/>
        </w:rPr>
        <w:t xml:space="preserve">8.9 Cost &amp; QS / BOQ Domain (CST / BOQ)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MDM-CST-CC</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Cost Code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Code used to collect and control cost (and often progress). Purpose: Link cost, commitment, and actuals to structure.</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Both</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 / Project Controls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MDM-CST-CAT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Cost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cost (e.g., material, labor, equipment, subcontract). Purpose: Reporting and control by nature of cost.</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 / Project Controls</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MDM-CST-WC</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Work Category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work for estimating and control. Purpose: Align BOQ, cost, and progress views.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QS / Project Controls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MDM-BOQ</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BOQ (Bill of Quantities)</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Structured bill of quantities for a project or package. Purpose: Quantity and rate structure for estimation and measurement.</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QS</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MDM-BOQ-ITM</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BOQ Item</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Line item within a BOQ (description, unit, quantity, rate). Purpose: Detailed measurement and valuation.</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QS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bl>
          <w:p>
            <w:pPr>
              <w:spacing w:after="120" w:before="60"/>
              <w:jc w:val="left"/>
            </w:pPr>
            <w:r>
              <w:rPr>
                <w:rFonts w:ascii="Arial" w:cs="Arial" w:eastAsia="Arial" w:hAnsi="Arial"/>
                <w:b w:val="false"/>
                <w:bCs w:val="false"/>
                <w:i w:val="false"/>
                <w:iCs w:val="false"/>
                <w:color w:val="333333"/>
                <w:sz w:val="16"/>
                <w:szCs w:val="16"/>
              </w:rPr>
              <w:t xml:space="preserve">Notes: MDM-CST-CC: Enterprise chart may exist; project may extend. | MDM-BOQ: Project-level; structure may follow enterprise template. | MDM-BOQ-ITM: Often treated as project master; transactions measure against it.</w:t>
            </w:r>
          </w:p>
        </w:tc>
      </w:tr>
    </w:tbl>
    <w:p>
      <w:pPr>
        <w:pStyle w:val="Heading2"/>
        <w:spacing w:after="140" w:before="280"/>
      </w:pPr>
      <w:r>
        <w:rPr>
          <w:rFonts w:ascii="Arial" w:cs="Arial" w:eastAsia="Arial" w:hAnsi="Arial"/>
          <w:b/>
          <w:bCs/>
          <w:color w:val="1F4E79"/>
          <w:sz w:val="24"/>
          <w:szCs w:val="24"/>
        </w:rPr>
        <w:t xml:space="preserve">8.10 Procurement Domain (PROC)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MDM-PROC-CAT</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Procurement Category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Category for strategic and operational procurement. Purpose: Sourcing strategy and spend analysis.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MDM-PROC-MTH</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Procurement Method</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Method of procurement (e.g., tender, quotation, direct). Purpose: Process control and compliance.</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MDM-CON-TYPE</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Contract Type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Type of commercial contract (e.g., lump sum, remeasurable, unit rate). Purpose: Commercial process and risk.</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Commercial / Legal</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MDM-PAY-TERM</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Payment Term</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Standard payment terms (e.g., 30 days, milestone-based). Purpose: Commercial and finance consistency.</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 / Procurement</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MDM-DEL-TERM</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Delivery Term</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Incoterms or delivery conditions. Purpose: Logistics and risk transfer.</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60" w:before="60"/>
            </w:pPr>
          </w:p>
        </w:tc>
      </w:tr>
    </w:tbl>
    <w:p>
      <w:pPr>
        <w:pStyle w:val="Heading2"/>
        <w:spacing w:after="140" w:before="280"/>
      </w:pPr>
      <w:r>
        <w:rPr>
          <w:rFonts w:ascii="Arial" w:cs="Arial" w:eastAsia="Arial" w:hAnsi="Arial"/>
          <w:b/>
          <w:bCs/>
          <w:color w:val="1F4E79"/>
          <w:sz w:val="24"/>
          <w:szCs w:val="24"/>
        </w:rPr>
        <w:t xml:space="preserve">8.11 Document Domain (DOC)</w:t>
      </w:r>
    </w:p>
    <w:p>
      <w:pPr>
        <w:spacing w:after="80" w:before="80"/>
        <w:jc w:val="left"/>
      </w:pPr>
      <w:r>
        <w:rPr>
          <w:rFonts w:ascii="Arial" w:cs="Arial" w:eastAsia="Arial" w:hAnsi="Arial"/>
          <w:b w:val="false"/>
          <w:bCs w:val="false"/>
          <w:i w:val="false"/>
          <w:iCs w:val="false"/>
          <w:color w:val="333333"/>
          <w:sz w:val="20"/>
          <w:szCs w:val="20"/>
        </w:rPr>
        <w:t xml:space="preserve">Document Type and Classification are reference/master metadata. Actual document files and revisions are transactional or content-managed records that reference these masters.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MDM-DOC-TYPE</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Document Type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Controlled type of document (e.g., Drawing, Specification, Method Statement, RFI). Purpose: Classify and route documents.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Document Control</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MDM-DOC-CAT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Document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Higher-level grouping of document types. Purpose: Library structure and permissions.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Document Control</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MDM-DOC-DISC</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Document Discipline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Discipline associated with the document (e.g., Architectural, Structural, MEP). Purpose: Filtering and responsibility.</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Document Control / Engineering</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MDM-DOC-STAT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Document Status</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Controlled status values for documents (e.g., Draft, For Review, Approved, Superseded). Purpose: Lifecycle control.</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Document Control</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MDM-DOC-CONF</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Confidentiality Classification</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Security classification of document content. Purpose: Access control and distribution.</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Document Control / Security</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bl>
          <w:p>
            <w:pPr>
              <w:spacing w:after="120" w:before="60"/>
              <w:jc w:val="left"/>
            </w:pPr>
            <w:r>
              <w:rPr>
                <w:rFonts w:ascii="Arial" w:cs="Arial" w:eastAsia="Arial" w:hAnsi="Arial"/>
                <w:b w:val="false"/>
                <w:bCs w:val="false"/>
                <w:i w:val="false"/>
                <w:iCs w:val="false"/>
                <w:color w:val="333333"/>
                <w:sz w:val="16"/>
                <w:szCs w:val="16"/>
              </w:rPr>
              <w:t xml:space="preserve">Notes: MDM-DOC-DISC: Aligned with Design Discipline where possible.</w:t>
            </w:r>
          </w:p>
        </w:tc>
      </w:tr>
    </w:tbl>
    <w:p>
      <w:pPr>
        <w:pStyle w:val="Heading2"/>
        <w:spacing w:after="140" w:before="280"/>
      </w:pPr>
      <w:r>
        <w:rPr>
          <w:rFonts w:ascii="Arial" w:cs="Arial" w:eastAsia="Arial" w:hAnsi="Arial"/>
          <w:b/>
          <w:bCs/>
          <w:color w:val="1F4E79"/>
          <w:sz w:val="24"/>
          <w:szCs w:val="24"/>
        </w:rPr>
        <w:t xml:space="preserve">8.12 Design &amp; BIM Domain (DES / BIM)</w:t>
      </w:r>
    </w:p>
    <w:p>
      <w:pPr>
        <w:spacing w:after="80" w:before="80"/>
        <w:jc w:val="left"/>
      </w:pPr>
      <w:r>
        <w:rPr>
          <w:rFonts w:ascii="Arial" w:cs="Arial" w:eastAsia="Arial" w:hAnsi="Arial"/>
          <w:b w:val="false"/>
          <w:bCs w:val="false"/>
          <w:i w:val="false"/>
          <w:iCs w:val="false"/>
          <w:color w:val="333333"/>
          <w:sz w:val="20"/>
          <w:szCs w:val="20"/>
        </w:rPr>
        <w:t xml:space="preserve">Only classification and control objects that must be consistent across projects and modules are treated as master/reference data. Model content itself is not master data in this catalogue.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MDM-DES-DISC</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Discipline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Engineering or design discipline. Purpose: Organize design packages, documents, and BIM.</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Engineering / BIM</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MDM-DES-PKG</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Design Package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Defined package of design deliverables. Purpose: Scope and progress of design.</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Engineering</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MDM-BIM-CAT</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BIM Element Classification</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system for BIM elements (aligned to adopted standard). Purpose: Consistent element identification and quantities.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BIM / Engineering</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MDM-BIM-LOI</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Level of Information (LOI)</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Defined level of information requirement. Purpose: Control information delivery.</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BIM</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120" w:before="60"/>
              <w:jc w:val="left"/>
            </w:pPr>
            <w:r>
              <w:rPr>
                <w:rFonts w:ascii="Arial" w:cs="Arial" w:eastAsia="Arial" w:hAnsi="Arial"/>
                <w:b w:val="false"/>
                <w:bCs w:val="false"/>
                <w:i w:val="false"/>
                <w:iCs w:val="false"/>
                <w:color w:val="333333"/>
                <w:sz w:val="16"/>
                <w:szCs w:val="16"/>
              </w:rPr>
              <w:t xml:space="preserve">Notes: MDM-DES-PKG: Project-level. | MDM-BIM-CAT: Adopt external standard where possible; do not invent parallel systems.</w:t>
            </w:r>
          </w:p>
        </w:tc>
      </w:tr>
    </w:tbl>
    <w:p>
      <w:pPr>
        <w:pStyle w:val="Heading2"/>
        <w:spacing w:after="140" w:before="280"/>
      </w:pPr>
      <w:r>
        <w:rPr>
          <w:rFonts w:ascii="Arial" w:cs="Arial" w:eastAsia="Arial" w:hAnsi="Arial"/>
          <w:b/>
          <w:bCs/>
          <w:color w:val="1F4E79"/>
          <w:sz w:val="24"/>
          <w:szCs w:val="24"/>
        </w:rPr>
        <w:t xml:space="preserve">8.13 QA/QC Domain (QA)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MDM-QA-INSP</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Inspection Type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Type of quality inspection (e.g., material receipt, hold point, final). Purpose: Standardize inspection processes.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QA/QC</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MDM-QA-TEST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Test Type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Type of test (e.g., concrete cube, compaction). Purpose: Standardize testing and reporting.</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QA/QC</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MDM-QA-DEF</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Defect Category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defects or non-conformances. Purpose: Analysis and corrective action.</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QA/QC</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MDM-QA-ACC</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Acceptance Criteria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Category of acceptance criteria. Purpose: Link criteria to inspection types.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QA/QC</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120" w:before="60"/>
              <w:jc w:val="left"/>
            </w:pPr>
            <w:r>
              <w:rPr>
                <w:rFonts w:ascii="Arial" w:cs="Arial" w:eastAsia="Arial" w:hAnsi="Arial"/>
                <w:b w:val="false"/>
                <w:bCs w:val="false"/>
                <w:i w:val="false"/>
                <w:iCs w:val="false"/>
                <w:color w:val="333333"/>
                <w:sz w:val="16"/>
                <w:szCs w:val="16"/>
              </w:rPr>
              <w:t xml:space="preserve">Notes: MDM-QA-INSP: Inspection records are transactional. | MDM-QA-DEF: NCR/defect instances are transactional.</w:t>
            </w:r>
          </w:p>
        </w:tc>
      </w:tr>
    </w:tbl>
    <w:p>
      <w:pPr>
        <w:pStyle w:val="Heading2"/>
        <w:spacing w:after="140" w:before="280"/>
      </w:pPr>
      <w:r>
        <w:rPr>
          <w:rFonts w:ascii="Arial" w:cs="Arial" w:eastAsia="Arial" w:hAnsi="Arial"/>
          <w:b/>
          <w:bCs/>
          <w:color w:val="1F4E79"/>
          <w:sz w:val="24"/>
          <w:szCs w:val="24"/>
        </w:rPr>
        <w:t xml:space="preserve">8.14 HSE Domain (HSE)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MDM-HSE-HAZ</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Hazard Category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hazards. Purpose: Risk assessment and control.</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HSE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MDM-HSE-RSK</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Risk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risk levels or types. Purpose: Risk registers and reporting.</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HSE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MDM-HSE-INC</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Incident Category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incidents and near-misses. Purpose: Incident analysis and regulatory reporting.</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HSE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MDM-HSE-PPE</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PPE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Category of personal protective equipment. Purpose: PPE management and issue.</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HSE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MDM-HSE-PERM</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Permit Type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Type of work permit (e.g., hot work, confined space). Purpose: Permit-to-work control.</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HSE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bl>
          <w:p>
            <w:pPr>
              <w:spacing w:after="120" w:before="60"/>
              <w:jc w:val="left"/>
            </w:pPr>
            <w:r>
              <w:rPr>
                <w:rFonts w:ascii="Arial" w:cs="Arial" w:eastAsia="Arial" w:hAnsi="Arial"/>
                <w:b w:val="false"/>
                <w:bCs w:val="false"/>
                <w:i w:val="false"/>
                <w:iCs w:val="false"/>
                <w:color w:val="333333"/>
                <w:sz w:val="16"/>
                <w:szCs w:val="16"/>
              </w:rPr>
              <w:t xml:space="preserve">Notes: MDM-HSE-INC: Incident records are transactional. | MDM-HSE-PERM: Permit instances are transactional.</w:t>
            </w:r>
          </w:p>
        </w:tc>
      </w:tr>
    </w:tbl>
    <w:p>
      <w:pPr>
        <w:pStyle w:val="Heading2"/>
        <w:spacing w:after="140" w:before="280"/>
      </w:pPr>
      <w:r>
        <w:rPr>
          <w:rFonts w:ascii="Arial" w:cs="Arial" w:eastAsia="Arial" w:hAnsi="Arial"/>
          <w:b/>
          <w:bCs/>
          <w:color w:val="1F4E79"/>
          <w:sz w:val="24"/>
          <w:szCs w:val="24"/>
        </w:rPr>
        <w:t xml:space="preserve">8.15 Finance Domain (FIN)</w:t>
      </w:r>
    </w:p>
    <w:p>
      <w:pPr>
        <w:spacing w:after="80" w:before="80"/>
        <w:jc w:val="left"/>
      </w:pPr>
      <w:r>
        <w:rPr>
          <w:rFonts w:ascii="Arial" w:cs="Arial" w:eastAsia="Arial" w:hAnsi="Arial"/>
          <w:b w:val="false"/>
          <w:bCs w:val="false"/>
          <w:i w:val="false"/>
          <w:iCs w:val="false"/>
          <w:color w:val="333333"/>
          <w:sz w:val="20"/>
          <w:szCs w:val="20"/>
        </w:rPr>
        <w:t xml:space="preserve">Where an external corporate ERP or accounting system is the System of Record for General Ledger accounts, DCOS SHALL reference that system rather than maintain a conflicting parallel chart. Cost Centres and Project Cost Codes may still be controlled in DCOS for project control purposes.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MDM-FIN-ACC</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Account (GL)</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General Ledger account. Purpose: Financial posting and reporting.</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MDM-FIN-ACAT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Account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GL accounts. Purpose: Financial reporting structure.</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MDM-FIN-CC</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Cost Centre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Organizational cost centre for overhead and internal cost. Purpose: Internal cost allocation.</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MDM-FIN-PC</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Profit Centre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Unit responsible for profit measurement. Purpose: Profitability reporting.</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MDM-FIN-CUR</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Currency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ISO currency code and attributes. Purpose: Multi-currency transactions and reporting.</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MDM-FIN-TAX</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Tax Type</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Tax classification (e.g., VAT, WHT). Purpose: Tax determination and reporting.</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bl>
          <w:p>
            <w:pPr>
              <w:spacing w:after="120" w:before="60"/>
              <w:jc w:val="left"/>
            </w:pPr>
            <w:r>
              <w:rPr>
                <w:rFonts w:ascii="Arial" w:cs="Arial" w:eastAsia="Arial" w:hAnsi="Arial"/>
                <w:b w:val="false"/>
                <w:bCs w:val="false"/>
                <w:i w:val="false"/>
                <w:iCs w:val="false"/>
                <w:color w:val="333333"/>
                <w:sz w:val="16"/>
                <w:szCs w:val="16"/>
              </w:rPr>
              <w:t xml:space="preserve">Notes: MDM-FIN-ACC: Often external SoR.</w:t>
            </w:r>
          </w:p>
        </w:tc>
      </w:tr>
    </w:tbl>
    <w:p>
      <w:pPr>
        <w:pStyle w:val="Heading2"/>
        <w:spacing w:after="140" w:before="280"/>
      </w:pPr>
      <w:r>
        <w:rPr>
          <w:rFonts w:ascii="Arial" w:cs="Arial" w:eastAsia="Arial" w:hAnsi="Arial"/>
          <w:b/>
          <w:bCs/>
          <w:color w:val="1F4E79"/>
          <w:sz w:val="24"/>
          <w:szCs w:val="24"/>
        </w:rPr>
        <w:t xml:space="preserve">8.16 Contract Domain (CON)</w:t>
      </w:r>
    </w:p>
    <w:p>
      <w:pPr>
        <w:spacing w:after="80" w:before="80"/>
        <w:jc w:val="left"/>
      </w:pPr>
      <w:r>
        <w:rPr>
          <w:rFonts w:ascii="Arial" w:cs="Arial" w:eastAsia="Arial" w:hAnsi="Arial"/>
          <w:b w:val="false"/>
          <w:bCs w:val="false"/>
          <w:i w:val="false"/>
          <w:iCs w:val="false"/>
          <w:color w:val="333333"/>
          <w:sz w:val="20"/>
          <w:szCs w:val="20"/>
        </w:rPr>
        <w:t xml:space="preserve">Contract Master represents the commercial agreement header and key attributes. Variations, claims, payment certificates, and similar events are transactional and reference the Contract Master.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MDM-CON</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Contract</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Commercial contract or agreement with a party for a project or corporate need. Purpose: Control commercial relationship and commitments.</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Both</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Commercial / Legal</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MDM-CON-CAT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Contract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Category of contract (e.g., main contract, subcontract, supply). Purpose: Reporting and process routing.</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Commercial</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MDM-CON-RET</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Retention Type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Type of retention arrangement. Purpose: Standardize retention handling.</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Commercial / Finance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MDM-CON-CLM</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Claim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Classification of claims. Purpose: Claims analysis and process.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Commercial</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120" w:before="60"/>
              <w:jc w:val="left"/>
            </w:pPr>
            <w:r>
              <w:rPr>
                <w:rFonts w:ascii="Arial" w:cs="Arial" w:eastAsia="Arial" w:hAnsi="Arial"/>
                <w:b w:val="false"/>
                <w:bCs w:val="false"/>
                <w:i w:val="false"/>
                <w:iCs w:val="false"/>
                <w:color w:val="333333"/>
                <w:sz w:val="16"/>
                <w:szCs w:val="16"/>
              </w:rPr>
              <w:t xml:space="preserve">Notes: MDM-CON: Project or corporate contracts. | MDM-CON-CLM: Claim instances are transactional.</w:t>
            </w:r>
          </w:p>
        </w:tc>
      </w:tr>
    </w:tbl>
    <w:p>
      <w:pPr>
        <w:pStyle w:val="Heading2"/>
        <w:spacing w:after="140" w:before="280"/>
      </w:pPr>
      <w:r>
        <w:rPr>
          <w:rFonts w:ascii="Arial" w:cs="Arial" w:eastAsia="Arial" w:hAnsi="Arial"/>
          <w:b/>
          <w:bCs/>
          <w:color w:val="1F4E79"/>
          <w:sz w:val="24"/>
          <w:szCs w:val="24"/>
        </w:rPr>
        <w:t xml:space="preserve">8.17 Handover &amp; DLP Domain (HO)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MDM-HO-PKG</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Handover Package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Defined package of deliverables and assets for handover. Purpose: Structure handover and acceptance.</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 Management / Handover</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MDM-HO-AST</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Asset (Handover)</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Maintainable or transferable asset resulting from the project. Purpose: Support DLP, maintenance, and owner handover.</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Project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Handover / Operations</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Conditional</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MDM-HO-WAR</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Warranty Type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Type of warranty applicable to assets or works. Purpose: DLP and warranty management.</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Commercial / Handover</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MDM-HO-DLP</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DLP Category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Category of defects liability or warranty period treatment. Purpose: Standardize DLP processes.</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Commercial / Handover</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No</w:t>
                  </w:r>
                </w:p>
              </w:tc>
            </w:tr>
          </w:tbl>
          <w:p>
            <w:pPr>
              <w:spacing w:after="120" w:before="60"/>
              <w:jc w:val="left"/>
            </w:pPr>
            <w:r>
              <w:rPr>
                <w:rFonts w:ascii="Arial" w:cs="Arial" w:eastAsia="Arial" w:hAnsi="Arial"/>
                <w:b w:val="false"/>
                <w:bCs w:val="false"/>
                <w:i w:val="false"/>
                <w:iCs w:val="false"/>
                <w:color w:val="333333"/>
                <w:sz w:val="16"/>
                <w:szCs w:val="16"/>
              </w:rPr>
              <w:t xml:space="preserve">Notes: MDM-HO-AST: May link to Equipment Master where applicable.</w:t>
            </w:r>
          </w:p>
        </w:tc>
      </w:tr>
    </w:tbl>
    <w:p>
      <w:pPr>
        <w:pStyle w:val="Heading2"/>
        <w:spacing w:after="140" w:before="280"/>
      </w:pPr>
      <w:r>
        <w:rPr>
          <w:rFonts w:ascii="Arial" w:cs="Arial" w:eastAsia="Arial" w:hAnsi="Arial"/>
          <w:b/>
          <w:bCs/>
          <w:color w:val="1F4E79"/>
          <w:sz w:val="24"/>
          <w:szCs w:val="24"/>
        </w:rPr>
        <w:t xml:space="preserve">8.18 Cross-Cutting Reference Data (REF)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tcPr>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100"/>
              <w:gridCol w:w="1400"/>
              <w:gridCol w:w="90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Code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Entity Name</w:t>
                  </w:r>
                </w:p>
              </w:tc>
              <w:tc>
                <w:tcPr>
                  <w:tcW w:type="dxa" w:w="3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 / Purpose</w:t>
                  </w:r>
                </w:p>
              </w:tc>
              <w:tc>
                <w:tcPr>
                  <w:tcW w:type="dxa" w:w="11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MDM-REF-UOM</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Unit of Measure</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See Material Domain — shared enterprise reference. Purpose: Consistent units across QS, procurement, inventory, and cost.</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Procurement / QS</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MDM-REF-CUR</w:t>
                  </w:r>
                </w:p>
              </w:tc>
              <w:tc>
                <w:tcPr>
                  <w:tcW w:type="dxa" w:w="1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Currency</w:t>
                  </w:r>
                </w:p>
              </w:tc>
              <w:tc>
                <w:tcPr>
                  <w:tcW w:type="dxa" w:w="3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See Finance Domain — shared enterprise reference. Purpose: Multi-currency consistency.</w:t>
                  </w:r>
                </w:p>
              </w:tc>
              <w:tc>
                <w:tcPr>
                  <w:tcW w:type="dxa" w:w="11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Finance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MDM-REF-CNTRY</w:t>
                  </w:r>
                </w:p>
              </w:tc>
              <w:tc>
                <w:tcPr>
                  <w:tcW w:type="dxa" w:w="1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Country / Geography</w:t>
                  </w:r>
                </w:p>
              </w:tc>
              <w:tc>
                <w:tcPr>
                  <w:tcW w:type="dxa" w:w="3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See Location Domain. Purpose: Address and regulatory context.</w:t>
                  </w:r>
                </w:p>
              </w:tc>
              <w:tc>
                <w:tcPr>
                  <w:tcW w:type="dxa" w:w="11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Enterprise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Corporate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Yes</w:t>
                  </w:r>
                </w:p>
              </w:tc>
            </w:tr>
          </w:tbl>
          <w:p>
            <w:pPr>
              <w:spacing w:after="120" w:before="60"/>
              <w:jc w:val="left"/>
            </w:pPr>
            <w:r>
              <w:rPr>
                <w:rFonts w:ascii="Arial" w:cs="Arial" w:eastAsia="Arial" w:hAnsi="Arial"/>
                <w:b w:val="false"/>
                <w:bCs w:val="false"/>
                <w:i w:val="false"/>
                <w:iCs w:val="false"/>
                <w:color w:val="333333"/>
                <w:sz w:val="16"/>
                <w:szCs w:val="16"/>
              </w:rPr>
              <w:t xml:space="preserve">Notes: MDM-REF-UOM: Listed once; shared.</w:t>
            </w:r>
          </w:p>
        </w:tc>
      </w:tr>
    </w:tbl>
    <w:p>
      <w:r>
        <w:br w:type="page"/>
      </w:r>
    </w:p>
    <w:p>
      <w:pPr>
        <w:pStyle w:val="Heading1"/>
        <w:spacing w:after="200" w:before="360"/>
      </w:pPr>
      <w:r>
        <w:rPr>
          <w:rFonts w:ascii="Arial" w:cs="Arial" w:eastAsia="Arial" w:hAnsi="Arial"/>
          <w:b/>
          <w:bCs/>
          <w:color w:val="1F4E79"/>
          <w:sz w:val="28"/>
          <w:szCs w:val="28"/>
        </w:rPr>
        <w:t xml:space="preserve">9. Master Data Hierarchy</w:t>
      </w:r>
    </w:p>
    <w:p>
      <w:pPr>
        <w:spacing w:after="80" w:before="80"/>
        <w:jc w:val="left"/>
      </w:pPr>
      <w:r>
        <w:rPr>
          <w:rFonts w:ascii="Arial" w:cs="Arial" w:eastAsia="Arial" w:hAnsi="Arial"/>
          <w:b w:val="false"/>
          <w:bCs w:val="false"/>
          <w:i w:val="false"/>
          <w:iCs w:val="false"/>
          <w:color w:val="333333"/>
          <w:sz w:val="20"/>
          <w:szCs w:val="20"/>
        </w:rPr>
        <w:t xml:space="preserve">The logical hierarchy of DCOS master data is as follows:</w:t>
      </w:r>
    </w:p>
    <w:p>
      <w:pPr>
        <w:spacing w:after="80" w:before="80"/>
        <w:jc w:val="left"/>
      </w:pPr>
      <w:r>
        <w:rPr>
          <w:rFonts w:ascii="Arial" w:cs="Arial" w:eastAsia="Arial" w:hAnsi="Arial"/>
          <w:b/>
          <w:bCs/>
          <w:i w:val="false"/>
          <w:iCs w:val="false"/>
          <w:color w:val="333333"/>
          <w:sz w:val="20"/>
          <w:szCs w:val="20"/>
        </w:rPr>
        <w:t xml:space="preserve">ENTERPRISE</w:t>
      </w:r>
    </w:p>
    <w:p>
      <w:pPr>
        <w:pStyle w:val="ListParagraph"/>
        <w:numPr>
          <w:ilvl w:val="0"/>
          <w:numId w:val="2"/>
        </w:numPr>
        <w:spacing w:after="40" w:before="40"/>
      </w:pPr>
      <w:r>
        <w:rPr>
          <w:rFonts w:ascii="Arial" w:cs="Arial" w:eastAsia="Arial" w:hAnsi="Arial"/>
          <w:color w:val="333333"/>
          <w:sz w:val="20"/>
          <w:szCs w:val="20"/>
        </w:rPr>
        <w:t xml:space="preserve">Organization (Company → Business Unit → Department → Position / Team)</w:t>
      </w:r>
    </w:p>
    <w:p>
      <w:pPr>
        <w:pStyle w:val="ListParagraph"/>
        <w:numPr>
          <w:ilvl w:val="0"/>
          <w:numId w:val="2"/>
        </w:numPr>
        <w:spacing w:after="40" w:before="40"/>
      </w:pPr>
      <w:r>
        <w:rPr>
          <w:rFonts w:ascii="Arial" w:cs="Arial" w:eastAsia="Arial" w:hAnsi="Arial"/>
          <w:color w:val="333333"/>
          <w:sz w:val="20"/>
          <w:szCs w:val="20"/>
        </w:rPr>
        <w:t xml:space="preserve">Resources</w:t>
      </w:r>
    </w:p>
    <w:p>
      <w:pPr>
        <w:pStyle w:val="ListParagraph"/>
        <w:numPr>
          <w:ilvl w:val="0"/>
          <w:numId w:val="2"/>
        </w:numPr>
        <w:spacing w:after="40" w:before="40"/>
      </w:pPr>
      <w:r>
        <w:rPr>
          <w:rFonts w:ascii="Arial" w:cs="Arial" w:eastAsia="Arial" w:hAnsi="Arial"/>
          <w:color w:val="333333"/>
          <w:sz w:val="20"/>
          <w:szCs w:val="20"/>
        </w:rPr>
        <w:t xml:space="preserve">    Employee (with Skills, Trades, Certifications)</w:t>
      </w:r>
    </w:p>
    <w:p>
      <w:pPr>
        <w:pStyle w:val="ListParagraph"/>
        <w:numPr>
          <w:ilvl w:val="0"/>
          <w:numId w:val="2"/>
        </w:numPr>
        <w:spacing w:after="40" w:before="40"/>
      </w:pPr>
      <w:r>
        <w:rPr>
          <w:rFonts w:ascii="Arial" w:cs="Arial" w:eastAsia="Arial" w:hAnsi="Arial"/>
          <w:color w:val="333333"/>
          <w:sz w:val="20"/>
          <w:szCs w:val="20"/>
        </w:rPr>
        <w:t xml:space="preserve">    Equipment (with Category, Type, Model)</w:t>
      </w:r>
    </w:p>
    <w:p>
      <w:pPr>
        <w:pStyle w:val="ListParagraph"/>
        <w:numPr>
          <w:ilvl w:val="0"/>
          <w:numId w:val="2"/>
        </w:numPr>
        <w:spacing w:after="40" w:before="40"/>
      </w:pPr>
      <w:r>
        <w:rPr>
          <w:rFonts w:ascii="Arial" w:cs="Arial" w:eastAsia="Arial" w:hAnsi="Arial"/>
          <w:color w:val="333333"/>
          <w:sz w:val="20"/>
          <w:szCs w:val="20"/>
        </w:rPr>
        <w:t xml:space="preserve">    Material (with Category, Type, UOM)</w:t>
      </w:r>
    </w:p>
    <w:p>
      <w:pPr>
        <w:pStyle w:val="ListParagraph"/>
        <w:numPr>
          <w:ilvl w:val="0"/>
          <w:numId w:val="2"/>
        </w:numPr>
        <w:spacing w:after="40" w:before="40"/>
      </w:pPr>
      <w:r>
        <w:rPr>
          <w:rFonts w:ascii="Arial" w:cs="Arial" w:eastAsia="Arial" w:hAnsi="Arial"/>
          <w:color w:val="333333"/>
          <w:sz w:val="20"/>
          <w:szCs w:val="20"/>
        </w:rPr>
        <w:t xml:space="preserve">    Business Partner / Party (with Roles: Supplier, Subcontractor, Client, Consultant)</w:t>
      </w:r>
    </w:p>
    <w:p>
      <w:pPr>
        <w:pStyle w:val="ListParagraph"/>
        <w:numPr>
          <w:ilvl w:val="0"/>
          <w:numId w:val="2"/>
        </w:numPr>
        <w:spacing w:after="40" w:before="40"/>
      </w:pPr>
      <w:r>
        <w:rPr>
          <w:rFonts w:ascii="Arial" w:cs="Arial" w:eastAsia="Arial" w:hAnsi="Arial"/>
          <w:color w:val="333333"/>
          <w:sz w:val="20"/>
          <w:szCs w:val="20"/>
        </w:rPr>
        <w:t xml:space="preserve">Reference Data (Currency, UOM, Country, Discipline, Project Type, Contract Type, etc.)</w:t>
      </w:r>
    </w:p>
    <w:p>
      <w:pPr>
        <w:pStyle w:val="ListParagraph"/>
        <w:numPr>
          <w:ilvl w:val="0"/>
          <w:numId w:val="2"/>
        </w:numPr>
        <w:spacing w:after="40" w:before="40"/>
      </w:pPr>
      <w:r>
        <w:rPr>
          <w:rFonts w:ascii="Arial" w:cs="Arial" w:eastAsia="Arial" w:hAnsi="Arial"/>
          <w:color w:val="333333"/>
          <w:sz w:val="20"/>
          <w:szCs w:val="20"/>
        </w:rPr>
        <w:t xml:space="preserve">Projects</w:t>
      </w:r>
    </w:p>
    <w:p>
      <w:pPr>
        <w:pStyle w:val="ListParagraph"/>
        <w:numPr>
          <w:ilvl w:val="0"/>
          <w:numId w:val="2"/>
        </w:numPr>
        <w:spacing w:after="40" w:before="40"/>
      </w:pPr>
      <w:r>
        <w:rPr>
          <w:rFonts w:ascii="Arial" w:cs="Arial" w:eastAsia="Arial" w:hAnsi="Arial"/>
          <w:color w:val="333333"/>
          <w:sz w:val="20"/>
          <w:szCs w:val="20"/>
        </w:rPr>
        <w:t xml:space="preserve">    Project</w:t>
      </w:r>
    </w:p>
    <w:p>
      <w:pPr>
        <w:pStyle w:val="ListParagraph"/>
        <w:numPr>
          <w:ilvl w:val="0"/>
          <w:numId w:val="2"/>
        </w:numPr>
        <w:spacing w:after="40" w:before="40"/>
      </w:pPr>
      <w:r>
        <w:rPr>
          <w:rFonts w:ascii="Arial" w:cs="Arial" w:eastAsia="Arial" w:hAnsi="Arial"/>
          <w:color w:val="333333"/>
          <w:sz w:val="20"/>
          <w:szCs w:val="20"/>
        </w:rPr>
        <w:t xml:space="preserve">        WBS (Building → Level → Zone → Room / Work Package)</w:t>
      </w:r>
    </w:p>
    <w:p>
      <w:pPr>
        <w:pStyle w:val="ListParagraph"/>
        <w:numPr>
          <w:ilvl w:val="0"/>
          <w:numId w:val="2"/>
        </w:numPr>
        <w:spacing w:after="40" w:before="40"/>
      </w:pPr>
      <w:r>
        <w:rPr>
          <w:rFonts w:ascii="Arial" w:cs="Arial" w:eastAsia="Arial" w:hAnsi="Arial"/>
          <w:color w:val="333333"/>
          <w:sz w:val="20"/>
          <w:szCs w:val="20"/>
        </w:rPr>
        <w:t xml:space="preserve">        Cost Structure (Cost Codes, Cost Categories)</w:t>
      </w:r>
    </w:p>
    <w:p>
      <w:pPr>
        <w:pStyle w:val="ListParagraph"/>
        <w:numPr>
          <w:ilvl w:val="0"/>
          <w:numId w:val="2"/>
        </w:numPr>
        <w:spacing w:after="40" w:before="40"/>
      </w:pPr>
      <w:r>
        <w:rPr>
          <w:rFonts w:ascii="Arial" w:cs="Arial" w:eastAsia="Arial" w:hAnsi="Arial"/>
          <w:color w:val="333333"/>
          <w:sz w:val="20"/>
          <w:szCs w:val="20"/>
        </w:rPr>
        <w:t xml:space="preserve">        BOQ / BOQ Items</w:t>
      </w:r>
    </w:p>
    <w:p>
      <w:pPr>
        <w:pStyle w:val="ListParagraph"/>
        <w:numPr>
          <w:ilvl w:val="0"/>
          <w:numId w:val="2"/>
        </w:numPr>
        <w:spacing w:after="40" w:before="40"/>
      </w:pPr>
      <w:r>
        <w:rPr>
          <w:rFonts w:ascii="Arial" w:cs="Arial" w:eastAsia="Arial" w:hAnsi="Arial"/>
          <w:color w:val="333333"/>
          <w:sz w:val="20"/>
          <w:szCs w:val="20"/>
        </w:rPr>
        <w:t xml:space="preserve">        Project Contracts</w:t>
      </w:r>
    </w:p>
    <w:p>
      <w:pPr>
        <w:pStyle w:val="ListParagraph"/>
        <w:numPr>
          <w:ilvl w:val="0"/>
          <w:numId w:val="2"/>
        </w:numPr>
        <w:spacing w:after="40" w:before="40"/>
      </w:pPr>
      <w:r>
        <w:rPr>
          <w:rFonts w:ascii="Arial" w:cs="Arial" w:eastAsia="Arial" w:hAnsi="Arial"/>
          <w:color w:val="333333"/>
          <w:sz w:val="20"/>
          <w:szCs w:val="20"/>
        </w:rPr>
        <w:t xml:space="preserve">        Handover Packages / Assets</w:t>
      </w:r>
    </w:p>
    <w:p>
      <w:pPr>
        <w:spacing w:after="80" w:before="80"/>
        <w:jc w:val="left"/>
      </w:pPr>
      <w:r>
        <w:rPr>
          <w:rFonts w:ascii="Arial" w:cs="Arial" w:eastAsia="Arial" w:hAnsi="Arial"/>
          <w:b w:val="false"/>
          <w:bCs w:val="false"/>
          <w:i w:val="false"/>
          <w:iCs w:val="false"/>
          <w:color w:val="333333"/>
          <w:sz w:val="20"/>
          <w:szCs w:val="20"/>
        </w:rPr>
        <w:t xml:space="preserve">Global master records (Material, Party, Employee, Equipment) are reused by projects. Project-specific attributes and structures (WBS, BOQ, project cost codes) remain controlled at project level while referencing enterprise masters.</w:t>
      </w:r>
    </w:p>
    <w:p>
      <w:pPr>
        <w:pStyle w:val="Heading1"/>
        <w:spacing w:after="200" w:before="360"/>
      </w:pPr>
      <w:r>
        <w:rPr>
          <w:rFonts w:ascii="Arial" w:cs="Arial" w:eastAsia="Arial" w:hAnsi="Arial"/>
          <w:b/>
          <w:bCs/>
          <w:color w:val="1F4E79"/>
          <w:sz w:val="28"/>
          <w:szCs w:val="28"/>
        </w:rPr>
        <w:t xml:space="preserve">10. Master Data Relationships</w:t>
      </w:r>
    </w:p>
    <w:p>
      <w:pPr>
        <w:spacing w:after="80" w:before="80"/>
        <w:jc w:val="left"/>
      </w:pPr>
      <w:r>
        <w:rPr>
          <w:rFonts w:ascii="Arial" w:cs="Arial" w:eastAsia="Arial" w:hAnsi="Arial"/>
          <w:b w:val="false"/>
          <w:bCs w:val="false"/>
          <w:i w:val="false"/>
          <w:iCs w:val="false"/>
          <w:color w:val="333333"/>
          <w:sz w:val="20"/>
          <w:szCs w:val="20"/>
        </w:rPr>
        <w:t xml:space="preserve">High-level relationships between major master entities:</w:t>
      </w:r>
    </w:p>
    <w:p>
      <w:pPr>
        <w:pStyle w:val="Heading3"/>
        <w:spacing w:after="100" w:before="200"/>
      </w:pPr>
      <w:r>
        <w:rPr>
          <w:rFonts w:ascii="Arial" w:cs="Arial" w:eastAsia="Arial" w:hAnsi="Arial"/>
          <w:b/>
          <w:bCs/>
          <w:color w:val="2E75B6"/>
          <w:sz w:val="22"/>
          <w:szCs w:val="22"/>
        </w:rPr>
        <w:t xml:space="preserve">10.1 Structural Chain</w:t>
      </w:r>
    </w:p>
    <w:p>
      <w:pPr>
        <w:spacing w:after="80" w:before="80"/>
        <w:jc w:val="left"/>
      </w:pPr>
      <w:r>
        <w:rPr>
          <w:rFonts w:ascii="Arial" w:cs="Arial" w:eastAsia="Arial" w:hAnsi="Arial"/>
          <w:b w:val="false"/>
          <w:bCs w:val="false"/>
          <w:i w:val="false"/>
          <w:iCs w:val="false"/>
          <w:color w:val="333333"/>
          <w:sz w:val="20"/>
          <w:szCs w:val="20"/>
        </w:rPr>
        <w:t xml:space="preserve">Organization → Project → WBS → (Building / Level / Zone / Room) → Cost Code → (BOQ, Material, Labor, Equipment)</w:t>
      </w:r>
    </w:p>
    <w:p>
      <w:pPr>
        <w:pStyle w:val="Heading3"/>
        <w:spacing w:after="100" w:before="200"/>
      </w:pPr>
      <w:r>
        <w:rPr>
          <w:rFonts w:ascii="Arial" w:cs="Arial" w:eastAsia="Arial" w:hAnsi="Arial"/>
          <w:b/>
          <w:bCs/>
          <w:color w:val="2E75B6"/>
          <w:sz w:val="22"/>
          <w:szCs w:val="22"/>
        </w:rPr>
        <w:t xml:space="preserve">10.2 Commercial &amp; Logistics Chain</w:t>
      </w:r>
    </w:p>
    <w:p>
      <w:pPr>
        <w:spacing w:after="80" w:before="80"/>
        <w:jc w:val="left"/>
      </w:pPr>
      <w:r>
        <w:rPr>
          <w:rFonts w:ascii="Arial" w:cs="Arial" w:eastAsia="Arial" w:hAnsi="Arial"/>
          <w:b w:val="false"/>
          <w:bCs w:val="false"/>
          <w:i w:val="false"/>
          <w:iCs w:val="false"/>
          <w:color w:val="333333"/>
          <w:sz w:val="20"/>
          <w:szCs w:val="20"/>
        </w:rPr>
        <w:t xml:space="preserve">Business Partner (Supplier) → Material → Procurement → Inventory (Warehouse / Storage Location) → Project → Cost Control → Finance</w:t>
      </w:r>
    </w:p>
    <w:p>
      <w:pPr>
        <w:pStyle w:val="Heading3"/>
        <w:spacing w:after="100" w:before="200"/>
      </w:pPr>
      <w:r>
        <w:rPr>
          <w:rFonts w:ascii="Arial" w:cs="Arial" w:eastAsia="Arial" w:hAnsi="Arial"/>
          <w:b/>
          <w:bCs/>
          <w:color w:val="2E75B6"/>
          <w:sz w:val="22"/>
          <w:szCs w:val="22"/>
        </w:rPr>
        <w:t xml:space="preserve">10.3 Workforce &amp; Equipment</w:t>
      </w:r>
    </w:p>
    <w:p>
      <w:pPr>
        <w:spacing w:after="80" w:before="80"/>
        <w:jc w:val="left"/>
      </w:pPr>
      <w:r>
        <w:rPr>
          <w:rFonts w:ascii="Arial" w:cs="Arial" w:eastAsia="Arial" w:hAnsi="Arial"/>
          <w:b w:val="false"/>
          <w:bCs w:val="false"/>
          <w:i w:val="false"/>
          <w:iCs w:val="false"/>
          <w:color w:val="333333"/>
          <w:sz w:val="20"/>
          <w:szCs w:val="20"/>
        </w:rPr>
        <w:t xml:space="preserve">Employee / Equipment → assigned to Project / WBS → consumed in Construction activities → costed via Cost Code → Finance</w:t>
      </w:r>
    </w:p>
    <w:p>
      <w:pPr>
        <w:spacing w:after="80" w:before="80"/>
        <w:jc w:val="left"/>
      </w:pPr>
      <w:r>
        <w:rPr>
          <w:rFonts w:ascii="Arial" w:cs="Arial" w:eastAsia="Arial" w:hAnsi="Arial"/>
          <w:b w:val="false"/>
          <w:bCs w:val="false"/>
          <w:i w:val="false"/>
          <w:iCs w:val="false"/>
          <w:color w:val="333333"/>
          <w:sz w:val="20"/>
          <w:szCs w:val="20"/>
        </w:rPr>
        <w:t xml:space="preserve">Detailed ERD and cardinality belong in the Data Dictionary and technical design, not in this catalogue.</w:t>
      </w:r>
    </w:p>
    <w:p>
      <w:pPr>
        <w:pStyle w:val="Heading1"/>
        <w:spacing w:after="200" w:before="360"/>
      </w:pPr>
      <w:r>
        <w:rPr>
          <w:rFonts w:ascii="Arial" w:cs="Arial" w:eastAsia="Arial" w:hAnsi="Arial"/>
          <w:b/>
          <w:bCs/>
          <w:color w:val="1F4E79"/>
          <w:sz w:val="28"/>
          <w:szCs w:val="28"/>
        </w:rPr>
        <w:t xml:space="preserve">11. Enterprise vs Project Master Data</w:t>
      </w:r>
    </w:p>
    <w:p>
      <w:pPr>
        <w:pStyle w:val="Heading2"/>
        <w:spacing w:after="140" w:before="280"/>
      </w:pPr>
      <w:r>
        <w:rPr>
          <w:rFonts w:ascii="Arial" w:cs="Arial" w:eastAsia="Arial" w:hAnsi="Arial"/>
          <w:b/>
          <w:bCs/>
          <w:color w:val="1F4E79"/>
          <w:sz w:val="24"/>
          <w:szCs w:val="24"/>
        </w:rPr>
        <w:t xml:space="preserve">11.1 Enterprise-wide</w:t>
      </w:r>
    </w:p>
    <w:p>
      <w:pPr>
        <w:spacing w:after="80" w:before="80"/>
        <w:jc w:val="left"/>
      </w:pPr>
      <w:r>
        <w:rPr>
          <w:rFonts w:ascii="Arial" w:cs="Arial" w:eastAsia="Arial" w:hAnsi="Arial"/>
          <w:b w:val="false"/>
          <w:bCs w:val="false"/>
          <w:i w:val="false"/>
          <w:iCs w:val="false"/>
          <w:color w:val="333333"/>
          <w:sz w:val="20"/>
          <w:szCs w:val="20"/>
        </w:rPr>
        <w:t xml:space="preserve">Shared across the organization and reusable by multiple projects: Material, Business Partner (Supplier/Subcontractor/Client), Employee, Equipment, Company, Department, Currency, UOM, Discipline, Project Type, Contract Type, Payment Term, Document Type, Inspection Type, Hazard Category, and similar reference data.</w:t>
      </w:r>
    </w:p>
    <w:p>
      <w:pPr>
        <w:pStyle w:val="Heading2"/>
        <w:spacing w:after="140" w:before="280"/>
      </w:pPr>
      <w:r>
        <w:rPr>
          <w:rFonts w:ascii="Arial" w:cs="Arial" w:eastAsia="Arial" w:hAnsi="Arial"/>
          <w:b/>
          <w:bCs/>
          <w:color w:val="1F4E79"/>
          <w:sz w:val="24"/>
          <w:szCs w:val="24"/>
        </w:rPr>
        <w:t xml:space="preserve">11.2 Project-specific</w:t>
      </w:r>
    </w:p>
    <w:p>
      <w:pPr>
        <w:spacing w:after="80" w:before="80"/>
        <w:jc w:val="left"/>
      </w:pPr>
      <w:r>
        <w:rPr>
          <w:rFonts w:ascii="Arial" w:cs="Arial" w:eastAsia="Arial" w:hAnsi="Arial"/>
          <w:b w:val="false"/>
          <w:bCs w:val="false"/>
          <w:i w:val="false"/>
          <w:iCs w:val="false"/>
          <w:color w:val="333333"/>
          <w:sz w:val="20"/>
          <w:szCs w:val="20"/>
        </w:rPr>
        <w:t xml:space="preserve">Created or controlled primarily for a single project: Project, WBS, Building, Level, Zone, Project BOQ, Project Cost Code extensions, Design Packages, Handover Packages.</w:t>
      </w:r>
    </w:p>
    <w:p>
      <w:pPr>
        <w:pStyle w:val="Heading2"/>
        <w:spacing w:after="140" w:before="280"/>
      </w:pPr>
      <w:r>
        <w:rPr>
          <w:rFonts w:ascii="Arial" w:cs="Arial" w:eastAsia="Arial" w:hAnsi="Arial"/>
          <w:b/>
          <w:bCs/>
          <w:color w:val="1F4E79"/>
          <w:sz w:val="24"/>
          <w:szCs w:val="24"/>
        </w:rPr>
        <w:t xml:space="preserve">11.3 Shared / Hybrid</w:t>
      </w:r>
    </w:p>
    <w:p>
      <w:pPr>
        <w:spacing w:after="80" w:before="80"/>
        <w:jc w:val="left"/>
      </w:pPr>
      <w:r>
        <w:rPr>
          <w:rFonts w:ascii="Arial" w:cs="Arial" w:eastAsia="Arial" w:hAnsi="Arial"/>
          <w:b w:val="false"/>
          <w:bCs w:val="false"/>
          <w:i w:val="false"/>
          <w:iCs w:val="false"/>
          <w:color w:val="333333"/>
          <w:sz w:val="20"/>
          <w:szCs w:val="20"/>
        </w:rPr>
        <w:t xml:space="preserve">Enterprise masters are referenced by projects; projects may hold project-specific attributes, allocations, or extensions without cloning the enterprise record. Example: a Material is enterprise master; a project may hold project-specific procurement or quantity planning data that references that Material.</w:t>
      </w:r>
    </w:p>
    <w:p>
      <w:pPr>
        <w:pStyle w:val="Heading1"/>
        <w:spacing w:after="200" w:before="360"/>
      </w:pPr>
      <w:r>
        <w:rPr>
          <w:rFonts w:ascii="Arial" w:cs="Arial" w:eastAsia="Arial" w:hAnsi="Arial"/>
          <w:b/>
          <w:bCs/>
          <w:color w:val="1F4E79"/>
          <w:sz w:val="28"/>
          <w:szCs w:val="28"/>
        </w:rPr>
        <w:t xml:space="preserve">12. Master Data Ownership</w:t>
      </w:r>
    </w:p>
    <w:p>
      <w:pPr>
        <w:spacing w:after="80" w:before="80"/>
        <w:jc w:val="left"/>
      </w:pPr>
      <w:r>
        <w:rPr>
          <w:rFonts w:ascii="Arial" w:cs="Arial" w:eastAsia="Arial" w:hAnsi="Arial"/>
          <w:b w:val="false"/>
          <w:bCs w:val="false"/>
          <w:i w:val="false"/>
          <w:iCs w:val="false"/>
          <w:color w:val="333333"/>
          <w:sz w:val="20"/>
          <w:szCs w:val="20"/>
        </w:rPr>
        <w:t xml:space="preserve">Primary ownership at catalogue level (detailed RACI is outside this document):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Domain</w:t>
            </w:r>
          </w:p>
        </w:tc>
        <w:tc>
          <w:tcPr>
            <w:tcW w:type="dxa" w:w="7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Typical Primary Owner</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Organization</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Corporate / HR</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Project</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 Management</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WBS / Project Structure</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Planning / Project Controls</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Location / Warehouse</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Operations / Warehouse / Project Management</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Business Partner / Party</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Procurement / Commercial (with Finance)</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Material</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Procurement / QS</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Employee / Workforce</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HR</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Equipment</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Equipment / Operations</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Cost Code / Cost Structure</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Finance / Project Controls</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BOQ</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Quantity Surveying</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Document</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Document Control</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Design / BIM Classification</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Engineering / BIM</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QA/QC Classifications</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QA/QC</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HSE Classifications</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HSE</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Finance (GL, Cost Centre)</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Finance</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Contract</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Commercial / Legal</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Handover / DLP</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 Management / Handover</w:t>
            </w:r>
          </w:p>
        </w:tc>
      </w:tr>
    </w:tbl>
    <w:p>
      <w:pPr>
        <w:pStyle w:val="Heading1"/>
        <w:spacing w:after="200" w:before="360"/>
      </w:pPr>
      <w:r>
        <w:rPr>
          <w:rFonts w:ascii="Arial" w:cs="Arial" w:eastAsia="Arial" w:hAnsi="Arial"/>
          <w:b/>
          <w:bCs/>
          <w:color w:val="1F4E79"/>
          <w:sz w:val="28"/>
          <w:szCs w:val="28"/>
        </w:rPr>
        <w:t xml:space="preserve">13. DCOS Module Consumption</w:t>
      </w:r>
    </w:p>
    <w:p>
      <w:pPr>
        <w:spacing w:after="80" w:before="80"/>
        <w:jc w:val="left"/>
      </w:pPr>
      <w:r>
        <w:rPr>
          <w:rFonts w:ascii="Arial" w:cs="Arial" w:eastAsia="Arial" w:hAnsi="Arial"/>
          <w:b w:val="false"/>
          <w:bCs w:val="false"/>
          <w:i w:val="false"/>
          <w:iCs w:val="false"/>
          <w:color w:val="333333"/>
          <w:sz w:val="20"/>
          <w:szCs w:val="20"/>
        </w:rPr>
        <w:t xml:space="preserve">High-level matrix of major master data consumed by primary DCOS modules (✓ = primary consumer):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850"/>
        <w:gridCol w:w="850"/>
        <w:gridCol w:w="850"/>
        <w:gridCol w:w="850"/>
        <w:gridCol w:w="900"/>
        <w:gridCol w:w="850"/>
        <w:gridCol w:w="850"/>
        <w:gridCol w:w="850"/>
        <w:gridCol w:w="950"/>
      </w:tblGrid>
      <w:tr>
        <w:tc>
          <w:tcPr>
            <w:tcW w:type="dxa" w:w="2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Master Data</w:t>
            </w:r>
          </w:p>
        </w:tc>
        <w:tc>
          <w:tcPr>
            <w:tcW w:type="dxa" w:w="85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Plan</w:t>
            </w:r>
          </w:p>
        </w:tc>
        <w:tc>
          <w:tcPr>
            <w:tcW w:type="dxa" w:w="85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QS</w:t>
            </w:r>
          </w:p>
        </w:tc>
        <w:tc>
          <w:tcPr>
            <w:tcW w:type="dxa" w:w="85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Proc</w:t>
            </w:r>
          </w:p>
        </w:tc>
        <w:tc>
          <w:tcPr>
            <w:tcW w:type="dxa" w:w="85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Inv</w:t>
            </w:r>
          </w:p>
        </w:tc>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Const</w:t>
            </w:r>
          </w:p>
        </w:tc>
        <w:tc>
          <w:tcPr>
            <w:tcW w:type="dxa" w:w="85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Fin</w:t>
            </w:r>
          </w:p>
        </w:tc>
        <w:tc>
          <w:tcPr>
            <w:tcW w:type="dxa" w:w="85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HR</w:t>
            </w:r>
          </w:p>
        </w:tc>
        <w:tc>
          <w:tcPr>
            <w:tcW w:type="dxa" w:w="85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HSE</w:t>
            </w:r>
          </w:p>
        </w:tc>
        <w:tc>
          <w:tcPr>
            <w:tcW w:type="dxa" w:w="95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Doc</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Project</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9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r>
      <w:tr>
        <w:tc>
          <w:tcPr>
            <w:tcW w:type="dxa" w:w="2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WBS</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Material</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r>
      <w:tr>
        <w:tc>
          <w:tcPr>
            <w:tcW w:type="dxa" w:w="2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Business Partner</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Employee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9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r>
      <w:tr>
        <w:tc>
          <w:tcPr>
            <w:tcW w:type="dxa" w:w="2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Equipment</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Cost Code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r>
      <w:tr>
        <w:tc>
          <w:tcPr>
            <w:tcW w:type="dxa" w:w="2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BOQ</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Contract</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r>
      <w:tr>
        <w:tc>
          <w:tcPr>
            <w:tcW w:type="dxa" w:w="2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Document Type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9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4"/>
                <w:szCs w:val="14"/>
              </w:rPr>
              <w:t xml:space="preserve">Warehouse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9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r>
      <w:tr>
        <w:tc>
          <w:tcPr>
            <w:tcW w:type="dxa" w:w="2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4"/>
                <w:szCs w:val="14"/>
              </w:rPr>
              <w:t xml:space="preserve">Discipline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8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
            </w:r>
          </w:p>
        </w:tc>
        <w:tc>
          <w:tcPr>
            <w:tcW w:type="dxa" w:w="95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4"/>
                <w:szCs w:val="14"/>
              </w:rPr>
              <w:t xml:space="preserve">✓</w:t>
            </w:r>
          </w:p>
        </w:tc>
      </w:tr>
    </w:tbl>
    <w:p>
      <w:pPr>
        <w:pStyle w:val="Heading1"/>
        <w:spacing w:after="200" w:before="360"/>
      </w:pPr>
      <w:r>
        <w:rPr>
          <w:rFonts w:ascii="Arial" w:cs="Arial" w:eastAsia="Arial" w:hAnsi="Arial"/>
          <w:b/>
          <w:bCs/>
          <w:color w:val="1F4E79"/>
          <w:sz w:val="28"/>
          <w:szCs w:val="28"/>
        </w:rPr>
        <w:t xml:space="preserve">14. System of Record</w:t>
      </w:r>
    </w:p>
    <w:p>
      <w:pPr>
        <w:spacing w:after="80" w:before="80"/>
        <w:jc w:val="left"/>
      </w:pPr>
      <w:r>
        <w:rPr>
          <w:rFonts w:ascii="Arial" w:cs="Arial" w:eastAsia="Arial" w:hAnsi="Arial"/>
          <w:b w:val="false"/>
          <w:bCs w:val="false"/>
          <w:i w:val="false"/>
          <w:iCs w:val="false"/>
          <w:color w:val="333333"/>
          <w:sz w:val="20"/>
          <w:szCs w:val="20"/>
        </w:rPr>
        <w:t xml:space="preserve">For each major domain, the authoritative System of Record (SoR) must be explicit. Where an external corporate ERP, HR, or accounting system is authoritative, DCOS SHALL integrate to that SoR and SHALL NOT maintain a conflicting parallel master.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Domain</w:t>
            </w:r>
          </w:p>
        </w:tc>
        <w:tc>
          <w:tcPr>
            <w:tcW w:type="dxa" w:w="7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System of Record</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Project</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Project Master</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WBS</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WBS Master</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Material</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Material Master (unless corporate ERP is designated SoR)</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Business Partner / Party</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Party Master (or corporate ERP if designated)</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Employee</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HR System of Record (DCOS may hold operational copy; SoR must be explicit)</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Equipment</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Equipment Master (or asset system if designated)</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Cost Code</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Cost Master / Project Controls (GL accounts may be external)</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BOQ</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QS / BOQ Master</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Contract</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Contract Master (or legal system if designated)</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Document Type / Metadata</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DCOS Document Control</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GL Account</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External Accounting / ERP if designated; otherwise DCOS Finance</w:t>
            </w:r>
          </w:p>
        </w:tc>
      </w:tr>
    </w:tbl>
    <w:p>
      <w:pPr>
        <w:pStyle w:val="Heading1"/>
        <w:spacing w:after="200" w:before="360"/>
      </w:pPr>
      <w:r>
        <w:rPr>
          <w:rFonts w:ascii="Arial" w:cs="Arial" w:eastAsia="Arial" w:hAnsi="Arial"/>
          <w:b/>
          <w:bCs/>
          <w:color w:val="1F4E79"/>
          <w:sz w:val="28"/>
          <w:szCs w:val="28"/>
        </w:rPr>
        <w:t xml:space="preserve">15. Master Data vs Transaction Data</w:t>
      </w:r>
    </w:p>
    <w:p>
      <w:pPr>
        <w:pStyle w:val="Heading2"/>
        <w:spacing w:after="140" w:before="280"/>
      </w:pPr>
      <w:r>
        <w:rPr>
          <w:rFonts w:ascii="Arial" w:cs="Arial" w:eastAsia="Arial" w:hAnsi="Arial"/>
          <w:b/>
          <w:bCs/>
          <w:color w:val="1F4E79"/>
          <w:sz w:val="24"/>
          <w:szCs w:val="24"/>
        </w:rPr>
        <w:t xml:space="preserve">15.1 Master Data</w:t>
      </w:r>
    </w:p>
    <w:p>
      <w:pPr>
        <w:spacing w:after="80" w:before="80"/>
        <w:jc w:val="left"/>
      </w:pPr>
      <w:r>
        <w:rPr>
          <w:rFonts w:ascii="Arial" w:cs="Arial" w:eastAsia="Arial" w:hAnsi="Arial"/>
          <w:b w:val="false"/>
          <w:bCs w:val="false"/>
          <w:i w:val="false"/>
          <w:iCs w:val="false"/>
          <w:color w:val="333333"/>
          <w:sz w:val="20"/>
          <w:szCs w:val="20"/>
        </w:rPr>
        <w:t xml:space="preserve">Relatively stable business entities that define the who, what, and where of the business: Material, Business Partner, Employee, Equipment, Project, WBS, Cost Code, Contract (header), Warehouse.</w:t>
      </w:r>
    </w:p>
    <w:p>
      <w:pPr>
        <w:pStyle w:val="Heading2"/>
        <w:spacing w:after="140" w:before="280"/>
      </w:pPr>
      <w:r>
        <w:rPr>
          <w:rFonts w:ascii="Arial" w:cs="Arial" w:eastAsia="Arial" w:hAnsi="Arial"/>
          <w:b/>
          <w:bCs/>
          <w:color w:val="1F4E79"/>
          <w:sz w:val="24"/>
          <w:szCs w:val="24"/>
        </w:rPr>
        <w:t xml:space="preserve">15.2 Transaction Data</w:t>
      </w:r>
    </w:p>
    <w:p>
      <w:pPr>
        <w:spacing w:after="80" w:before="80"/>
        <w:jc w:val="left"/>
      </w:pPr>
      <w:r>
        <w:rPr>
          <w:rFonts w:ascii="Arial" w:cs="Arial" w:eastAsia="Arial" w:hAnsi="Arial"/>
          <w:b w:val="false"/>
          <w:bCs w:val="false"/>
          <w:i w:val="false"/>
          <w:iCs w:val="false"/>
          <w:color w:val="333333"/>
          <w:sz w:val="20"/>
          <w:szCs w:val="20"/>
        </w:rPr>
        <w:t xml:space="preserve">Business events that reference master data: Purchase Request, Purchase Order, Goods Receipt, Material Issue, Invoice, Payment, Timesheet, Inspection, NCR, RFQ, Payment Certificate, Claim, Incident Report.</w:t>
      </w:r>
    </w:p>
    <w:p>
      <w:pPr>
        <w:spacing w:after="80" w:before="80"/>
        <w:jc w:val="left"/>
      </w:pPr>
      <w:r>
        <w:rPr>
          <w:rFonts w:ascii="Arial" w:cs="Arial" w:eastAsia="Arial" w:hAnsi="Arial"/>
          <w:b w:val="false"/>
          <w:bCs w:val="false"/>
          <w:i w:val="false"/>
          <w:iCs w:val="false"/>
          <w:color w:val="333333"/>
          <w:sz w:val="20"/>
          <w:szCs w:val="20"/>
        </w:rPr>
        <w:t xml:space="preserve">Transactions SHALL reference master data and SHALL NOT recreate master entities. Example flow:</w:t>
      </w:r>
    </w:p>
    <w:p>
      <w:pPr>
        <w:spacing w:after="80" w:before="80"/>
        <w:jc w:val="left"/>
      </w:pPr>
      <w:r>
        <w:rPr>
          <w:rFonts w:ascii="Arial" w:cs="Arial" w:eastAsia="Arial" w:hAnsi="Arial"/>
          <w:b w:val="false"/>
          <w:bCs w:val="false"/>
          <w:i w:val="false"/>
          <w:iCs w:val="false"/>
          <w:color w:val="333333"/>
          <w:sz w:val="20"/>
          <w:szCs w:val="20"/>
        </w:rPr>
        <w:t xml:space="preserve">Material Master → Purchase Request → Purchase Order → Goods Receipt → Inventory → Material Issue → Project Cost</w:t>
      </w:r>
    </w:p>
    <w:p>
      <w:pPr>
        <w:spacing w:after="80" w:before="80"/>
        <w:jc w:val="left"/>
      </w:pPr>
      <w:r>
        <w:rPr>
          <w:rFonts w:ascii="Arial" w:cs="Arial" w:eastAsia="Arial" w:hAnsi="Arial"/>
          <w:b w:val="false"/>
          <w:bCs w:val="false"/>
          <w:i w:val="false"/>
          <w:iCs w:val="false"/>
          <w:color w:val="333333"/>
          <w:sz w:val="20"/>
          <w:szCs w:val="20"/>
        </w:rPr>
        <w:t xml:space="preserve">Each step references Material (and Party, Project, Cost Code, Warehouse as applicable); none of those steps create a new Material Master.</w:t>
      </w:r>
    </w:p>
    <w:p>
      <w:pPr>
        <w:pStyle w:val="Heading1"/>
        <w:spacing w:after="200" w:before="360"/>
      </w:pPr>
      <w:r>
        <w:rPr>
          <w:rFonts w:ascii="Arial" w:cs="Arial" w:eastAsia="Arial" w:hAnsi="Arial"/>
          <w:b/>
          <w:bCs/>
          <w:color w:val="1F4E79"/>
          <w:sz w:val="28"/>
          <w:szCs w:val="28"/>
        </w:rPr>
        <w:t xml:space="preserve">16. Master Data vs Reference Data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00"/>
      </w:tblGrid>
      <w:tr>
        <w:tc>
          <w:tcPr>
            <w:tcW w:type="dxa" w:w="2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Object</w:t>
            </w:r>
          </w:p>
        </w:tc>
        <w:tc>
          <w:tcPr>
            <w:tcW w:type="dxa" w:w="2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Classification</w:t>
            </w:r>
          </w:p>
        </w:tc>
        <w:tc>
          <w:tcPr>
            <w:tcW w:type="dxa" w:w="5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Reasoning</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Material</w:t>
            </w:r>
          </w:p>
        </w:tc>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Master Data</w:t>
            </w:r>
          </w:p>
        </w:tc>
        <w:tc>
          <w:tcPr>
            <w:tcW w:type="dxa" w:w="5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Primary business object procured, stocked, and costed.</w:t>
            </w:r>
          </w:p>
        </w:tc>
      </w:tr>
      <w:tr>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Unit of Measure</w:t>
            </w:r>
          </w:p>
        </w:tc>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Reference Data</w:t>
            </w:r>
          </w:p>
        </w:tc>
        <w:tc>
          <w:tcPr>
            <w:tcW w:type="dxa" w:w="5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Classification/list used by Material, BOQ, and transactions.</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Business Partner</w:t>
            </w:r>
          </w:p>
        </w:tc>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Master Data</w:t>
            </w:r>
          </w:p>
        </w:tc>
        <w:tc>
          <w:tcPr>
            <w:tcW w:type="dxa" w:w="5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Primary party with whom the enterprise transacts.</w:t>
            </w:r>
          </w:p>
        </w:tc>
      </w:tr>
      <w:tr>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Currency</w:t>
            </w:r>
          </w:p>
        </w:tc>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Reference Data</w:t>
            </w:r>
          </w:p>
        </w:tc>
        <w:tc>
          <w:tcPr>
            <w:tcW w:type="dxa" w:w="5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Code list for multi-currency processing.</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Project</w:t>
            </w:r>
          </w:p>
        </w:tc>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Master Data</w:t>
            </w:r>
          </w:p>
        </w:tc>
        <w:tc>
          <w:tcPr>
            <w:tcW w:type="dxa" w:w="5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Primary container for project work and data.</w:t>
            </w:r>
          </w:p>
        </w:tc>
      </w:tr>
      <w:tr>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Project Status</w:t>
            </w:r>
          </w:p>
        </w:tc>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Reference Data</w:t>
            </w:r>
          </w:p>
        </w:tc>
        <w:tc>
          <w:tcPr>
            <w:tcW w:type="dxa" w:w="5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Controlled status values applied to Project.</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Employee</w:t>
            </w:r>
          </w:p>
        </w:tc>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Master Data</w:t>
            </w:r>
          </w:p>
        </w:tc>
        <w:tc>
          <w:tcPr>
            <w:tcW w:type="dxa" w:w="5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Primary person record for workforce.</w:t>
            </w:r>
          </w:p>
        </w:tc>
      </w:tr>
      <w:tr>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Trade</w:t>
            </w:r>
          </w:p>
        </w:tc>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Reference Data</w:t>
            </w:r>
          </w:p>
        </w:tc>
        <w:tc>
          <w:tcPr>
            <w:tcW w:type="dxa" w:w="5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Classification of skills/trades.</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Contract</w:t>
            </w:r>
          </w:p>
        </w:tc>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Master Data</w:t>
            </w:r>
          </w:p>
        </w:tc>
        <w:tc>
          <w:tcPr>
            <w:tcW w:type="dxa" w:w="5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Commercial agreement header.</w:t>
            </w:r>
          </w:p>
        </w:tc>
      </w:tr>
      <w:tr>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Contract Type</w:t>
            </w:r>
          </w:p>
        </w:tc>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Reference Data</w:t>
            </w:r>
          </w:p>
        </w:tc>
        <w:tc>
          <w:tcPr>
            <w:tcW w:type="dxa" w:w="5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Classification of contracts.</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Inspection record</w:t>
            </w:r>
          </w:p>
        </w:tc>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Transaction</w:t>
            </w:r>
          </w:p>
        </w:tc>
        <w:tc>
          <w:tcPr>
            <w:tcW w:type="dxa" w:w="5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Event referencing Inspection Type and Project/WBS.</w:t>
            </w:r>
          </w:p>
        </w:tc>
      </w:tr>
      <w:tr>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Purchase Order</w:t>
            </w:r>
          </w:p>
        </w:tc>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Transaction</w:t>
            </w:r>
          </w:p>
        </w:tc>
        <w:tc>
          <w:tcPr>
            <w:tcW w:type="dxa" w:w="5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Event referencing Party, Material, Project, Cost Code.</w:t>
            </w:r>
          </w:p>
        </w:tc>
      </w:tr>
    </w:tbl>
    <w:p>
      <w:pPr>
        <w:spacing w:after="80" w:before="80"/>
        <w:jc w:val="left"/>
      </w:pPr>
      <w:r>
        <w:rPr>
          <w:rFonts w:ascii="Arial" w:cs="Arial" w:eastAsia="Arial" w:hAnsi="Arial"/>
          <w:b w:val="false"/>
          <w:bCs w:val="false"/>
          <w:i w:val="false"/>
          <w:iCs w:val="false"/>
          <w:color w:val="333333"/>
          <w:sz w:val="20"/>
          <w:szCs w:val="20"/>
        </w:rPr>
        <w:t xml:space="preserve">Reference data is controlled and shared, but it is typically a classification or code list rather than the primary business object that modules create and manage as a core entity. Not every dropdown is elevated to master-data governance; only those that require cross-module consistency and formal ownership.</w:t>
      </w:r>
    </w:p>
    <w:p>
      <w:pPr>
        <w:pStyle w:val="Heading1"/>
        <w:spacing w:after="200" w:before="360"/>
      </w:pPr>
      <w:r>
        <w:rPr>
          <w:rFonts w:ascii="Arial" w:cs="Arial" w:eastAsia="Arial" w:hAnsi="Arial"/>
          <w:b/>
          <w:bCs/>
          <w:color w:val="1F4E79"/>
          <w:sz w:val="28"/>
          <w:szCs w:val="28"/>
        </w:rPr>
        <w:t xml:space="preserve">17. Master Data Lifecycle</w:t>
      </w:r>
    </w:p>
    <w:p>
      <w:pPr>
        <w:spacing w:after="80" w:before="80"/>
        <w:jc w:val="left"/>
      </w:pPr>
      <w:r>
        <w:rPr>
          <w:rFonts w:ascii="Arial" w:cs="Arial" w:eastAsia="Arial" w:hAnsi="Arial"/>
          <w:b w:val="false"/>
          <w:bCs w:val="false"/>
          <w:i w:val="false"/>
          <w:iCs w:val="false"/>
          <w:color w:val="333333"/>
          <w:sz w:val="20"/>
          <w:szCs w:val="20"/>
        </w:rPr>
        <w:t xml:space="preserve">High-level lifecycle applicable to master-data entities (detailed workflows are defined elsewhere):</w:t>
      </w:r>
    </w:p>
    <w:p>
      <w:pPr>
        <w:pStyle w:val="ListParagraph"/>
        <w:numPr>
          <w:ilvl w:val="0"/>
          <w:numId w:val="3"/>
        </w:numPr>
        <w:spacing w:after="40" w:before="40"/>
      </w:pPr>
      <w:r>
        <w:rPr>
          <w:rFonts w:ascii="Arial" w:cs="Arial" w:eastAsia="Arial" w:hAnsi="Arial"/>
          <w:color w:val="333333"/>
          <w:sz w:val="20"/>
          <w:szCs w:val="20"/>
        </w:rPr>
        <w:t xml:space="preserve">Proposed — identified as needed; not yet approved for use.</w:t>
      </w:r>
    </w:p>
    <w:p>
      <w:pPr>
        <w:pStyle w:val="ListParagraph"/>
        <w:numPr>
          <w:ilvl w:val="0"/>
          <w:numId w:val="3"/>
        </w:numPr>
        <w:spacing w:after="40" w:before="40"/>
      </w:pPr>
      <w:r>
        <w:rPr>
          <w:rFonts w:ascii="Arial" w:cs="Arial" w:eastAsia="Arial" w:hAnsi="Arial"/>
          <w:color w:val="333333"/>
          <w:sz w:val="20"/>
          <w:szCs w:val="20"/>
        </w:rPr>
        <w:t xml:space="preserve">Created — record created in draft or pending state.</w:t>
      </w:r>
    </w:p>
    <w:p>
      <w:pPr>
        <w:pStyle w:val="ListParagraph"/>
        <w:numPr>
          <w:ilvl w:val="0"/>
          <w:numId w:val="3"/>
        </w:numPr>
        <w:spacing w:after="40" w:before="40"/>
      </w:pPr>
      <w:r>
        <w:rPr>
          <w:rFonts w:ascii="Arial" w:cs="Arial" w:eastAsia="Arial" w:hAnsi="Arial"/>
          <w:color w:val="333333"/>
          <w:sz w:val="20"/>
          <w:szCs w:val="20"/>
        </w:rPr>
        <w:t xml:space="preserve">Reviewed — subject to data steward / owner review.</w:t>
      </w:r>
    </w:p>
    <w:p>
      <w:pPr>
        <w:pStyle w:val="ListParagraph"/>
        <w:numPr>
          <w:ilvl w:val="0"/>
          <w:numId w:val="3"/>
        </w:numPr>
        <w:spacing w:after="40" w:before="40"/>
      </w:pPr>
      <w:r>
        <w:rPr>
          <w:rFonts w:ascii="Arial" w:cs="Arial" w:eastAsia="Arial" w:hAnsi="Arial"/>
          <w:color w:val="333333"/>
          <w:sz w:val="20"/>
          <w:szCs w:val="20"/>
        </w:rPr>
        <w:t xml:space="preserve">Approved — authorized for use.</w:t>
      </w:r>
    </w:p>
    <w:p>
      <w:pPr>
        <w:pStyle w:val="ListParagraph"/>
        <w:numPr>
          <w:ilvl w:val="0"/>
          <w:numId w:val="3"/>
        </w:numPr>
        <w:spacing w:after="40" w:before="40"/>
      </w:pPr>
      <w:r>
        <w:rPr>
          <w:rFonts w:ascii="Arial" w:cs="Arial" w:eastAsia="Arial" w:hAnsi="Arial"/>
          <w:color w:val="333333"/>
          <w:sz w:val="20"/>
          <w:szCs w:val="20"/>
        </w:rPr>
        <w:t xml:space="preserve">Active — in normal operational use.</w:t>
      </w:r>
    </w:p>
    <w:p>
      <w:pPr>
        <w:pStyle w:val="ListParagraph"/>
        <w:numPr>
          <w:ilvl w:val="0"/>
          <w:numId w:val="3"/>
        </w:numPr>
        <w:spacing w:after="40" w:before="40"/>
      </w:pPr>
      <w:r>
        <w:rPr>
          <w:rFonts w:ascii="Arial" w:cs="Arial" w:eastAsia="Arial" w:hAnsi="Arial"/>
          <w:color w:val="333333"/>
          <w:sz w:val="20"/>
          <w:szCs w:val="20"/>
        </w:rPr>
        <w:t xml:space="preserve">Inactive — temporarily not available for new use; historical references retained.</w:t>
      </w:r>
    </w:p>
    <w:p>
      <w:pPr>
        <w:pStyle w:val="ListParagraph"/>
        <w:numPr>
          <w:ilvl w:val="0"/>
          <w:numId w:val="3"/>
        </w:numPr>
        <w:spacing w:after="40" w:before="40"/>
      </w:pPr>
      <w:r>
        <w:rPr>
          <w:rFonts w:ascii="Arial" w:cs="Arial" w:eastAsia="Arial" w:hAnsi="Arial"/>
          <w:color w:val="333333"/>
          <w:sz w:val="20"/>
          <w:szCs w:val="20"/>
        </w:rPr>
        <w:t xml:space="preserve">Retired — permanently withdrawn; retained for audit and history; no new use.</w:t>
      </w:r>
    </w:p>
    <w:p>
      <w:pPr>
        <w:spacing w:after="80" w:before="80"/>
        <w:jc w:val="left"/>
      </w:pPr>
      <w:r>
        <w:rPr>
          <w:rFonts w:ascii="Arial" w:cs="Arial" w:eastAsia="Arial" w:hAnsi="Arial"/>
          <w:b w:val="false"/>
          <w:bCs w:val="false"/>
          <w:i w:val="false"/>
          <w:iCs w:val="false"/>
          <w:color w:val="333333"/>
          <w:sz w:val="20"/>
          <w:szCs w:val="20"/>
        </w:rPr>
        <w:t xml:space="preserve">Hard deletion of active or historically referenced master records is prohibited (see Anti-Patterns).</w:t>
      </w:r>
    </w:p>
    <w:p>
      <w:pPr>
        <w:pStyle w:val="Heading1"/>
        <w:spacing w:after="200" w:before="360"/>
      </w:pPr>
      <w:r>
        <w:rPr>
          <w:rFonts w:ascii="Arial" w:cs="Arial" w:eastAsia="Arial" w:hAnsi="Arial"/>
          <w:b/>
          <w:bCs/>
          <w:color w:val="1F4E79"/>
          <w:sz w:val="28"/>
          <w:szCs w:val="28"/>
        </w:rPr>
        <w:t xml:space="preserve">18. Catalogue Governance</w:t>
      </w:r>
    </w:p>
    <w:p>
      <w:pPr>
        <w:spacing w:after="80" w:before="80"/>
        <w:jc w:val="left"/>
      </w:pPr>
      <w:r>
        <w:rPr>
          <w:rFonts w:ascii="Arial" w:cs="Arial" w:eastAsia="Arial" w:hAnsi="Arial"/>
          <w:b w:val="false"/>
          <w:bCs w:val="false"/>
          <w:i w:val="false"/>
          <w:iCs w:val="false"/>
          <w:color w:val="333333"/>
          <w:sz w:val="20"/>
          <w:szCs w:val="20"/>
        </w:rPr>
        <w:t xml:space="preserve">This catalogue itself is a controlled document under DCOS Master Data Governance.</w:t>
      </w:r>
    </w:p>
    <w:p>
      <w:pPr>
        <w:pStyle w:val="ListParagraph"/>
        <w:numPr>
          <w:ilvl w:val="0"/>
          <w:numId w:val="4"/>
        </w:numPr>
        <w:spacing w:after="40" w:before="40"/>
      </w:pPr>
      <w:r>
        <w:rPr>
          <w:rFonts w:ascii="Arial" w:cs="Arial" w:eastAsia="Arial" w:hAnsi="Arial"/>
          <w:color w:val="333333"/>
          <w:sz w:val="20"/>
          <w:szCs w:val="20"/>
        </w:rPr>
        <w:t xml:space="preserve">Catalogue Owner: Enterprise Architecture / MDM Governance function (or designated Data Governance Board).</w:t>
      </w:r>
    </w:p>
    <w:p>
      <w:pPr>
        <w:pStyle w:val="ListParagraph"/>
        <w:numPr>
          <w:ilvl w:val="0"/>
          <w:numId w:val="4"/>
        </w:numPr>
        <w:spacing w:after="40" w:before="40"/>
      </w:pPr>
      <w:r>
        <w:rPr>
          <w:rFonts w:ascii="Arial" w:cs="Arial" w:eastAsia="Arial" w:hAnsi="Arial"/>
          <w:color w:val="333333"/>
          <w:sz w:val="20"/>
          <w:szCs w:val="20"/>
        </w:rPr>
        <w:t xml:space="preserve">Review Frequency: At least annually, and on major DCOS module or scope changes.</w:t>
      </w:r>
    </w:p>
    <w:p>
      <w:pPr>
        <w:pStyle w:val="ListParagraph"/>
        <w:numPr>
          <w:ilvl w:val="0"/>
          <w:numId w:val="4"/>
        </w:numPr>
        <w:spacing w:after="40" w:before="40"/>
      </w:pPr>
      <w:r>
        <w:rPr>
          <w:rFonts w:ascii="Arial" w:cs="Arial" w:eastAsia="Arial" w:hAnsi="Arial"/>
          <w:color w:val="333333"/>
          <w:sz w:val="20"/>
          <w:szCs w:val="20"/>
        </w:rPr>
        <w:t xml:space="preserve">Change Request: Formal change request required for new entities, retirements, or material definition changes.</w:t>
      </w:r>
    </w:p>
    <w:p>
      <w:pPr>
        <w:pStyle w:val="ListParagraph"/>
        <w:numPr>
          <w:ilvl w:val="0"/>
          <w:numId w:val="4"/>
        </w:numPr>
        <w:spacing w:after="40" w:before="40"/>
      </w:pPr>
      <w:r>
        <w:rPr>
          <w:rFonts w:ascii="Arial" w:cs="Arial" w:eastAsia="Arial" w:hAnsi="Arial"/>
          <w:color w:val="333333"/>
          <w:sz w:val="20"/>
          <w:szCs w:val="20"/>
        </w:rPr>
        <w:t xml:space="preserve">New Entity Creation: Follow the New Master Data Entity Process (Section 19).</w:t>
      </w:r>
    </w:p>
    <w:p>
      <w:pPr>
        <w:pStyle w:val="ListParagraph"/>
        <w:numPr>
          <w:ilvl w:val="0"/>
          <w:numId w:val="4"/>
        </w:numPr>
        <w:spacing w:after="40" w:before="40"/>
      </w:pPr>
      <w:r>
        <w:rPr>
          <w:rFonts w:ascii="Arial" w:cs="Arial" w:eastAsia="Arial" w:hAnsi="Arial"/>
          <w:color w:val="333333"/>
          <w:sz w:val="20"/>
          <w:szCs w:val="20"/>
        </w:rPr>
        <w:t xml:space="preserve">Entity Retirement: Requires impact assessment, SoR confirmation, and approval; records retained for audit.</w:t>
      </w:r>
    </w:p>
    <w:p>
      <w:pPr>
        <w:pStyle w:val="ListParagraph"/>
        <w:numPr>
          <w:ilvl w:val="0"/>
          <w:numId w:val="4"/>
        </w:numPr>
        <w:spacing w:after="40" w:before="40"/>
      </w:pPr>
      <w:r>
        <w:rPr>
          <w:rFonts w:ascii="Arial" w:cs="Arial" w:eastAsia="Arial" w:hAnsi="Arial"/>
          <w:color w:val="333333"/>
          <w:sz w:val="20"/>
          <w:szCs w:val="20"/>
        </w:rPr>
        <w:t xml:space="preserve">Duplicate Prevention: Mandatory duplicate check against existing domains and entities before approval.</w:t>
      </w:r>
    </w:p>
    <w:p>
      <w:pPr>
        <w:pStyle w:val="ListParagraph"/>
        <w:numPr>
          <w:ilvl w:val="0"/>
          <w:numId w:val="4"/>
        </w:numPr>
        <w:spacing w:after="40" w:before="40"/>
      </w:pPr>
      <w:r>
        <w:rPr>
          <w:rFonts w:ascii="Arial" w:cs="Arial" w:eastAsia="Arial" w:hAnsi="Arial"/>
          <w:color w:val="333333"/>
          <w:sz w:val="20"/>
          <w:szCs w:val="20"/>
        </w:rPr>
        <w:t xml:space="preserve">Version Control: Catalogue versioned; changes recorded in revision history.</w:t>
      </w:r>
    </w:p>
    <w:p>
      <w:pPr>
        <w:pStyle w:val="ListParagraph"/>
        <w:numPr>
          <w:ilvl w:val="0"/>
          <w:numId w:val="4"/>
        </w:numPr>
        <w:spacing w:after="40" w:before="40"/>
      </w:pPr>
      <w:r>
        <w:rPr>
          <w:rFonts w:ascii="Arial" w:cs="Arial" w:eastAsia="Arial" w:hAnsi="Arial"/>
          <w:color w:val="333333"/>
          <w:sz w:val="20"/>
          <w:szCs w:val="20"/>
        </w:rPr>
        <w:t xml:space="preserve">Approval: MDM Governance approval required before implementation in production.</w:t>
      </w:r>
    </w:p>
    <w:p>
      <w:pPr>
        <w:pStyle w:val="Heading1"/>
        <w:spacing w:after="200" w:before="360"/>
      </w:pPr>
      <w:r>
        <w:rPr>
          <w:rFonts w:ascii="Arial" w:cs="Arial" w:eastAsia="Arial" w:hAnsi="Arial"/>
          <w:b/>
          <w:bCs/>
          <w:color w:val="1F4E79"/>
          <w:sz w:val="28"/>
          <w:szCs w:val="28"/>
        </w:rPr>
        <w:t xml:space="preserve">19. New Master Data Entity Process</w:t>
      </w:r>
    </w:p>
    <w:p>
      <w:pPr>
        <w:spacing w:after="80" w:before="80"/>
        <w:jc w:val="left"/>
      </w:pPr>
      <w:r>
        <w:rPr>
          <w:rFonts w:ascii="Arial" w:cs="Arial" w:eastAsia="Arial" w:hAnsi="Arial"/>
          <w:b w:val="false"/>
          <w:bCs w:val="false"/>
          <w:i w:val="false"/>
          <w:iCs w:val="false"/>
          <w:color w:val="333333"/>
          <w:sz w:val="20"/>
          <w:szCs w:val="20"/>
        </w:rPr>
        <w:t xml:space="preserve">High-level process for adding a new master-data entity to the catalogue:</w:t>
      </w:r>
    </w:p>
    <w:p>
      <w:pPr>
        <w:pStyle w:val="ListParagraph"/>
        <w:numPr>
          <w:ilvl w:val="0"/>
          <w:numId w:val="5"/>
        </w:numPr>
        <w:spacing w:after="40" w:before="40"/>
      </w:pPr>
      <w:r>
        <w:rPr>
          <w:rFonts w:ascii="Arial" w:cs="Arial" w:eastAsia="Arial" w:hAnsi="Arial"/>
          <w:color w:val="333333"/>
          <w:sz w:val="20"/>
          <w:szCs w:val="20"/>
        </w:rPr>
        <w:t xml:space="preserve">Business Need identified.</w:t>
      </w:r>
    </w:p>
    <w:p>
      <w:pPr>
        <w:pStyle w:val="ListParagraph"/>
        <w:numPr>
          <w:ilvl w:val="0"/>
          <w:numId w:val="5"/>
        </w:numPr>
        <w:spacing w:after="40" w:before="40"/>
      </w:pPr>
      <w:r>
        <w:rPr>
          <w:rFonts w:ascii="Arial" w:cs="Arial" w:eastAsia="Arial" w:hAnsi="Arial"/>
          <w:color w:val="333333"/>
          <w:sz w:val="20"/>
          <w:szCs w:val="20"/>
        </w:rPr>
        <w:t xml:space="preserve">Entity Assessment (is a new entity required?).</w:t>
      </w:r>
    </w:p>
    <w:p>
      <w:pPr>
        <w:pStyle w:val="ListParagraph"/>
        <w:numPr>
          <w:ilvl w:val="0"/>
          <w:numId w:val="5"/>
        </w:numPr>
        <w:spacing w:after="40" w:before="40"/>
      </w:pPr>
      <w:r>
        <w:rPr>
          <w:rFonts w:ascii="Arial" w:cs="Arial" w:eastAsia="Arial" w:hAnsi="Arial"/>
          <w:color w:val="333333"/>
          <w:sz w:val="20"/>
          <w:szCs w:val="20"/>
        </w:rPr>
        <w:t xml:space="preserve">Classification: Master / Transaction / Reference / Configuration / Metadata.</w:t>
      </w:r>
    </w:p>
    <w:p>
      <w:pPr>
        <w:pStyle w:val="ListParagraph"/>
        <w:numPr>
          <w:ilvl w:val="0"/>
          <w:numId w:val="5"/>
        </w:numPr>
        <w:spacing w:after="40" w:before="40"/>
      </w:pPr>
      <w:r>
        <w:rPr>
          <w:rFonts w:ascii="Arial" w:cs="Arial" w:eastAsia="Arial" w:hAnsi="Arial"/>
          <w:color w:val="333333"/>
          <w:sz w:val="20"/>
          <w:szCs w:val="20"/>
        </w:rPr>
        <w:t xml:space="preserve">Duplicate Check against existing catalogue and domains.</w:t>
      </w:r>
    </w:p>
    <w:p>
      <w:pPr>
        <w:pStyle w:val="ListParagraph"/>
        <w:numPr>
          <w:ilvl w:val="0"/>
          <w:numId w:val="5"/>
        </w:numPr>
        <w:spacing w:after="40" w:before="40"/>
      </w:pPr>
      <w:r>
        <w:rPr>
          <w:rFonts w:ascii="Arial" w:cs="Arial" w:eastAsia="Arial" w:hAnsi="Arial"/>
          <w:color w:val="333333"/>
          <w:sz w:val="20"/>
          <w:szCs w:val="20"/>
        </w:rPr>
        <w:t xml:space="preserve">Domain Owner Review.</w:t>
      </w:r>
    </w:p>
    <w:p>
      <w:pPr>
        <w:pStyle w:val="ListParagraph"/>
        <w:numPr>
          <w:ilvl w:val="0"/>
          <w:numId w:val="5"/>
        </w:numPr>
        <w:spacing w:after="40" w:before="40"/>
      </w:pPr>
      <w:r>
        <w:rPr>
          <w:rFonts w:ascii="Arial" w:cs="Arial" w:eastAsia="Arial" w:hAnsi="Arial"/>
          <w:color w:val="333333"/>
          <w:sz w:val="20"/>
          <w:szCs w:val="20"/>
        </w:rPr>
        <w:t xml:space="preserve">MDM Governance Approval.</w:t>
      </w:r>
    </w:p>
    <w:p>
      <w:pPr>
        <w:pStyle w:val="ListParagraph"/>
        <w:numPr>
          <w:ilvl w:val="0"/>
          <w:numId w:val="5"/>
        </w:numPr>
        <w:spacing w:after="40" w:before="40"/>
      </w:pPr>
      <w:r>
        <w:rPr>
          <w:rFonts w:ascii="Arial" w:cs="Arial" w:eastAsia="Arial" w:hAnsi="Arial"/>
          <w:color w:val="333333"/>
          <w:sz w:val="20"/>
          <w:szCs w:val="20"/>
        </w:rPr>
        <w:t xml:space="preserve">Catalogue Update.</w:t>
      </w:r>
    </w:p>
    <w:p>
      <w:pPr>
        <w:pStyle w:val="ListParagraph"/>
        <w:numPr>
          <w:ilvl w:val="0"/>
          <w:numId w:val="5"/>
        </w:numPr>
        <w:spacing w:after="40" w:before="40"/>
      </w:pPr>
      <w:r>
        <w:rPr>
          <w:rFonts w:ascii="Arial" w:cs="Arial" w:eastAsia="Arial" w:hAnsi="Arial"/>
          <w:color w:val="333333"/>
          <w:sz w:val="20"/>
          <w:szCs w:val="20"/>
        </w:rPr>
        <w:t xml:space="preserve">Implementation (dictionary, systems, integration).</w:t>
      </w:r>
    </w:p>
    <w:p>
      <w:pPr>
        <w:spacing w:after="80" w:before="120"/>
      </w:pPr>
      <w:r>
        <w:rPr>
          <w:rFonts w:ascii="Arial" w:cs="Arial" w:eastAsia="Arial" w:hAnsi="Arial"/>
          <w:b/>
          <w:bCs/>
          <w:i/>
          <w:iCs/>
          <w:color w:val="1F4E79"/>
          <w:sz w:val="20"/>
          <w:szCs w:val="20"/>
        </w:rPr>
        <w:t xml:space="preserve">Key question: Does this need to become a new master-data entity, or can an existing entity or classification satisfy the requirement?</w:t>
      </w:r>
    </w:p>
    <w:p>
      <w:pPr>
        <w:pStyle w:val="Heading1"/>
        <w:spacing w:after="200" w:before="360"/>
      </w:pPr>
      <w:r>
        <w:rPr>
          <w:rFonts w:ascii="Arial" w:cs="Arial" w:eastAsia="Arial" w:hAnsi="Arial"/>
          <w:b/>
          <w:bCs/>
          <w:color w:val="1F4E79"/>
          <w:sz w:val="28"/>
          <w:szCs w:val="28"/>
        </w:rPr>
        <w:t xml:space="preserve">20. Duplication Control</w:t>
      </w:r>
    </w:p>
    <w:p>
      <w:pPr>
        <w:spacing w:after="80" w:before="80"/>
        <w:jc w:val="left"/>
      </w:pPr>
      <w:r>
        <w:rPr>
          <w:rFonts w:ascii="Arial" w:cs="Arial" w:eastAsia="Arial" w:hAnsi="Arial"/>
          <w:b w:val="false"/>
          <w:bCs w:val="false"/>
          <w:i w:val="false"/>
          <w:iCs w:val="false"/>
          <w:color w:val="333333"/>
          <w:sz w:val="20"/>
          <w:szCs w:val="20"/>
        </w:rPr>
        <w:t xml:space="preserve">The same business entity SHALL NOT be independently maintained by different modules.</w:t>
      </w:r>
    </w:p>
    <w:p>
      <w:pPr>
        <w:spacing w:after="80" w:before="80"/>
        <w:jc w:val="left"/>
      </w:pPr>
      <w:r>
        <w:rPr>
          <w:rFonts w:ascii="Arial" w:cs="Arial" w:eastAsia="Arial" w:hAnsi="Arial"/>
          <w:b w:val="false"/>
          <w:bCs w:val="false"/>
          <w:i w:val="false"/>
          <w:iCs w:val="false"/>
          <w:color w:val="333333"/>
          <w:sz w:val="20"/>
          <w:szCs w:val="20"/>
        </w:rPr>
        <w:t xml:space="preserve">Prohibited pattern: separate Procurement Supplier, QS Supplier, Finance Supplier, Warehouse Supplier.</w:t>
      </w:r>
    </w:p>
    <w:p>
      <w:pPr>
        <w:spacing w:after="80" w:before="80"/>
        <w:jc w:val="left"/>
      </w:pPr>
      <w:r>
        <w:rPr>
          <w:rFonts w:ascii="Arial" w:cs="Arial" w:eastAsia="Arial" w:hAnsi="Arial"/>
          <w:b w:val="false"/>
          <w:bCs w:val="false"/>
          <w:i w:val="false"/>
          <w:iCs w:val="false"/>
          <w:color w:val="333333"/>
          <w:sz w:val="20"/>
          <w:szCs w:val="20"/>
        </w:rPr>
        <w:t xml:space="preserve">Required pattern: single Business Partner / Party Master (or Supplier Master) consumed by Procurement, QS, Finance, Warehouse, and related modules.</w:t>
      </w:r>
    </w:p>
    <w:p>
      <w:pPr>
        <w:spacing w:after="80" w:before="80"/>
        <w:jc w:val="left"/>
      </w:pPr>
      <w:r>
        <w:rPr>
          <w:rFonts w:ascii="Arial" w:cs="Arial" w:eastAsia="Arial" w:hAnsi="Arial"/>
          <w:b w:val="false"/>
          <w:bCs w:val="false"/>
          <w:i w:val="false"/>
          <w:iCs w:val="false"/>
          <w:color w:val="333333"/>
          <w:sz w:val="20"/>
          <w:szCs w:val="20"/>
        </w:rPr>
        <w:t xml:space="preserve">Rules:</w:t>
      </w:r>
    </w:p>
    <w:p>
      <w:pPr>
        <w:pStyle w:val="ListParagraph"/>
        <w:numPr>
          <w:ilvl w:val="0"/>
          <w:numId w:val="2"/>
        </w:numPr>
        <w:spacing w:after="40" w:before="40"/>
      </w:pPr>
      <w:r>
        <w:rPr>
          <w:rFonts w:ascii="Arial" w:cs="Arial" w:eastAsia="Arial" w:hAnsi="Arial"/>
          <w:color w:val="333333"/>
          <w:sz w:val="20"/>
          <w:szCs w:val="20"/>
        </w:rPr>
        <w:t xml:space="preserve">One authoritative master per business entity type.</w:t>
      </w:r>
    </w:p>
    <w:p>
      <w:pPr>
        <w:pStyle w:val="ListParagraph"/>
        <w:numPr>
          <w:ilvl w:val="0"/>
          <w:numId w:val="2"/>
        </w:numPr>
        <w:spacing w:after="40" w:before="40"/>
      </w:pPr>
      <w:r>
        <w:rPr>
          <w:rFonts w:ascii="Arial" w:cs="Arial" w:eastAsia="Arial" w:hAnsi="Arial"/>
          <w:color w:val="333333"/>
          <w:sz w:val="20"/>
          <w:szCs w:val="20"/>
        </w:rPr>
        <w:t xml:space="preserve">Modules consume; they do not own parallel copies of enterprise masters.</w:t>
      </w:r>
    </w:p>
    <w:p>
      <w:pPr>
        <w:pStyle w:val="ListParagraph"/>
        <w:numPr>
          <w:ilvl w:val="0"/>
          <w:numId w:val="2"/>
        </w:numPr>
        <w:spacing w:after="40" w:before="40"/>
      </w:pPr>
      <w:r>
        <w:rPr>
          <w:rFonts w:ascii="Arial" w:cs="Arial" w:eastAsia="Arial" w:hAnsi="Arial"/>
          <w:color w:val="333333"/>
          <w:sz w:val="20"/>
          <w:szCs w:val="20"/>
        </w:rPr>
        <w:t xml:space="preserve">Free-text entry of supplier names, material names, or similar where a master exists is prohibited for operational records.</w:t>
      </w:r>
    </w:p>
    <w:p>
      <w:pPr>
        <w:pStyle w:val="ListParagraph"/>
        <w:numPr>
          <w:ilvl w:val="0"/>
          <w:numId w:val="2"/>
        </w:numPr>
        <w:spacing w:after="40" w:before="40"/>
      </w:pPr>
      <w:r>
        <w:rPr>
          <w:rFonts w:ascii="Arial" w:cs="Arial" w:eastAsia="Arial" w:hAnsi="Arial"/>
          <w:color w:val="333333"/>
          <w:sz w:val="20"/>
          <w:szCs w:val="20"/>
        </w:rPr>
        <w:t xml:space="preserve">New master domains require governance approval and catalogue update.</w:t>
      </w:r>
    </w:p>
    <w:p>
      <w:pPr>
        <w:pStyle w:val="Heading1"/>
        <w:spacing w:after="200" w:before="360"/>
      </w:pPr>
      <w:r>
        <w:rPr>
          <w:rFonts w:ascii="Arial" w:cs="Arial" w:eastAsia="Arial" w:hAnsi="Arial"/>
          <w:b/>
          <w:bCs/>
          <w:color w:val="1F4E79"/>
          <w:sz w:val="28"/>
          <w:szCs w:val="28"/>
        </w:rPr>
        <w:t xml:space="preserve">21. Anti-Patterns</w:t>
      </w:r>
    </w:p>
    <w:p>
      <w:pPr>
        <w:spacing w:after="80" w:before="80"/>
        <w:jc w:val="left"/>
      </w:pPr>
      <w:r>
        <w:rPr>
          <w:rFonts w:ascii="Arial" w:cs="Arial" w:eastAsia="Arial" w:hAnsi="Arial"/>
          <w:b w:val="false"/>
          <w:bCs w:val="false"/>
          <w:i w:val="false"/>
          <w:iCs w:val="false"/>
          <w:color w:val="333333"/>
          <w:sz w:val="20"/>
          <w:szCs w:val="20"/>
        </w:rPr>
        <w:t xml:space="preserve">The following patterns are prohibited or strongly discouraged:</w:t>
      </w:r>
    </w:p>
    <w:p>
      <w:pPr>
        <w:pStyle w:val="ListParagraph"/>
        <w:numPr>
          <w:ilvl w:val="0"/>
          <w:numId w:val="6"/>
        </w:numPr>
        <w:spacing w:after="40" w:before="40"/>
      </w:pPr>
      <w:r>
        <w:rPr>
          <w:rFonts w:ascii="Arial" w:cs="Arial" w:eastAsia="Arial" w:hAnsi="Arial"/>
          <w:color w:val="333333"/>
          <w:sz w:val="20"/>
          <w:szCs w:val="20"/>
        </w:rPr>
        <w:t xml:space="preserve">Duplicate master entities across modules.</w:t>
      </w:r>
    </w:p>
    <w:p>
      <w:pPr>
        <w:pStyle w:val="ListParagraph"/>
        <w:numPr>
          <w:ilvl w:val="0"/>
          <w:numId w:val="6"/>
        </w:numPr>
        <w:spacing w:after="40" w:before="40"/>
      </w:pPr>
      <w:r>
        <w:rPr>
          <w:rFonts w:ascii="Arial" w:cs="Arial" w:eastAsia="Arial" w:hAnsi="Arial"/>
          <w:color w:val="333333"/>
          <w:sz w:val="20"/>
          <w:szCs w:val="20"/>
        </w:rPr>
        <w:t xml:space="preserve">Free-text supplier or material names where a master exists.</w:t>
      </w:r>
    </w:p>
    <w:p>
      <w:pPr>
        <w:pStyle w:val="ListParagraph"/>
        <w:numPr>
          <w:ilvl w:val="0"/>
          <w:numId w:val="6"/>
        </w:numPr>
        <w:spacing w:after="40" w:before="40"/>
      </w:pPr>
      <w:r>
        <w:rPr>
          <w:rFonts w:ascii="Arial" w:cs="Arial" w:eastAsia="Arial" w:hAnsi="Arial"/>
          <w:color w:val="333333"/>
          <w:sz w:val="20"/>
          <w:szCs w:val="20"/>
        </w:rPr>
        <w:t xml:space="preserve">Multiple codes for the same real-world entity without controlled mapping.</w:t>
      </w:r>
    </w:p>
    <w:p>
      <w:pPr>
        <w:pStyle w:val="ListParagraph"/>
        <w:numPr>
          <w:ilvl w:val="0"/>
          <w:numId w:val="6"/>
        </w:numPr>
        <w:spacing w:after="40" w:before="40"/>
      </w:pPr>
      <w:r>
        <w:rPr>
          <w:rFonts w:ascii="Arial" w:cs="Arial" w:eastAsia="Arial" w:hAnsi="Arial"/>
          <w:color w:val="333333"/>
          <w:sz w:val="20"/>
          <w:szCs w:val="20"/>
        </w:rPr>
        <w:t xml:space="preserve">Module-specific copies of enterprise master data.</w:t>
      </w:r>
    </w:p>
    <w:p>
      <w:pPr>
        <w:pStyle w:val="ListParagraph"/>
        <w:numPr>
          <w:ilvl w:val="0"/>
          <w:numId w:val="6"/>
        </w:numPr>
        <w:spacing w:after="40" w:before="40"/>
      </w:pPr>
      <w:r>
        <w:rPr>
          <w:rFonts w:ascii="Arial" w:cs="Arial" w:eastAsia="Arial" w:hAnsi="Arial"/>
          <w:color w:val="333333"/>
          <w:sz w:val="20"/>
          <w:szCs w:val="20"/>
        </w:rPr>
        <w:t xml:space="preserve">Hard deletion of active or historically referenced master records.</w:t>
      </w:r>
    </w:p>
    <w:p>
      <w:pPr>
        <w:pStyle w:val="ListParagraph"/>
        <w:numPr>
          <w:ilvl w:val="0"/>
          <w:numId w:val="6"/>
        </w:numPr>
        <w:spacing w:after="40" w:before="40"/>
      </w:pPr>
      <w:r>
        <w:rPr>
          <w:rFonts w:ascii="Arial" w:cs="Arial" w:eastAsia="Arial" w:hAnsi="Arial"/>
          <w:color w:val="333333"/>
          <w:sz w:val="20"/>
          <w:szCs w:val="20"/>
        </w:rPr>
        <w:t xml:space="preserve">Uncontrolled creation of master records by end users without stewardship.</w:t>
      </w:r>
    </w:p>
    <w:p>
      <w:pPr>
        <w:pStyle w:val="ListParagraph"/>
        <w:numPr>
          <w:ilvl w:val="0"/>
          <w:numId w:val="6"/>
        </w:numPr>
        <w:spacing w:after="40" w:before="40"/>
      </w:pPr>
      <w:r>
        <w:rPr>
          <w:rFonts w:ascii="Arial" w:cs="Arial" w:eastAsia="Arial" w:hAnsi="Arial"/>
          <w:color w:val="333333"/>
          <w:sz w:val="20"/>
          <w:szCs w:val="20"/>
        </w:rPr>
        <w:t xml:space="preserve">Treating transaction data as master data (e.g., elevating each PO to a master).</w:t>
      </w:r>
    </w:p>
    <w:p>
      <w:pPr>
        <w:pStyle w:val="ListParagraph"/>
        <w:numPr>
          <w:ilvl w:val="0"/>
          <w:numId w:val="6"/>
        </w:numPr>
        <w:spacing w:after="40" w:before="40"/>
      </w:pPr>
      <w:r>
        <w:rPr>
          <w:rFonts w:ascii="Arial" w:cs="Arial" w:eastAsia="Arial" w:hAnsi="Arial"/>
          <w:color w:val="333333"/>
          <w:sz w:val="20"/>
          <w:szCs w:val="20"/>
        </w:rPr>
        <w:t xml:space="preserve">Elevating every dropdown list to a governed master entity.</w:t>
      </w:r>
    </w:p>
    <w:p>
      <w:pPr>
        <w:pStyle w:val="ListParagraph"/>
        <w:numPr>
          <w:ilvl w:val="0"/>
          <w:numId w:val="6"/>
        </w:numPr>
        <w:spacing w:after="40" w:before="40"/>
      </w:pPr>
      <w:r>
        <w:rPr>
          <w:rFonts w:ascii="Arial" w:cs="Arial" w:eastAsia="Arial" w:hAnsi="Arial"/>
          <w:color w:val="333333"/>
          <w:sz w:val="20"/>
          <w:szCs w:val="20"/>
        </w:rPr>
        <w:t xml:space="preserve">Project teams independently creating corporate master entities without governance.</w:t>
      </w:r>
    </w:p>
    <w:p>
      <w:pPr>
        <w:pStyle w:val="ListParagraph"/>
        <w:numPr>
          <w:ilvl w:val="0"/>
          <w:numId w:val="6"/>
        </w:numPr>
        <w:spacing w:after="40" w:before="40"/>
      </w:pPr>
      <w:r>
        <w:rPr>
          <w:rFonts w:ascii="Arial" w:cs="Arial" w:eastAsia="Arial" w:hAnsi="Arial"/>
          <w:color w:val="333333"/>
          <w:sz w:val="20"/>
          <w:szCs w:val="20"/>
        </w:rPr>
        <w:t xml:space="preserve">Ambiguous System of Record between DCOS and external ERP/HR systems.</w:t>
      </w:r>
    </w:p>
    <w:p>
      <w:pPr>
        <w:pStyle w:val="Heading1"/>
        <w:spacing w:after="200" w:before="360"/>
      </w:pPr>
      <w:r>
        <w:rPr>
          <w:rFonts w:ascii="Arial" w:cs="Arial" w:eastAsia="Arial" w:hAnsi="Arial"/>
          <w:b/>
          <w:bCs/>
          <w:color w:val="1F4E79"/>
          <w:sz w:val="28"/>
          <w:szCs w:val="28"/>
        </w:rPr>
        <w:t xml:space="preserve">22. Catalogue Quality Requirements</w:t>
      </w:r>
    </w:p>
    <w:p>
      <w:pPr>
        <w:spacing w:after="80" w:before="80"/>
        <w:jc w:val="left"/>
      </w:pPr>
      <w:r>
        <w:rPr>
          <w:rFonts w:ascii="Arial" w:cs="Arial" w:eastAsia="Arial" w:hAnsi="Arial"/>
          <w:b w:val="false"/>
          <w:bCs w:val="false"/>
          <w:i w:val="false"/>
          <w:iCs w:val="false"/>
          <w:color w:val="333333"/>
          <w:sz w:val="20"/>
          <w:szCs w:val="20"/>
        </w:rPr>
        <w:t xml:space="preserve">Each catalogue entry SHALL have:</w:t>
      </w:r>
    </w:p>
    <w:p>
      <w:pPr>
        <w:pStyle w:val="ListParagraph"/>
        <w:numPr>
          <w:ilvl w:val="0"/>
          <w:numId w:val="2"/>
        </w:numPr>
        <w:spacing w:after="40" w:before="40"/>
      </w:pPr>
      <w:r>
        <w:rPr>
          <w:rFonts w:ascii="Arial" w:cs="Arial" w:eastAsia="Arial" w:hAnsi="Arial"/>
          <w:color w:val="333333"/>
          <w:sz w:val="20"/>
          <w:szCs w:val="20"/>
        </w:rPr>
        <w:t xml:space="preserve">Unique Entity Code</w:t>
      </w:r>
    </w:p>
    <w:p>
      <w:pPr>
        <w:pStyle w:val="ListParagraph"/>
        <w:numPr>
          <w:ilvl w:val="0"/>
          <w:numId w:val="2"/>
        </w:numPr>
        <w:spacing w:after="40" w:before="40"/>
      </w:pPr>
      <w:r>
        <w:rPr>
          <w:rFonts w:ascii="Arial" w:cs="Arial" w:eastAsia="Arial" w:hAnsi="Arial"/>
          <w:color w:val="333333"/>
          <w:sz w:val="20"/>
          <w:szCs w:val="20"/>
        </w:rPr>
        <w:t xml:space="preserve">Unique Entity Name</w:t>
      </w:r>
    </w:p>
    <w:p>
      <w:pPr>
        <w:pStyle w:val="ListParagraph"/>
        <w:numPr>
          <w:ilvl w:val="0"/>
          <w:numId w:val="2"/>
        </w:numPr>
        <w:spacing w:after="40" w:before="40"/>
      </w:pPr>
      <w:r>
        <w:rPr>
          <w:rFonts w:ascii="Arial" w:cs="Arial" w:eastAsia="Arial" w:hAnsi="Arial"/>
          <w:color w:val="333333"/>
          <w:sz w:val="20"/>
          <w:szCs w:val="20"/>
        </w:rPr>
        <w:t xml:space="preserve">Clear Definition</w:t>
      </w:r>
    </w:p>
    <w:p>
      <w:pPr>
        <w:pStyle w:val="ListParagraph"/>
        <w:numPr>
          <w:ilvl w:val="0"/>
          <w:numId w:val="2"/>
        </w:numPr>
        <w:spacing w:after="40" w:before="40"/>
      </w:pPr>
      <w:r>
        <w:rPr>
          <w:rFonts w:ascii="Arial" w:cs="Arial" w:eastAsia="Arial" w:hAnsi="Arial"/>
          <w:color w:val="333333"/>
          <w:sz w:val="20"/>
          <w:szCs w:val="20"/>
        </w:rPr>
        <w:t xml:space="preserve">Clear Business Purpose</w:t>
      </w:r>
    </w:p>
    <w:p>
      <w:pPr>
        <w:pStyle w:val="ListParagraph"/>
        <w:numPr>
          <w:ilvl w:val="0"/>
          <w:numId w:val="2"/>
        </w:numPr>
        <w:spacing w:after="40" w:before="40"/>
      </w:pPr>
      <w:r>
        <w:rPr>
          <w:rFonts w:ascii="Arial" w:cs="Arial" w:eastAsia="Arial" w:hAnsi="Arial"/>
          <w:color w:val="333333"/>
          <w:sz w:val="20"/>
          <w:szCs w:val="20"/>
        </w:rPr>
        <w:t xml:space="preserve">Clear Owner (primary function)</w:t>
      </w:r>
    </w:p>
    <w:p>
      <w:pPr>
        <w:pStyle w:val="ListParagraph"/>
        <w:numPr>
          <w:ilvl w:val="0"/>
          <w:numId w:val="2"/>
        </w:numPr>
        <w:spacing w:after="40" w:before="40"/>
      </w:pPr>
      <w:r>
        <w:rPr>
          <w:rFonts w:ascii="Arial" w:cs="Arial" w:eastAsia="Arial" w:hAnsi="Arial"/>
          <w:color w:val="333333"/>
          <w:sz w:val="20"/>
          <w:szCs w:val="20"/>
        </w:rPr>
        <w:t xml:space="preserve">Clear Scope (Enterprise / Project / Both)</w:t>
      </w:r>
    </w:p>
    <w:p>
      <w:pPr>
        <w:pStyle w:val="ListParagraph"/>
        <w:numPr>
          <w:ilvl w:val="0"/>
          <w:numId w:val="2"/>
        </w:numPr>
        <w:spacing w:after="40" w:before="40"/>
      </w:pPr>
      <w:r>
        <w:rPr>
          <w:rFonts w:ascii="Arial" w:cs="Arial" w:eastAsia="Arial" w:hAnsi="Arial"/>
          <w:color w:val="333333"/>
          <w:sz w:val="20"/>
          <w:szCs w:val="20"/>
        </w:rPr>
        <w:t xml:space="preserve">Clear Classification (Master / Reference / Configuration)</w:t>
      </w:r>
    </w:p>
    <w:p>
      <w:pPr>
        <w:pStyle w:val="ListParagraph"/>
        <w:numPr>
          <w:ilvl w:val="0"/>
          <w:numId w:val="2"/>
        </w:numPr>
        <w:spacing w:after="40" w:before="40"/>
      </w:pPr>
      <w:r>
        <w:rPr>
          <w:rFonts w:ascii="Arial" w:cs="Arial" w:eastAsia="Arial" w:hAnsi="Arial"/>
          <w:color w:val="333333"/>
          <w:sz w:val="20"/>
          <w:szCs w:val="20"/>
        </w:rPr>
        <w:t xml:space="preserve">Clear Module Usage</w:t>
      </w:r>
    </w:p>
    <w:p>
      <w:pPr>
        <w:pStyle w:val="ListParagraph"/>
        <w:numPr>
          <w:ilvl w:val="0"/>
          <w:numId w:val="2"/>
        </w:numPr>
        <w:spacing w:after="40" w:before="40"/>
      </w:pPr>
      <w:r>
        <w:rPr>
          <w:rFonts w:ascii="Arial" w:cs="Arial" w:eastAsia="Arial" w:hAnsi="Arial"/>
          <w:color w:val="333333"/>
          <w:sz w:val="20"/>
          <w:szCs w:val="20"/>
        </w:rPr>
        <w:t xml:space="preserve">Clear Major Relationships</w:t>
      </w:r>
    </w:p>
    <w:p>
      <w:pPr>
        <w:pStyle w:val="ListParagraph"/>
        <w:numPr>
          <w:ilvl w:val="0"/>
          <w:numId w:val="2"/>
        </w:numPr>
        <w:spacing w:after="40" w:before="40"/>
      </w:pPr>
      <w:r>
        <w:rPr>
          <w:rFonts w:ascii="Arial" w:cs="Arial" w:eastAsia="Arial" w:hAnsi="Arial"/>
          <w:color w:val="333333"/>
          <w:sz w:val="20"/>
          <w:szCs w:val="20"/>
        </w:rPr>
        <w:t xml:space="preserve">Clear Status (Proposed / Approved / Retired)</w:t>
      </w:r>
    </w:p>
    <w:p>
      <w:pPr>
        <w:pStyle w:val="Heading1"/>
        <w:spacing w:after="200" w:before="360"/>
      </w:pPr>
      <w:r>
        <w:rPr>
          <w:rFonts w:ascii="Arial" w:cs="Arial" w:eastAsia="Arial" w:hAnsi="Arial"/>
          <w:b/>
          <w:bCs/>
          <w:color w:val="1F4E79"/>
          <w:sz w:val="28"/>
          <w:szCs w:val="28"/>
        </w:rPr>
        <w:t xml:space="preserve">23. Master Data Summary</w:t>
      </w:r>
    </w:p>
    <w:p>
      <w:pPr>
        <w:pStyle w:val="Heading2"/>
        <w:spacing w:after="140" w:before="280"/>
      </w:pPr>
      <w:r>
        <w:rPr>
          <w:rFonts w:ascii="Arial" w:cs="Arial" w:eastAsia="Arial" w:hAnsi="Arial"/>
          <w:b/>
          <w:bCs/>
          <w:color w:val="1F4E79"/>
          <w:sz w:val="24"/>
          <w:szCs w:val="24"/>
        </w:rPr>
        <w:t xml:space="preserve">Table A — Master Data Domain Summary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200"/>
        <w:gridCol w:w="280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Domain</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Entities</w:t>
            </w:r>
          </w:p>
        </w:tc>
        <w:tc>
          <w:tcPr>
            <w:tcW w:type="dxa" w:w="3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Primary Owner</w:t>
            </w:r>
          </w:p>
        </w:tc>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Scope</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Organization</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7</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Corporate / HR</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Project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5</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 Management</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 / Enterprise ref.</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WBS / Structure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6</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Planning / Project Controls</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Location</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6</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Operations / PM</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Both</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Business Partner</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4</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Procurement / Commercial</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Material</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5</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Procurement / QS</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Employee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4</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HR</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Equipment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5</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Equipment / Operations</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Cost / BOQ</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5</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Finance / QS / Controls</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Both</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Procurement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5</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Procurement</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 ref.</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Document</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5</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Document Control</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 ref.</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Design / BIM</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4</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Engineering / BIM</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Both</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QA/QC</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4</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QA/QC</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 ref.</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HSE</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5</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HSE</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 ref.</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Finance</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6</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Finance</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Enterprise</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Contract</w:t>
            </w:r>
          </w:p>
        </w:tc>
        <w:tc>
          <w:tcPr>
            <w:tcW w:type="dxa" w:w="1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4</w:t>
            </w:r>
          </w:p>
        </w:tc>
        <w:tc>
          <w:tcPr>
            <w:tcW w:type="dxa" w:w="32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Commercial / Legal</w:t>
            </w:r>
          </w:p>
        </w:tc>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Both</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Handover / DLP</w:t>
            </w:r>
          </w:p>
        </w:tc>
        <w:tc>
          <w:tcPr>
            <w:tcW w:type="dxa" w:w="1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4</w:t>
            </w:r>
          </w:p>
        </w:tc>
        <w:tc>
          <w:tcPr>
            <w:tcW w:type="dxa" w:w="32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PM / Handover</w:t>
            </w:r>
          </w:p>
        </w:tc>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Project / Enterprise ref.</w:t>
            </w:r>
          </w:p>
        </w:tc>
      </w:tr>
    </w:tbl>
    <w:p>
      <w:pPr>
        <w:pStyle w:val="Heading2"/>
        <w:spacing w:after="140" w:before="280"/>
      </w:pPr>
      <w:r>
        <w:rPr>
          <w:rFonts w:ascii="Arial" w:cs="Arial" w:eastAsia="Arial" w:hAnsi="Arial"/>
          <w:b/>
          <w:bCs/>
          <w:color w:val="1F4E79"/>
          <w:sz w:val="24"/>
          <w:szCs w:val="24"/>
        </w:rPr>
        <w:t xml:space="preserve">Table B — Core Enterprise Master Data</w:t>
      </w:r>
    </w:p>
    <w:p>
      <w:pPr>
        <w:spacing w:after="80" w:before="80"/>
        <w:jc w:val="left"/>
      </w:pPr>
      <w:r>
        <w:rPr>
          <w:rFonts w:ascii="Arial" w:cs="Arial" w:eastAsia="Arial" w:hAnsi="Arial"/>
          <w:b w:val="false"/>
          <w:bCs w:val="false"/>
          <w:i w:val="false"/>
          <w:iCs w:val="false"/>
          <w:color w:val="333333"/>
          <w:sz w:val="20"/>
          <w:szCs w:val="20"/>
        </w:rPr>
        <w:t xml:space="preserve">Company, Business Unit, Department, Position, Business Partner (Party), Material, Employee, Equipment, Cost Centre, Currency, UOM, Document Type, Discipline, Project Type, Contract Type, Payment Term, Inspection Type, Hazard Category (and related reference data listed in the catalogue).</w:t>
      </w:r>
    </w:p>
    <w:p>
      <w:pPr>
        <w:pStyle w:val="Heading2"/>
        <w:spacing w:after="140" w:before="280"/>
      </w:pPr>
      <w:r>
        <w:rPr>
          <w:rFonts w:ascii="Arial" w:cs="Arial" w:eastAsia="Arial" w:hAnsi="Arial"/>
          <w:b/>
          <w:bCs/>
          <w:color w:val="1F4E79"/>
          <w:sz w:val="24"/>
          <w:szCs w:val="24"/>
        </w:rPr>
        <w:t xml:space="preserve">Table C — Core Project Master Data</w:t>
      </w:r>
    </w:p>
    <w:p>
      <w:pPr>
        <w:spacing w:after="80" w:before="80"/>
        <w:jc w:val="left"/>
      </w:pPr>
      <w:r>
        <w:rPr>
          <w:rFonts w:ascii="Arial" w:cs="Arial" w:eastAsia="Arial" w:hAnsi="Arial"/>
          <w:b w:val="false"/>
          <w:bCs w:val="false"/>
          <w:i w:val="false"/>
          <w:iCs w:val="false"/>
          <w:color w:val="333333"/>
          <w:sz w:val="20"/>
          <w:szCs w:val="20"/>
        </w:rPr>
        <w:t xml:space="preserve">Project, WBS, Building, Level, Zone, Work Package, Project BOQ / BOQ Item, Project Cost Code (extensions), Design Package, Contract (project), Handover Package, Asset (handover).</w:t>
      </w:r>
    </w:p>
    <w:p>
      <w:pPr>
        <w:pStyle w:val="Heading2"/>
        <w:spacing w:after="140" w:before="280"/>
      </w:pPr>
      <w:r>
        <w:rPr>
          <w:rFonts w:ascii="Arial" w:cs="Arial" w:eastAsia="Arial" w:hAnsi="Arial"/>
          <w:b/>
          <w:bCs/>
          <w:color w:val="1F4E79"/>
          <w:sz w:val="24"/>
          <w:szCs w:val="24"/>
        </w:rPr>
        <w:t xml:space="preserve">Table D — Master Data by DCOS Module</w:t>
      </w:r>
    </w:p>
    <w:p>
      <w:pPr>
        <w:spacing w:after="80" w:before="80"/>
        <w:jc w:val="left"/>
      </w:pPr>
      <w:r>
        <w:rPr>
          <w:rFonts w:ascii="Arial" w:cs="Arial" w:eastAsia="Arial" w:hAnsi="Arial"/>
          <w:b w:val="false"/>
          <w:bCs w:val="false"/>
          <w:i w:val="false"/>
          <w:iCs w:val="false"/>
          <w:color w:val="333333"/>
          <w:sz w:val="20"/>
          <w:szCs w:val="20"/>
        </w:rPr>
        <w:t xml:space="preserve">See Section 13 (Module Consumption Matrix).</w:t>
      </w:r>
    </w:p>
    <w:p>
      <w:pPr>
        <w:pStyle w:val="Heading2"/>
        <w:spacing w:after="140" w:before="280"/>
      </w:pPr>
      <w:r>
        <w:rPr>
          <w:rFonts w:ascii="Arial" w:cs="Arial" w:eastAsia="Arial" w:hAnsi="Arial"/>
          <w:b/>
          <w:bCs/>
          <w:color w:val="1F4E79"/>
          <w:sz w:val="24"/>
          <w:szCs w:val="24"/>
        </w:rPr>
        <w:t xml:space="preserve">Table E — System of Record</w:t>
      </w:r>
    </w:p>
    <w:p>
      <w:pPr>
        <w:spacing w:after="80" w:before="80"/>
        <w:jc w:val="left"/>
      </w:pPr>
      <w:r>
        <w:rPr>
          <w:rFonts w:ascii="Arial" w:cs="Arial" w:eastAsia="Arial" w:hAnsi="Arial"/>
          <w:b w:val="false"/>
          <w:bCs w:val="false"/>
          <w:i w:val="false"/>
          <w:iCs w:val="false"/>
          <w:color w:val="333333"/>
          <w:sz w:val="20"/>
          <w:szCs w:val="20"/>
        </w:rPr>
        <w:t xml:space="preserve">See Section 14.</w:t>
      </w:r>
    </w:p>
    <w:p>
      <w:pPr>
        <w:pStyle w:val="Heading2"/>
        <w:spacing w:after="140" w:before="280"/>
      </w:pPr>
      <w:r>
        <w:rPr>
          <w:rFonts w:ascii="Arial" w:cs="Arial" w:eastAsia="Arial" w:hAnsi="Arial"/>
          <w:b/>
          <w:bCs/>
          <w:color w:val="1F4E79"/>
          <w:sz w:val="24"/>
          <w:szCs w:val="24"/>
        </w:rPr>
        <w:t xml:space="preserve">Table F — Master vs Reference vs Transaction (Illustrative)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500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Examples</w:t>
            </w:r>
          </w:p>
        </w:tc>
        <w:tc>
          <w:tcPr>
            <w:tcW w:type="dxa" w:w="2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Classification</w:t>
            </w:r>
          </w:p>
        </w:tc>
        <w:tc>
          <w:tcPr>
            <w:tcW w:type="dxa" w:w="5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Notes</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5"/>
                <w:szCs w:val="15"/>
              </w:rPr>
              <w:t xml:space="preserve">Material, Party, Employee, Equipment, Project, WBS, Cost Code, Contract</w:t>
            </w:r>
          </w:p>
        </w:tc>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Master Data</w:t>
            </w:r>
          </w:p>
        </w:tc>
        <w:tc>
          <w:tcPr>
            <w:tcW w:type="dxa" w:w="50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5"/>
                <w:szCs w:val="15"/>
              </w:rPr>
              <w:t xml:space="preserve">Stable business entities; single source of truth.</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5"/>
                <w:szCs w:val="15"/>
              </w:rPr>
              <w:t xml:space="preserve">UOM, Currency, Project Type, Document Type, Inspection Type, Hazard Category</w:t>
            </w:r>
          </w:p>
        </w:tc>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Reference Data</w:t>
            </w:r>
          </w:p>
        </w:tc>
        <w:tc>
          <w:tcPr>
            <w:tcW w:type="dxa" w:w="50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5"/>
                <w:szCs w:val="15"/>
              </w:rPr>
              <w:t xml:space="preserve">Controlled lists supporting masters and transactions.</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5"/>
                <w:szCs w:val="15"/>
              </w:rPr>
              <w:t xml:space="preserve">Purchase Order, Goods Receipt, Timesheet, Inspection, NCR, Payment Certificate, Incident</w:t>
            </w:r>
          </w:p>
        </w:tc>
        <w:tc>
          <w:tcPr>
            <w:tcW w:type="dxa" w:w="2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Transaction Data</w:t>
            </w:r>
          </w:p>
        </w:tc>
        <w:tc>
          <w:tcPr>
            <w:tcW w:type="dxa" w:w="50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5"/>
                <w:szCs w:val="15"/>
              </w:rPr>
              <w:t xml:space="preserve">Events that reference masters; not masters themselves.</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5"/>
                <w:szCs w:val="15"/>
              </w:rPr>
              <w:t xml:space="preserve">System configuration flags, UI preferences</w:t>
            </w:r>
          </w:p>
        </w:tc>
        <w:tc>
          <w:tcPr>
            <w:tcW w:type="dxa" w:w="2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Configuration</w:t>
            </w:r>
          </w:p>
        </w:tc>
        <w:tc>
          <w:tcPr>
            <w:tcW w:type="dxa" w:w="50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5"/>
                <w:szCs w:val="15"/>
              </w:rPr>
              <w:t xml:space="preserve">Not master data; system setup.</w:t>
            </w:r>
          </w:p>
        </w:tc>
      </w:tr>
    </w:tbl>
    <w:p>
      <w:pPr>
        <w:pStyle w:val="Heading1"/>
        <w:spacing w:after="200" w:before="360"/>
      </w:pPr>
      <w:r>
        <w:rPr>
          <w:rFonts w:ascii="Arial" w:cs="Arial" w:eastAsia="Arial" w:hAnsi="Arial"/>
          <w:b/>
          <w:bCs/>
          <w:color w:val="1F4E79"/>
          <w:sz w:val="28"/>
          <w:szCs w:val="28"/>
        </w:rPr>
        <w:t xml:space="preserve">24. Architecture Principles</w:t>
      </w:r>
    </w:p>
    <w:p>
      <w:pPr>
        <w:spacing w:after="80" w:before="80"/>
        <w:jc w:val="left"/>
      </w:pPr>
      <w:r>
        <w:rPr>
          <w:rFonts w:ascii="Arial" w:cs="Arial" w:eastAsia="Arial" w:hAnsi="Arial"/>
          <w:b w:val="false"/>
          <w:bCs w:val="false"/>
          <w:i w:val="false"/>
          <w:iCs w:val="false"/>
          <w:color w:val="333333"/>
          <w:sz w:val="20"/>
          <w:szCs w:val="20"/>
        </w:rPr>
        <w:t xml:space="preserve">The DCOS Master Data Catalogue is governed by the following principles:</w:t>
      </w:r>
    </w:p>
    <w:p>
      <w:pPr>
        <w:pStyle w:val="ListParagraph"/>
        <w:numPr>
          <w:ilvl w:val="0"/>
          <w:numId w:val="7"/>
        </w:numPr>
        <w:spacing w:after="40" w:before="40"/>
      </w:pPr>
      <w:r>
        <w:rPr>
          <w:rFonts w:ascii="Arial" w:cs="Arial" w:eastAsia="Arial" w:hAnsi="Arial"/>
          <w:color w:val="333333"/>
          <w:sz w:val="20"/>
          <w:szCs w:val="20"/>
        </w:rPr>
        <w:t xml:space="preserve">Single Source of Truth — each governed entity has one authoritative definition and source.</w:t>
      </w:r>
    </w:p>
    <w:p>
      <w:pPr>
        <w:pStyle w:val="ListParagraph"/>
        <w:numPr>
          <w:ilvl w:val="0"/>
          <w:numId w:val="7"/>
        </w:numPr>
        <w:spacing w:after="40" w:before="40"/>
      </w:pPr>
      <w:r>
        <w:rPr>
          <w:rFonts w:ascii="Arial" w:cs="Arial" w:eastAsia="Arial" w:hAnsi="Arial"/>
          <w:color w:val="333333"/>
          <w:sz w:val="20"/>
          <w:szCs w:val="20"/>
        </w:rPr>
        <w:t xml:space="preserve">One Entity — One Master — one business entity maps to one controlled master-data definition.</w:t>
      </w:r>
    </w:p>
    <w:p>
      <w:pPr>
        <w:pStyle w:val="ListParagraph"/>
        <w:numPr>
          <w:ilvl w:val="0"/>
          <w:numId w:val="7"/>
        </w:numPr>
        <w:spacing w:after="40" w:before="40"/>
      </w:pPr>
      <w:r>
        <w:rPr>
          <w:rFonts w:ascii="Arial" w:cs="Arial" w:eastAsia="Arial" w:hAnsi="Arial"/>
          <w:color w:val="333333"/>
          <w:sz w:val="20"/>
          <w:szCs w:val="20"/>
        </w:rPr>
        <w:t xml:space="preserve">Unique Identification — every master entity and record has a unique, controlled identifier.</w:t>
      </w:r>
    </w:p>
    <w:p>
      <w:pPr>
        <w:pStyle w:val="ListParagraph"/>
        <w:numPr>
          <w:ilvl w:val="0"/>
          <w:numId w:val="7"/>
        </w:numPr>
        <w:spacing w:after="40" w:before="40"/>
      </w:pPr>
      <w:r>
        <w:rPr>
          <w:rFonts w:ascii="Arial" w:cs="Arial" w:eastAsia="Arial" w:hAnsi="Arial"/>
          <w:color w:val="333333"/>
          <w:sz w:val="20"/>
          <w:szCs w:val="20"/>
        </w:rPr>
        <w:t xml:space="preserve">Controlled Ownership — every domain has a clear primary business owner.</w:t>
      </w:r>
    </w:p>
    <w:p>
      <w:pPr>
        <w:pStyle w:val="ListParagraph"/>
        <w:numPr>
          <w:ilvl w:val="0"/>
          <w:numId w:val="7"/>
        </w:numPr>
        <w:spacing w:after="40" w:before="40"/>
      </w:pPr>
      <w:r>
        <w:rPr>
          <w:rFonts w:ascii="Arial" w:cs="Arial" w:eastAsia="Arial" w:hAnsi="Arial"/>
          <w:color w:val="333333"/>
          <w:sz w:val="20"/>
          <w:szCs w:val="20"/>
        </w:rPr>
        <w:t xml:space="preserve">Reusable Across Modules — masters are designed for consumption by multiple modules.</w:t>
      </w:r>
    </w:p>
    <w:p>
      <w:pPr>
        <w:pStyle w:val="ListParagraph"/>
        <w:numPr>
          <w:ilvl w:val="0"/>
          <w:numId w:val="7"/>
        </w:numPr>
        <w:spacing w:after="40" w:before="40"/>
      </w:pPr>
      <w:r>
        <w:rPr>
          <w:rFonts w:ascii="Arial" w:cs="Arial" w:eastAsia="Arial" w:hAnsi="Arial"/>
          <w:color w:val="333333"/>
          <w:sz w:val="20"/>
          <w:szCs w:val="20"/>
        </w:rPr>
        <w:t xml:space="preserve">No Uncontrolled Duplication — parallel module-specific masters of the same entity are prohibited.</w:t>
      </w:r>
    </w:p>
    <w:p>
      <w:pPr>
        <w:pStyle w:val="ListParagraph"/>
        <w:numPr>
          <w:ilvl w:val="0"/>
          <w:numId w:val="7"/>
        </w:numPr>
        <w:spacing w:after="40" w:before="40"/>
      </w:pPr>
      <w:r>
        <w:rPr>
          <w:rFonts w:ascii="Arial" w:cs="Arial" w:eastAsia="Arial" w:hAnsi="Arial"/>
          <w:color w:val="333333"/>
          <w:sz w:val="20"/>
          <w:szCs w:val="20"/>
        </w:rPr>
        <w:t xml:space="preserve">Clear System of Record — SoR is explicit, including when external systems are authoritative.</w:t>
      </w:r>
    </w:p>
    <w:p>
      <w:pPr>
        <w:pStyle w:val="ListParagraph"/>
        <w:numPr>
          <w:ilvl w:val="0"/>
          <w:numId w:val="7"/>
        </w:numPr>
        <w:spacing w:after="40" w:before="40"/>
      </w:pPr>
      <w:r>
        <w:rPr>
          <w:rFonts w:ascii="Arial" w:cs="Arial" w:eastAsia="Arial" w:hAnsi="Arial"/>
          <w:color w:val="333333"/>
          <w:sz w:val="20"/>
          <w:szCs w:val="20"/>
        </w:rPr>
        <w:t xml:space="preserve">Controlled Lifecycle — create, approve, activate, inactivate, retire; no uncontrolled hard delete.</w:t>
      </w:r>
    </w:p>
    <w:p>
      <w:pPr>
        <w:pStyle w:val="ListParagraph"/>
        <w:numPr>
          <w:ilvl w:val="0"/>
          <w:numId w:val="7"/>
        </w:numPr>
        <w:spacing w:after="40" w:before="40"/>
      </w:pPr>
      <w:r>
        <w:rPr>
          <w:rFonts w:ascii="Arial" w:cs="Arial" w:eastAsia="Arial" w:hAnsi="Arial"/>
          <w:color w:val="333333"/>
          <w:sz w:val="20"/>
          <w:szCs w:val="20"/>
        </w:rPr>
        <w:t xml:space="preserve">Traceability — changes to masters and catalogue are auditable.</w:t>
      </w:r>
    </w:p>
    <w:p>
      <w:pPr>
        <w:pStyle w:val="ListParagraph"/>
        <w:numPr>
          <w:ilvl w:val="0"/>
          <w:numId w:val="7"/>
        </w:numPr>
        <w:spacing w:after="40" w:before="40"/>
      </w:pPr>
      <w:r>
        <w:rPr>
          <w:rFonts w:ascii="Arial" w:cs="Arial" w:eastAsia="Arial" w:hAnsi="Arial"/>
          <w:color w:val="333333"/>
          <w:sz w:val="20"/>
          <w:szCs w:val="20"/>
        </w:rPr>
        <w:t xml:space="preserve">Data Quality — definitions, ownership, and classification are complete and consistent.</w:t>
      </w:r>
    </w:p>
    <w:p>
      <w:pPr>
        <w:pStyle w:val="ListParagraph"/>
        <w:numPr>
          <w:ilvl w:val="0"/>
          <w:numId w:val="7"/>
        </w:numPr>
        <w:spacing w:after="40" w:before="40"/>
      </w:pPr>
      <w:r>
        <w:rPr>
          <w:rFonts w:ascii="Arial" w:cs="Arial" w:eastAsia="Arial" w:hAnsi="Arial"/>
          <w:color w:val="333333"/>
          <w:sz w:val="20"/>
          <w:szCs w:val="20"/>
        </w:rPr>
        <w:t xml:space="preserve">Enterprise Reusability — enterprise masters support multi-company and multi-project use.</w:t>
      </w:r>
    </w:p>
    <w:p>
      <w:pPr>
        <w:pStyle w:val="ListParagraph"/>
        <w:numPr>
          <w:ilvl w:val="0"/>
          <w:numId w:val="7"/>
        </w:numPr>
        <w:spacing w:after="40" w:before="40"/>
      </w:pPr>
      <w:r>
        <w:rPr>
          <w:rFonts w:ascii="Arial" w:cs="Arial" w:eastAsia="Arial" w:hAnsi="Arial"/>
          <w:color w:val="333333"/>
          <w:sz w:val="20"/>
          <w:szCs w:val="20"/>
        </w:rPr>
        <w:t xml:space="preserve">Project-Level Flexibility — project structures (WBS, BOQ, etc.) can be project-specific while referencing enterprise masters.</w:t>
      </w:r>
    </w:p>
    <w:p>
      <w:pPr>
        <w:pStyle w:val="ListParagraph"/>
        <w:numPr>
          <w:ilvl w:val="0"/>
          <w:numId w:val="7"/>
        </w:numPr>
        <w:spacing w:after="40" w:before="40"/>
      </w:pPr>
      <w:r>
        <w:rPr>
          <w:rFonts w:ascii="Arial" w:cs="Arial" w:eastAsia="Arial" w:hAnsi="Arial"/>
          <w:color w:val="333333"/>
          <w:sz w:val="20"/>
          <w:szCs w:val="20"/>
        </w:rPr>
        <w:t xml:space="preserve">Integration Readiness — catalogue and masters support integration with external ERP, HR, and accounting systems.</w:t>
      </w:r>
    </w:p>
    <w:p>
      <w:pPr>
        <w:pStyle w:val="ListParagraph"/>
        <w:numPr>
          <w:ilvl w:val="0"/>
          <w:numId w:val="7"/>
        </w:numPr>
        <w:spacing w:after="40" w:before="40"/>
      </w:pPr>
      <w:r>
        <w:rPr>
          <w:rFonts w:ascii="Arial" w:cs="Arial" w:eastAsia="Arial" w:hAnsi="Arial"/>
          <w:color w:val="333333"/>
          <w:sz w:val="20"/>
          <w:szCs w:val="20"/>
        </w:rPr>
        <w:t xml:space="preserve">Auditability — master data and catalogue changes support internal and external audit requirements.</w:t>
      </w:r>
    </w:p>
    <w:p>
      <w:pPr>
        <w:pStyle w:val="Heading1"/>
        <w:spacing w:after="200" w:before="360"/>
      </w:pPr>
      <w:r>
        <w:rPr>
          <w:rFonts w:ascii="Arial" w:cs="Arial" w:eastAsia="Arial" w:hAnsi="Arial"/>
          <w:b/>
          <w:bCs/>
          <w:color w:val="1F4E79"/>
          <w:sz w:val="28"/>
          <w:szCs w:val="28"/>
        </w:rPr>
        <w:t xml:space="preserve">25. Appendices</w:t>
      </w:r>
    </w:p>
    <w:p>
      <w:pPr>
        <w:pStyle w:val="Heading2"/>
        <w:spacing w:after="140" w:before="280"/>
      </w:pPr>
      <w:r>
        <w:rPr>
          <w:rFonts w:ascii="Arial" w:cs="Arial" w:eastAsia="Arial" w:hAnsi="Arial"/>
          <w:b/>
          <w:bCs/>
          <w:color w:val="1F4E79"/>
          <w:sz w:val="24"/>
          <w:szCs w:val="24"/>
        </w:rPr>
        <w:t xml:space="preserve">Appendix A — Glossary (Selected Terms)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Term</w:t>
            </w:r>
          </w:p>
        </w:tc>
        <w:tc>
          <w:tcPr>
            <w:tcW w:type="dxa" w:w="7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6"/>
                <w:szCs w:val="16"/>
              </w:rPr>
              <w:t xml:space="preserve">Definition</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Master Data</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Core business entities that are relatively stable and shared across processes and modules.</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Reference Data</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Controlled code lists and classifications used to categorize master and transaction data.</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Transaction Data</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Records of business events that reference master and reference data.</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System of Record (SoR)</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The authoritative system responsible for creating and maintaining a given master domain.</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Business Partner / Party</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Unified master for external parties, specialized by role (supplier, subcontractor, client, etc.).</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WBS</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Work Breakdown Structure — hierarchical decomposition of project scope.</w:t>
            </w:r>
          </w:p>
        </w:tc>
      </w:tr>
      <w:tr>
        <w:tc>
          <w:tcPr>
            <w:tcW w:type="dxa" w:w="28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bCs/>
                <w:color w:val="333333"/>
                <w:sz w:val="16"/>
                <w:szCs w:val="16"/>
              </w:rPr>
              <w:t xml:space="preserve">BOQ</w:t>
            </w:r>
          </w:p>
        </w:tc>
        <w:tc>
          <w:tcPr>
            <w:tcW w:type="dxa" w:w="7400"/>
            <w:tcBorders>
              <w:top w:val="single" w:color="999999" w:sz="4"/>
              <w:left w:val="single" w:color="999999" w:sz="4"/>
              <w:bottom w:val="single" w:color="999999" w:sz="4"/>
              <w:right w:val="single" w:color="999999" w:sz="4"/>
            </w:tcBorders>
            <w:shd w:fill="FFFFFF"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Bill of Quantities — structured list of work items with quantities and rates.</w:t>
            </w:r>
          </w:p>
        </w:tc>
      </w:tr>
      <w:tr>
        <w:tc>
          <w:tcPr>
            <w:tcW w:type="dxa" w:w="28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bCs/>
                <w:color w:val="333333"/>
                <w:sz w:val="16"/>
                <w:szCs w:val="16"/>
              </w:rPr>
              <w:t xml:space="preserve">DLP</w:t>
            </w:r>
          </w:p>
        </w:tc>
        <w:tc>
          <w:tcPr>
            <w:tcW w:type="dxa" w:w="7400"/>
            <w:tcBorders>
              <w:top w:val="single" w:color="999999" w:sz="4"/>
              <w:left w:val="single" w:color="999999" w:sz="4"/>
              <w:bottom w:val="single" w:color="999999" w:sz="4"/>
              <w:right w:val="single" w:color="999999" w:sz="4"/>
            </w:tcBorders>
            <w:shd w:fill="F2F7FB" w:val="clear"/>
            <w:tcMar>
              <w:top w:type="dxa" w:w="40"/>
              <w:left w:type="dxa" w:w="60"/>
              <w:bottom w:type="dxa" w:w="40"/>
              <w:right w:type="dxa" w:w="60"/>
            </w:tcMar>
            <w:vAlign w:val="center"/>
          </w:tcPr>
          <w:p>
            <w:r>
              <w:rPr>
                <w:rFonts w:ascii="Arial" w:cs="Arial" w:eastAsia="Arial" w:hAnsi="Arial"/>
                <w:b w:val="false"/>
                <w:bCs w:val="false"/>
                <w:color w:val="333333"/>
                <w:sz w:val="16"/>
                <w:szCs w:val="16"/>
              </w:rPr>
              <w:t xml:space="preserve">Defects Liability Period — period after handover during which defects are remedied under contract.</w:t>
            </w:r>
          </w:p>
        </w:tc>
      </w:tr>
    </w:tbl>
    <w:p>
      <w:pPr>
        <w:pStyle w:val="Heading2"/>
        <w:spacing w:after="140" w:before="280"/>
      </w:pPr>
      <w:r>
        <w:rPr>
          <w:rFonts w:ascii="Arial" w:cs="Arial" w:eastAsia="Arial" w:hAnsi="Arial"/>
          <w:b/>
          <w:bCs/>
          <w:color w:val="1F4E79"/>
          <w:sz w:val="24"/>
          <w:szCs w:val="24"/>
        </w:rPr>
        <w:t xml:space="preserve">Appendix B — Document Status</w:t>
      </w:r>
    </w:p>
    <w:p>
      <w:pPr>
        <w:spacing w:after="80" w:before="80"/>
        <w:jc w:val="left"/>
      </w:pPr>
      <w:r>
        <w:rPr>
          <w:rFonts w:ascii="Arial" w:cs="Arial" w:eastAsia="Arial" w:hAnsi="Arial"/>
          <w:b w:val="false"/>
          <w:bCs w:val="false"/>
          <w:i w:val="false"/>
          <w:iCs w:val="false"/>
          <w:color w:val="333333"/>
          <w:sz w:val="20"/>
          <w:szCs w:val="20"/>
        </w:rPr>
        <w:t xml:space="preserve">This document is issued as Draft for Standardization. Entities marked Proposed are candidates for formal approval under DCOS MDM Governance. Upon approval, status will be updated to Approved and the catalogue version incremented.</w:t>
      </w:r>
    </w:p>
    <w:p>
      <w:pPr>
        <w:spacing w:after="60" w:before="60"/>
      </w:pPr>
    </w:p>
    <w:p>
      <w:pPr>
        <w:pBdr>
          <w:top w:val="single" w:color="1F4E79" w:sz="12" w:space="8"/>
        </w:pBdr>
        <w:spacing w:before="400"/>
        <w:jc w:val="center"/>
      </w:pPr>
      <w:r>
        <w:rPr>
          <w:rFonts w:ascii="Arial" w:cs="Arial" w:eastAsia="Arial" w:hAnsi="Arial"/>
          <w:b/>
          <w:bCs/>
          <w:color w:val="1F4E79"/>
          <w:sz w:val="24"/>
          <w:szCs w:val="24"/>
        </w:rPr>
        <w:t xml:space="preserve">END OF DCOS-MDM-CAT-001</w:t>
      </w:r>
    </w:p>
    <w:p>
      <w:pPr>
        <w:spacing w:before="120"/>
        <w:jc w:val="center"/>
      </w:pPr>
      <w:r>
        <w:rPr>
          <w:rFonts w:ascii="Arial" w:cs="Arial" w:eastAsia="Arial" w:hAnsi="Arial"/>
          <w:color w:val="666666"/>
          <w:sz w:val="18"/>
          <w:szCs w:val="18"/>
        </w:rPr>
        <w:t xml:space="preserve">DCOS Master Data Catalogue — Draft for Standardization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spacing w:before="60"/>
    </w:pPr>
    <w:r>
      <w:rPr>
        <w:rFonts w:ascii="Arial" w:cs="Arial" w:eastAsia="Arial" w:hAnsi="Arial"/>
        <w:color w:val="666666"/>
        <w:sz w:val="14"/>
        <w:szCs w:val="14"/>
      </w:rPr>
      <w:t xml:space="preserve">DCOS Enterprise Standard  |  Draft for Standardization  |  Page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of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4"/>
      </w:pBdr>
      <w:spacing w:after="80"/>
    </w:pPr>
    <w:r>
      <w:rPr>
        <w:rFonts w:ascii="Arial" w:cs="Arial" w:eastAsia="Arial" w:hAnsi="Arial"/>
        <w:b/>
        <w:bCs/>
        <w:color w:val="1F4E79"/>
        <w:sz w:val="16"/>
        <w:szCs w:val="16"/>
      </w:rPr>
      <w:t xml:space="preserve">DCOS-MDM-CAT-001  |  DCOS Master Data Catalogue</w:t>
    </w:r>
    <w:r>
      <w:rPr>
        <w:rFonts w:ascii="Arial" w:cs="Arial" w:eastAsia="Arial" w:hAnsi="Arial"/>
        <w:sz w:val="16"/>
        <w:szCs w:val="16"/>
      </w:rPr>
      <w:t xml:space="preserve">                                                                                          </w:t>
    </w:r>
    <w:r>
      <w:rPr>
        <w:rFonts w:ascii="Arial" w:cs="Arial" w:eastAsia="Arial" w:hAnsi="Arial"/>
        <w:b/>
        <w:bCs/>
        <w:color w:val="C00000"/>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7"/>
    <w:lvlOverride w:ilvl="0">
      <w:startOverride w:val="1"/>
    </w:lvlOverride>
  </w:num>
  <w:num w:numId="5">
    <w:abstractNumId w:val="8"/>
    <w:lvlOverride w:ilvl="0">
      <w:startOverride w:val="1"/>
    </w:lvlOverride>
  </w:num>
  <w:num w:numId="6">
    <w:abstractNumId w:val="6"/>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F4E79"/>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2026-09-04T00:48:22.421Z</dcterms:created>
  <dcterms:modified xsi:type="dcterms:W3CDTF">2026-09-04T00:48:22.421Z</dcterms:modified>
</cp:coreProperties>
</file>

<file path=docProps/custom.xml><?xml version="1.0" encoding="utf-8"?>
<Properties xmlns="http://schemas.openxmlformats.org/officeDocument/2006/custom-properties" xmlns:vt="http://schemas.openxmlformats.org/officeDocument/2006/docPropsVTypes"/>
</file>