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360" w:lineRule="auto"/>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 </w:t>
      </w:r>
    </w:p>
    <w:p w:rsidR="00000000" w:rsidDel="00000000" w:rsidP="00000000" w:rsidRDefault="00000000" w:rsidRPr="00000000" w14:paraId="00000002">
      <w:pPr>
        <w:spacing w:after="200" w:lineRule="auto"/>
        <w:jc w:val="right"/>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 </w:t>
      </w:r>
    </w:p>
    <w:p w:rsidR="00000000" w:rsidDel="00000000" w:rsidP="00000000" w:rsidRDefault="00000000" w:rsidRPr="00000000" w14:paraId="00000003">
      <w:pPr>
        <w:spacing w:after="200" w:lineRule="auto"/>
        <w:jc w:val="right"/>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 </w:t>
      </w:r>
    </w:p>
    <w:p w:rsidR="00000000" w:rsidDel="00000000" w:rsidP="00000000" w:rsidRDefault="00000000" w:rsidRPr="00000000" w14:paraId="00000004">
      <w:pPr>
        <w:spacing w:after="200" w:lineRule="auto"/>
        <w:jc w:val="right"/>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 </w:t>
      </w:r>
    </w:p>
    <w:p w:rsidR="00000000" w:rsidDel="00000000" w:rsidP="00000000" w:rsidRDefault="00000000" w:rsidRPr="00000000" w14:paraId="00000005">
      <w:pPr>
        <w:spacing w:after="200" w:lineRule="auto"/>
        <w:jc w:val="right"/>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 </w:t>
      </w:r>
    </w:p>
    <w:p w:rsidR="00000000" w:rsidDel="00000000" w:rsidP="00000000" w:rsidRDefault="00000000" w:rsidRPr="00000000" w14:paraId="00000006">
      <w:pPr>
        <w:spacing w:after="200" w:lineRule="auto"/>
        <w:jc w:val="right"/>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 </w:t>
      </w:r>
    </w:p>
    <w:p w:rsidR="00000000" w:rsidDel="00000000" w:rsidP="00000000" w:rsidRDefault="00000000" w:rsidRPr="00000000" w14:paraId="00000007">
      <w:pPr>
        <w:spacing w:after="200" w:lineRule="auto"/>
        <w:jc w:val="right"/>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 </w:t>
      </w:r>
    </w:p>
    <w:p w:rsidR="00000000" w:rsidDel="00000000" w:rsidP="00000000" w:rsidRDefault="00000000" w:rsidRPr="00000000" w14:paraId="00000008">
      <w:pPr>
        <w:spacing w:after="200" w:lineRule="auto"/>
        <w:jc w:val="right"/>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 </w:t>
      </w:r>
    </w:p>
    <w:p w:rsidR="00000000" w:rsidDel="00000000" w:rsidP="00000000" w:rsidRDefault="00000000" w:rsidRPr="00000000" w14:paraId="00000009">
      <w:pPr>
        <w:spacing w:after="200" w:lineRule="auto"/>
        <w:jc w:val="right"/>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 </w:t>
      </w:r>
    </w:p>
    <w:p w:rsidR="00000000" w:rsidDel="00000000" w:rsidP="00000000" w:rsidRDefault="00000000" w:rsidRPr="00000000" w14:paraId="0000000A">
      <w:pPr>
        <w:spacing w:after="200" w:lineRule="auto"/>
        <w:jc w:val="right"/>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 </w:t>
      </w:r>
    </w:p>
    <w:p w:rsidR="00000000" w:rsidDel="00000000" w:rsidP="00000000" w:rsidRDefault="00000000" w:rsidRPr="00000000" w14:paraId="0000000B">
      <w:pPr>
        <w:spacing w:after="200" w:lineRule="auto"/>
        <w:jc w:val="right"/>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 </w:t>
      </w:r>
    </w:p>
    <w:p w:rsidR="00000000" w:rsidDel="00000000" w:rsidP="00000000" w:rsidRDefault="00000000" w:rsidRPr="00000000" w14:paraId="0000000C">
      <w:pPr>
        <w:spacing w:after="200" w:lineRule="auto"/>
        <w:jc w:val="right"/>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  </w:t>
      </w:r>
    </w:p>
    <w:p w:rsidR="00000000" w:rsidDel="00000000" w:rsidP="00000000" w:rsidRDefault="00000000" w:rsidRPr="00000000" w14:paraId="0000000D">
      <w:pPr>
        <w:spacing w:after="200" w:lineRule="auto"/>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 </w:t>
      </w:r>
    </w:p>
    <w:p w:rsidR="00000000" w:rsidDel="00000000" w:rsidP="00000000" w:rsidRDefault="00000000" w:rsidRPr="00000000" w14:paraId="0000000E">
      <w:pPr>
        <w:spacing w:after="200" w:lineRule="auto"/>
        <w:jc w:val="right"/>
        <w:rPr>
          <w:rFonts w:ascii="Times New Roman" w:cs="Times New Roman" w:eastAsia="Times New Roman" w:hAnsi="Times New Roman"/>
          <w:b w:val="1"/>
          <w:bCs w:val="1"/>
          <w:color w:val="1b365d"/>
          <w:sz w:val="36"/>
          <w:szCs w:val="36"/>
        </w:rPr>
      </w:pPr>
      <w:r w:rsidDel="00000000" w:rsidR="00000000" w:rsidRPr="00000000">
        <w:rPr>
          <w:rFonts w:ascii="Times New Roman" w:cs="Times New Roman" w:eastAsia="Times New Roman" w:hAnsi="Times New Roman"/>
          <w:b w:val="1"/>
          <w:bCs w:val="1"/>
          <w:color w:val="1b365d"/>
          <w:sz w:val="36"/>
          <w:szCs w:val="36"/>
          <w:rtl w:val="0"/>
        </w:rPr>
        <w:t xml:space="preserve">B.M.L.P. BASNAYAKA</w:t>
      </w:r>
    </w:p>
    <w:p w:rsidR="00000000" w:rsidDel="00000000" w:rsidP="00000000" w:rsidRDefault="00000000" w:rsidRPr="00000000" w14:paraId="0000000F">
      <w:pPr>
        <w:spacing w:after="200" w:lineRule="auto"/>
        <w:jc w:val="right"/>
        <w:rPr>
          <w:rFonts w:ascii="Times New Roman" w:cs="Times New Roman" w:eastAsia="Times New Roman" w:hAnsi="Times New Roman"/>
          <w:b w:val="1"/>
          <w:bCs w:val="1"/>
          <w:color w:val="1b365d"/>
          <w:sz w:val="36"/>
          <w:szCs w:val="36"/>
        </w:rPr>
      </w:pPr>
      <w:r w:rsidDel="00000000" w:rsidR="00000000" w:rsidRPr="00000000">
        <w:rPr>
          <w:rFonts w:ascii="Times New Roman" w:cs="Times New Roman" w:eastAsia="Times New Roman" w:hAnsi="Times New Roman"/>
          <w:b w:val="1"/>
          <w:bCs w:val="1"/>
          <w:color w:val="1b365d"/>
          <w:sz w:val="36"/>
          <w:szCs w:val="36"/>
          <w:rtl w:val="0"/>
        </w:rPr>
        <w:t xml:space="preserve">FC223032</w:t>
      </w:r>
    </w:p>
    <w:p w:rsidR="00000000" w:rsidDel="00000000" w:rsidP="00000000" w:rsidRDefault="00000000" w:rsidRPr="00000000" w14:paraId="00000010">
      <w:pPr>
        <w:spacing w:after="200" w:lineRule="auto"/>
        <w:jc w:val="right"/>
        <w:rPr>
          <w:rFonts w:ascii="Times New Roman" w:cs="Times New Roman" w:eastAsia="Times New Roman" w:hAnsi="Times New Roman"/>
          <w:b w:val="1"/>
          <w:bCs w:val="1"/>
          <w:color w:val="1b365d"/>
          <w:sz w:val="36"/>
          <w:szCs w:val="36"/>
        </w:rPr>
      </w:pPr>
      <w:r w:rsidDel="00000000" w:rsidR="00000000" w:rsidRPr="00000000">
        <w:rPr>
          <w:rFonts w:ascii="Times New Roman" w:cs="Times New Roman" w:eastAsia="Times New Roman" w:hAnsi="Times New Roman"/>
          <w:b w:val="1"/>
          <w:bCs w:val="1"/>
          <w:color w:val="1b365d"/>
          <w:sz w:val="36"/>
          <w:szCs w:val="36"/>
          <w:rtl w:val="0"/>
        </w:rPr>
        <w:t xml:space="preserve">CIS3032</w:t>
        <w:br w:type="textWrapping"/>
      </w:r>
    </w:p>
    <w:p w:rsidR="00000000" w:rsidDel="00000000" w:rsidP="00000000" w:rsidRDefault="00000000" w:rsidRPr="00000000" w14:paraId="00000011">
      <w:pPr>
        <w:spacing w:after="80" w:line="360" w:lineRule="auto"/>
        <w:rPr>
          <w:rFonts w:ascii="Times New Roman" w:cs="Times New Roman" w:eastAsia="Times New Roman" w:hAnsi="Times New Roman"/>
          <w:b w:val="1"/>
          <w:bCs w:val="1"/>
          <w:color w:val="1b365d"/>
          <w:sz w:val="44"/>
          <w:szCs w:val="44"/>
        </w:rPr>
      </w:pPr>
      <w:r w:rsidDel="00000000" w:rsidR="00000000" w:rsidRPr="00000000">
        <w:rPr>
          <w:rFonts w:ascii="Times New Roman" w:cs="Times New Roman" w:eastAsia="Times New Roman" w:hAnsi="Times New Roman"/>
          <w:b w:val="1"/>
          <w:bCs w:val="1"/>
          <w:color w:val="1b365d"/>
          <w:sz w:val="44"/>
          <w:szCs w:val="44"/>
          <w:rtl w:val="0"/>
        </w:rPr>
        <w:t xml:space="preserve">Return-Aware Recommendation Systems:</w:t>
      </w:r>
    </w:p>
    <w:p w:rsidR="00000000" w:rsidDel="00000000" w:rsidP="00000000" w:rsidRDefault="00000000" w:rsidRPr="00000000" w14:paraId="00000012">
      <w:pPr>
        <w:spacing w:after="480" w:line="360" w:lineRule="auto"/>
        <w:rPr>
          <w:rFonts w:ascii="Times New Roman" w:cs="Times New Roman" w:eastAsia="Times New Roman" w:hAnsi="Times New Roman"/>
          <w:i w:val="1"/>
          <w:iCs w:val="1"/>
          <w:color w:val="555555"/>
          <w:sz w:val="28"/>
          <w:szCs w:val="28"/>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i w:val="1"/>
          <w:iCs w:val="1"/>
          <w:color w:val="555555"/>
          <w:sz w:val="28"/>
          <w:szCs w:val="28"/>
          <w:rtl w:val="0"/>
        </w:rPr>
        <w:t xml:space="preserve">Dynamic Real-Time Intervention to Reduce Product Return Rates in E-commerce Using Pre-Purchase Behavioral Signals</w:t>
      </w:r>
      <w:r w:rsidDel="00000000" w:rsidR="00000000" w:rsidRPr="00000000">
        <w:rPr>
          <w:rtl w:val="0"/>
        </w:rPr>
      </w:r>
    </w:p>
    <w:p w:rsidR="00000000" w:rsidDel="00000000" w:rsidP="00000000" w:rsidRDefault="00000000" w:rsidRPr="00000000" w14:paraId="00000013">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Fonts w:ascii="Times New Roman" w:cs="Times New Roman" w:eastAsia="Times New Roman" w:hAnsi="Times New Roman"/>
          <w:b w:val="1"/>
          <w:bCs w:val="1"/>
          <w:color w:val="1b365d"/>
          <w:sz w:val="32"/>
          <w:szCs w:val="32"/>
          <w:rtl w:val="0"/>
        </w:rPr>
        <w:t xml:space="preserve">1 Introduction</w:t>
      </w:r>
    </w:p>
    <w:p w:rsidR="00000000" w:rsidDel="00000000" w:rsidP="00000000" w:rsidRDefault="00000000" w:rsidRPr="00000000" w14:paraId="00000014">
      <w:pPr>
        <w:spacing w:after="3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shopping has grown a lot over the past decade, and honestly it feels pretty normal now for people to buy stuff without leaving home or going into physical stores. But for retailers, all that convenience has this kind of annoying side which is </w:t>
      </w:r>
      <w:r w:rsidDel="00000000" w:rsidR="00000000" w:rsidRPr="00000000">
        <w:rPr>
          <w:rFonts w:ascii="Times New Roman" w:cs="Times New Roman" w:eastAsia="Times New Roman" w:hAnsi="Times New Roman"/>
          <w:b w:val="1"/>
          <w:bCs w:val="1"/>
          <w:sz w:val="24"/>
          <w:szCs w:val="24"/>
          <w:rtl w:val="0"/>
        </w:rPr>
        <w:t xml:space="preserve">product returns</w:t>
      </w:r>
      <w:r w:rsidDel="00000000" w:rsidR="00000000" w:rsidRPr="00000000">
        <w:rPr>
          <w:rFonts w:ascii="Times New Roman" w:cs="Times New Roman" w:eastAsia="Times New Roman" w:hAnsi="Times New Roman"/>
          <w:sz w:val="24"/>
          <w:szCs w:val="24"/>
          <w:rtl w:val="0"/>
        </w:rPr>
        <w:t xml:space="preserve">. In fashion, return rates are especially high, often pushing past 30% of every purchase. When a customer returns an item, the company starts losing money, not just because the product comes back, but also shipping, handling, and in many cases the returned piece cannot be sold again at the original price. So, you get big financial losses, plus environmental waste that is pretty hard to ignore.</w:t>
      </w:r>
    </w:p>
    <w:p w:rsidR="00000000" w:rsidDel="00000000" w:rsidP="00000000" w:rsidRDefault="00000000" w:rsidRPr="00000000" w14:paraId="00000015">
      <w:pPr>
        <w:spacing w:after="3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reasons fashion items get sent back is that customers can’t really try them on before buying. Like a shirt might look great in the photos, but in real life it feels off like the fabric sits differently or the cut just looks weird. Pants can also fit in a way they never expected. That uncertainty makes shoppers hedge, order multiple sizes, or even choose near-identical options with the idea of keeping only one, then returning the rest. From the customer side this makes sense, but for businesses it becomes a serious operational problem, because it messes with inventory, forecasting, and logistics.</w:t>
      </w:r>
    </w:p>
    <w:p w:rsidR="00000000" w:rsidDel="00000000" w:rsidP="00000000" w:rsidRDefault="00000000" w:rsidRPr="00000000" w14:paraId="00000016">
      <w:pPr>
        <w:spacing w:after="3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traditional solutions for returns mostly talk about what happens after the order is made. Companies might make return policies stricter, add restocking fees, or treat returns as a cost they just have to accept. Still, a better direction might exist like what if returns could be predicted before the customer fully finishes the transaction. Like, if we could flag purchases that are likely to be returned ahead of time, we could step in right then, by showing more useful info, suggesting alternative products or guiding size choices. This kind of proactive move could lower return rates while also making customers happier, because they would get closer to the right fit the first time.</w:t>
      </w:r>
    </w:p>
    <w:p w:rsidR="00000000" w:rsidDel="00000000" w:rsidP="00000000" w:rsidRDefault="00000000" w:rsidRPr="00000000" w14:paraId="00000017">
      <w:pPr>
        <w:spacing w:after="120" w:line="360" w:lineRule="auto"/>
        <w:ind w:firstLine="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This research develops a return-aware recommendation system using the Amazon Fashion behavior sequences dataset. Here, use a sample of 3,000 interaction records from 313 unique customers, where each customer has at least three sequential browsing or purchasing actions. Using text analysis of customer reviews as a proxy for return behavior, we achieve nearly 90% accuracy in predicting returns. This provides a foundation for building real-time intervention systems that can guide customers toward purchases they will actually keep.</w:t>
      </w:r>
      <w:r w:rsidDel="00000000" w:rsidR="00000000" w:rsidRPr="00000000">
        <w:rPr>
          <w:rtl w:val="0"/>
        </w:rPr>
      </w:r>
    </w:p>
    <w:p w:rsidR="00000000" w:rsidDel="00000000" w:rsidP="00000000" w:rsidRDefault="00000000" w:rsidRPr="00000000" w14:paraId="00000018">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Fonts w:ascii="Times New Roman" w:cs="Times New Roman" w:eastAsia="Times New Roman" w:hAnsi="Times New Roman"/>
          <w:b w:val="1"/>
          <w:bCs w:val="1"/>
          <w:color w:val="1b365d"/>
          <w:sz w:val="32"/>
          <w:szCs w:val="32"/>
          <w:rtl w:val="0"/>
        </w:rPr>
        <w:t xml:space="preserve">2 Background</w:t>
      </w:r>
    </w:p>
    <w:p w:rsidR="00000000" w:rsidDel="00000000" w:rsidP="00000000" w:rsidRDefault="00000000" w:rsidRPr="00000000" w14:paraId="00000019">
      <w:pPr>
        <w:spacing w:after="80" w:before="240" w:lineRule="auto"/>
        <w:rPr>
          <w:rFonts w:ascii="Times New Roman" w:cs="Times New Roman" w:eastAsia="Times New Roman" w:hAnsi="Times New Roman"/>
          <w:b w:val="1"/>
          <w:bCs w:val="1"/>
          <w:color w:val="5c768d"/>
          <w:sz w:val="28"/>
          <w:szCs w:val="28"/>
        </w:rPr>
      </w:pPr>
      <w:r w:rsidDel="00000000" w:rsidR="00000000" w:rsidRPr="00000000">
        <w:rPr>
          <w:rFonts w:ascii="Times New Roman" w:cs="Times New Roman" w:eastAsia="Times New Roman" w:hAnsi="Times New Roman"/>
          <w:b w:val="1"/>
          <w:bCs w:val="1"/>
          <w:color w:val="5c768d"/>
          <w:sz w:val="28"/>
          <w:szCs w:val="28"/>
          <w:rtl w:val="0"/>
        </w:rPr>
        <w:t xml:space="preserve">2.1 Using Customer Reviews to Predict Returns</w:t>
      </w:r>
    </w:p>
    <w:p w:rsidR="00000000" w:rsidDel="00000000" w:rsidP="00000000" w:rsidRDefault="00000000" w:rsidRPr="00000000" w14:paraId="0000001A">
      <w:pPr>
        <w:spacing w:after="1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reviews can be sort of held inside an unstructured vault of post purchase behavioral clues, that sort of describes why items don’t really match what people expect. In written reviews, customers often say things really directly, product issues like asymmetric fits, fragile materials, color variances or even promotional images that look misleading. In their wording, they’re basically telling why the whole experience falls short. Textual analysis allows these post-purchase signals to be mined and mapped to predictive features capable of identifying systemic product defects before future transactions occur.</w:t>
      </w:r>
    </w:p>
    <w:p w:rsidR="00000000" w:rsidDel="00000000" w:rsidP="00000000" w:rsidRDefault="00000000" w:rsidRPr="00000000" w14:paraId="0000001B">
      <w:pPr>
        <w:spacing w:after="1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issue, Cheng et al. [1] analyzed customer reviews to pinpoint the exact reasons for product returns. Their framework uses text analysis to identify underlying product defects. They went with a fine-tuned BERT (Bidirectional Encoder Representations from Transformers) model, to sort through the review text and then slot product defects into clear categories like size, quality, fit or expectation mismatch. The main empirical result was pretty direct; when they added the text analysis, it boosted prediction precision by an average of about 20% compared to the baselines that just leaned on metadata only. Importantly, this method seems to address the cold-start problem too. Essentially by spotting recurring themes across reviews of comparable items, the model can guess return risks for newly listed products that don’t have any sales history yet.</w:t>
      </w:r>
    </w:p>
    <w:p w:rsidR="00000000" w:rsidDel="00000000" w:rsidP="00000000" w:rsidRDefault="00000000" w:rsidRPr="00000000" w14:paraId="0000001C">
      <w:pPr>
        <w:spacing w:after="1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methodology is highly relevant to our proposed architecture. The Amazon Fashion dataset utilized in this study contains rich textual reviews. By adapting text classification principles, we establish robust return labels (the is_returned field) via weak supervision. This approach circumvents a common academic constraint—the absence of explicit return transaction logs—by creating a valid synthetic ground truth to train real-time predictive models.</w:t>
      </w:r>
    </w:p>
    <w:p w:rsidR="00000000" w:rsidDel="00000000" w:rsidP="00000000" w:rsidRDefault="00000000" w:rsidRPr="00000000" w14:paraId="0000001D">
      <w:pPr>
        <w:spacing w:after="120" w:line="360" w:lineRule="auto"/>
        <w:ind w:firstLine="20"/>
        <w:jc w:val="both"/>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 </w:t>
      </w:r>
    </w:p>
    <w:p w:rsidR="00000000" w:rsidDel="00000000" w:rsidP="00000000" w:rsidRDefault="00000000" w:rsidRPr="00000000" w14:paraId="0000001E">
      <w:pPr>
        <w:spacing w:after="80" w:before="240" w:lineRule="auto"/>
        <w:rPr>
          <w:rFonts w:ascii="Times New Roman" w:cs="Times New Roman" w:eastAsia="Times New Roman" w:hAnsi="Times New Roman"/>
          <w:b w:val="1"/>
          <w:bCs w:val="1"/>
          <w:color w:val="5c768d"/>
          <w:sz w:val="28"/>
          <w:szCs w:val="28"/>
        </w:rPr>
      </w:pPr>
      <w:r w:rsidDel="00000000" w:rsidR="00000000" w:rsidRPr="00000000">
        <w:rPr>
          <w:rFonts w:ascii="Times New Roman" w:cs="Times New Roman" w:eastAsia="Times New Roman" w:hAnsi="Times New Roman"/>
          <w:b w:val="1"/>
          <w:bCs w:val="1"/>
          <w:color w:val="5c768d"/>
          <w:sz w:val="28"/>
          <w:szCs w:val="28"/>
          <w:rtl w:val="0"/>
        </w:rPr>
        <w:t xml:space="preserve">2.2 Product Categories as Return Predictors</w:t>
      </w:r>
    </w:p>
    <w:p w:rsidR="00000000" w:rsidDel="00000000" w:rsidP="00000000" w:rsidRDefault="00000000" w:rsidRPr="00000000" w14:paraId="0000001F">
      <w:pPr>
        <w:spacing w:after="1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unstructured review text, structured product features and categories are highly stable predictors of return rates. For instance, Farber et al. [2] evaluated more than 600,000 products to classify how a product's category and layout influence return behavior.</w:t>
      </w:r>
    </w:p>
    <w:p w:rsidR="00000000" w:rsidDel="00000000" w:rsidP="00000000" w:rsidRDefault="00000000" w:rsidRPr="00000000" w14:paraId="00000020">
      <w:pPr>
        <w:spacing w:after="1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structural analysis established that specific high-touch product categories, such as women's dresses, men's tailored suits, and formal footwear, yield intrinsically higher return rates compared to standardized categories like electronics or media. Furthermore, the structural formatting of product detail pages (PDP) heavily affects return frequencies. PDP layouts that embed comprehensive size matrix charts, explicit material compositions, and multi-dimensional measurements strongly correlate with lower return probabilities. This underscores that maximizing pre-purchase detail minimizes the expectation-disconfirmation gap that primarily drives returns.</w:t>
      </w:r>
    </w:p>
    <w:p w:rsidR="00000000" w:rsidDel="00000000" w:rsidP="00000000" w:rsidRDefault="00000000" w:rsidRPr="00000000" w14:paraId="00000021">
      <w:pPr>
        <w:spacing w:after="1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builds on these insights for feature engineering and incorporates structured product category tags and description completeness scores as primary input features within our return-aware engine. Combining these structural product factors with temporal behavioral sequences yields a highly holistic multi-modal input architecture.</w:t>
      </w:r>
    </w:p>
    <w:p w:rsidR="00000000" w:rsidDel="00000000" w:rsidP="00000000" w:rsidRDefault="00000000" w:rsidRPr="00000000" w14:paraId="00000022">
      <w:pPr>
        <w:spacing w:after="120" w:line="360" w:lineRule="auto"/>
        <w:ind w:firstLine="20"/>
        <w:jc w:val="both"/>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 </w:t>
      </w:r>
    </w:p>
    <w:p w:rsidR="00000000" w:rsidDel="00000000" w:rsidP="00000000" w:rsidRDefault="00000000" w:rsidRPr="00000000" w14:paraId="00000023">
      <w:pPr>
        <w:spacing w:after="80" w:before="240" w:lineRule="auto"/>
        <w:rPr>
          <w:rFonts w:ascii="Times New Roman" w:cs="Times New Roman" w:eastAsia="Times New Roman" w:hAnsi="Times New Roman"/>
          <w:b w:val="1"/>
          <w:bCs w:val="1"/>
          <w:color w:val="5c768d"/>
          <w:sz w:val="28"/>
          <w:szCs w:val="28"/>
        </w:rPr>
      </w:pPr>
      <w:r w:rsidDel="00000000" w:rsidR="00000000" w:rsidRPr="00000000">
        <w:rPr>
          <w:rFonts w:ascii="Times New Roman" w:cs="Times New Roman" w:eastAsia="Times New Roman" w:hAnsi="Times New Roman"/>
          <w:b w:val="1"/>
          <w:bCs w:val="1"/>
          <w:color w:val="5c768d"/>
          <w:sz w:val="28"/>
          <w:szCs w:val="28"/>
          <w:rtl w:val="0"/>
        </w:rPr>
        <w:t xml:space="preserve">2.3 Real-Time Prediction During Basket Assembly</w:t>
      </w:r>
    </w:p>
    <w:p w:rsidR="00000000" w:rsidDel="00000000" w:rsidP="00000000" w:rsidRDefault="00000000" w:rsidRPr="00000000" w14:paraId="00000024">
      <w:pPr>
        <w:spacing w:after="1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return models usually operate after the checkout process, which is often too late to prevent a return. To truly benefit e-commerce businesses, return risk needs to be calculated dynamically while customers are still building their shopping carts. This allows the system to step in with real-time interventions before the transaction is finalized.</w:t>
      </w:r>
    </w:p>
    <w:p w:rsidR="00000000" w:rsidDel="00000000" w:rsidP="00000000" w:rsidRDefault="00000000" w:rsidRPr="00000000" w14:paraId="00000025">
      <w:pPr>
        <w:spacing w:after="1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and Wang [3] addressed this constraint by proposing the COP-HGNN (Contextual Online Prediction using Heterogeneous Graph Neural Networks) framework. COP-HGNN continuously evaluates relational edges connecting customer nodes, historical transactional sequences, and specific product attribute nodes in real time as items are actively staged in the shopping cart.</w:t>
      </w:r>
    </w:p>
    <w:p w:rsidR="00000000" w:rsidDel="00000000" w:rsidP="00000000" w:rsidRDefault="00000000" w:rsidRPr="00000000" w14:paraId="00000026">
      <w:pPr>
        <w:spacing w:after="1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setups that treat data points independently, COP-HGNN preserves the connections between customers and products. The network uses this relational logic to flag risks. For instance, it can recognize that a user who returned a medium item from one brand is likely to return a similar cut from an affiliated label. Ma and Wang showed that COP-HGNN delivers high predictive accuracy before checkout. This makes real-time interventions possible, such as dynamic size guides, preventative sizing alerts, or re-ranking recommendations to favor lower-risk brands.</w:t>
      </w:r>
    </w:p>
    <w:p w:rsidR="00000000" w:rsidDel="00000000" w:rsidP="00000000" w:rsidRDefault="00000000" w:rsidRPr="00000000" w14:paraId="00000027">
      <w:pPr>
        <w:spacing w:after="1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real-time paradigm provides the theoretical foundation for this proposed return-aware recommendation architecture. Rather than treating return prediction as an isolated, post-purchase reporting task, we embed return risk coefficients directly into the live recommendation scoring function. When a user interacts with a high-risk product, the recommendation engine lowers its ranking score, seamlessly elevating structurally similar, lower-risk alternatives to optimize both conversion and retention.</w:t>
      </w:r>
    </w:p>
    <w:p w:rsidR="00000000" w:rsidDel="00000000" w:rsidP="00000000" w:rsidRDefault="00000000" w:rsidRPr="00000000" w14:paraId="00000028">
      <w:pPr>
        <w:spacing w:after="120" w:line="360" w:lineRule="auto"/>
        <w:ind w:firstLine="20"/>
        <w:jc w:val="both"/>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 </w:t>
      </w:r>
    </w:p>
    <w:p w:rsidR="00000000" w:rsidDel="00000000" w:rsidP="00000000" w:rsidRDefault="00000000" w:rsidRPr="00000000" w14:paraId="00000029">
      <w:pPr>
        <w:spacing w:after="80" w:before="240" w:lineRule="auto"/>
        <w:rPr>
          <w:rFonts w:ascii="Times New Roman" w:cs="Times New Roman" w:eastAsia="Times New Roman" w:hAnsi="Times New Roman"/>
          <w:b w:val="1"/>
          <w:bCs w:val="1"/>
          <w:color w:val="5c768d"/>
          <w:sz w:val="28"/>
          <w:szCs w:val="28"/>
        </w:rPr>
      </w:pPr>
      <w:r w:rsidDel="00000000" w:rsidR="00000000" w:rsidRPr="00000000">
        <w:rPr>
          <w:rFonts w:ascii="Times New Roman" w:cs="Times New Roman" w:eastAsia="Times New Roman" w:hAnsi="Times New Roman"/>
          <w:b w:val="1"/>
          <w:bCs w:val="1"/>
          <w:color w:val="5c768d"/>
          <w:sz w:val="28"/>
          <w:szCs w:val="28"/>
          <w:rtl w:val="0"/>
        </w:rPr>
        <w:t xml:space="preserve">2.4 Research Gaps and Our Contribution</w:t>
      </w:r>
    </w:p>
    <w:p w:rsidR="00000000" w:rsidDel="00000000" w:rsidP="00000000" w:rsidRDefault="00000000" w:rsidRPr="00000000" w14:paraId="0000002A">
      <w:pPr>
        <w:spacing w:after="120" w:line="36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systematic review of the literature reveals critical research gaps that motivate this architecture. While current frameworks address aspects of the problem, in isolation, e-commerce environments still miss a consolidated approach. The structured matrix below highlights the key limitations of existing models relative to this proposed framework:</w:t>
      </w:r>
    </w:p>
    <w:tbl>
      <w:tblPr>
        <w:tblStyle w:val="Table1"/>
        <w:tblW w:w="502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960"/>
        <w:gridCol w:w="1050"/>
        <w:gridCol w:w="975"/>
        <w:gridCol w:w="1170"/>
        <w:tblGridChange w:id="0">
          <w:tblGrid>
            <w:gridCol w:w="870"/>
            <w:gridCol w:w="960"/>
            <w:gridCol w:w="1050"/>
            <w:gridCol w:w="975"/>
            <w:gridCol w:w="1170"/>
          </w:tblGrid>
        </w:tblGridChange>
      </w:tblGrid>
      <w:tr>
        <w:trPr>
          <w:cantSplit w:val="0"/>
          <w:trHeight w:val="1005" w:hRule="atLeast"/>
          <w:tblHeader w:val="0"/>
        </w:trPr>
        <w:tc>
          <w:tcPr>
            <w:tcBorders>
              <w:top w:color="cccccc" w:space="0" w:sz="5" w:val="single"/>
              <w:left w:color="000000" w:space="0" w:sz="0" w:val="nil"/>
              <w:bottom w:color="cccccc" w:space="0" w:sz="5" w:val="single"/>
              <w:right w:color="000000" w:space="0" w:sz="0" w:val="nil"/>
            </w:tcBorders>
            <w:shd w:fill="1b365d" w:val="clear"/>
            <w:tcMar>
              <w:top w:w="120.0" w:type="dxa"/>
              <w:left w:w="100.0" w:type="dxa"/>
              <w:bottom w:w="120.0" w:type="dxa"/>
              <w:right w:w="100.0" w:type="dxa"/>
            </w:tcMar>
            <w:vAlign w:val="top"/>
          </w:tcPr>
          <w:p w:rsidR="00000000" w:rsidDel="00000000" w:rsidP="00000000" w:rsidRDefault="00000000" w:rsidRPr="00000000" w14:paraId="0000002B">
            <w:pPr>
              <w:spacing w:after="20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Dimension / Study</w:t>
            </w:r>
          </w:p>
        </w:tc>
        <w:tc>
          <w:tcPr>
            <w:tcBorders>
              <w:top w:color="cccccc" w:space="0" w:sz="5" w:val="single"/>
              <w:left w:color="000000" w:space="0" w:sz="0" w:val="nil"/>
              <w:bottom w:color="cccccc" w:space="0" w:sz="5" w:val="single"/>
              <w:right w:color="000000" w:space="0" w:sz="0" w:val="nil"/>
            </w:tcBorders>
            <w:shd w:fill="1b365d" w:val="clear"/>
            <w:tcMar>
              <w:top w:w="120.0" w:type="dxa"/>
              <w:left w:w="100.0" w:type="dxa"/>
              <w:bottom w:w="120.0" w:type="dxa"/>
              <w:right w:w="100.0" w:type="dxa"/>
            </w:tcMar>
            <w:vAlign w:val="top"/>
          </w:tcPr>
          <w:p w:rsidR="00000000" w:rsidDel="00000000" w:rsidP="00000000" w:rsidRDefault="00000000" w:rsidRPr="00000000" w14:paraId="0000002C">
            <w:pPr>
              <w:spacing w:after="20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Cheng et al. [1]</w:t>
            </w:r>
          </w:p>
        </w:tc>
        <w:tc>
          <w:tcPr>
            <w:tcBorders>
              <w:top w:color="cccccc" w:space="0" w:sz="5" w:val="single"/>
              <w:left w:color="000000" w:space="0" w:sz="0" w:val="nil"/>
              <w:bottom w:color="cccccc" w:space="0" w:sz="5" w:val="single"/>
              <w:right w:color="000000" w:space="0" w:sz="0" w:val="nil"/>
            </w:tcBorders>
            <w:shd w:fill="1b365d" w:val="clear"/>
            <w:tcMar>
              <w:top w:w="120.0" w:type="dxa"/>
              <w:left w:w="100.0" w:type="dxa"/>
              <w:bottom w:w="120.0" w:type="dxa"/>
              <w:right w:w="100.0" w:type="dxa"/>
            </w:tcMar>
            <w:vAlign w:val="top"/>
          </w:tcPr>
          <w:p w:rsidR="00000000" w:rsidDel="00000000" w:rsidP="00000000" w:rsidRDefault="00000000" w:rsidRPr="00000000" w14:paraId="0000002D">
            <w:pPr>
              <w:spacing w:after="20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Farber et al. [2]</w:t>
            </w:r>
          </w:p>
        </w:tc>
        <w:tc>
          <w:tcPr>
            <w:tcBorders>
              <w:top w:color="cccccc" w:space="0" w:sz="5" w:val="single"/>
              <w:left w:color="000000" w:space="0" w:sz="0" w:val="nil"/>
              <w:bottom w:color="cccccc" w:space="0" w:sz="5" w:val="single"/>
              <w:right w:color="000000" w:space="0" w:sz="0" w:val="nil"/>
            </w:tcBorders>
            <w:shd w:fill="1b365d" w:val="clear"/>
            <w:tcMar>
              <w:top w:w="120.0" w:type="dxa"/>
              <w:left w:w="100.0" w:type="dxa"/>
              <w:bottom w:w="120.0" w:type="dxa"/>
              <w:right w:w="100.0" w:type="dxa"/>
            </w:tcMar>
            <w:vAlign w:val="top"/>
          </w:tcPr>
          <w:p w:rsidR="00000000" w:rsidDel="00000000" w:rsidP="00000000" w:rsidRDefault="00000000" w:rsidRPr="00000000" w14:paraId="0000002E">
            <w:pPr>
              <w:spacing w:after="20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Ma &amp; Wang [3]</w:t>
            </w:r>
          </w:p>
        </w:tc>
        <w:tc>
          <w:tcPr>
            <w:tcBorders>
              <w:top w:color="cccccc" w:space="0" w:sz="5" w:val="single"/>
              <w:left w:color="000000" w:space="0" w:sz="0" w:val="nil"/>
              <w:bottom w:color="cccccc" w:space="0" w:sz="5" w:val="single"/>
              <w:right w:color="000000" w:space="0" w:sz="0" w:val="nil"/>
            </w:tcBorders>
            <w:shd w:fill="1b365d" w:val="clear"/>
            <w:tcMar>
              <w:top w:w="120.0" w:type="dxa"/>
              <w:left w:w="100.0" w:type="dxa"/>
              <w:bottom w:w="120.0" w:type="dxa"/>
              <w:right w:w="100.0" w:type="dxa"/>
            </w:tcMar>
            <w:vAlign w:val="top"/>
          </w:tcPr>
          <w:p w:rsidR="00000000" w:rsidDel="00000000" w:rsidP="00000000" w:rsidRDefault="00000000" w:rsidRPr="00000000" w14:paraId="0000002F">
            <w:pPr>
              <w:spacing w:after="20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This Proposed Framework</w:t>
            </w:r>
          </w:p>
        </w:tc>
      </w:tr>
      <w:tr>
        <w:trPr>
          <w:cantSplit w:val="0"/>
          <w:trHeight w:val="1785" w:hRule="atLeast"/>
          <w:tblHeader w:val="0"/>
        </w:trPr>
        <w:tc>
          <w:tcPr>
            <w:tcBorders>
              <w:top w:color="000000" w:space="0" w:sz="0" w:val="nil"/>
              <w:left w:color="000000" w:space="0" w:sz="0" w:val="nil"/>
              <w:bottom w:color="cccccc"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Primary Data &amp; Signal Focus</w:t>
            </w:r>
          </w:p>
        </w:tc>
        <w:tc>
          <w:tcPr>
            <w:tcBorders>
              <w:top w:color="000000" w:space="0" w:sz="0" w:val="nil"/>
              <w:left w:color="000000" w:space="0" w:sz="0" w:val="nil"/>
              <w:bottom w:color="cccccc"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Post-purchase customer review text.</w:t>
            </w:r>
          </w:p>
        </w:tc>
        <w:tc>
          <w:tcPr>
            <w:tcBorders>
              <w:top w:color="000000" w:space="0" w:sz="0" w:val="nil"/>
              <w:left w:color="000000" w:space="0" w:sz="0" w:val="nil"/>
              <w:bottom w:color="cccccc"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Large-scale product catalog categories &amp; descriptions.</w:t>
            </w:r>
          </w:p>
        </w:tc>
        <w:tc>
          <w:tcPr>
            <w:tcBorders>
              <w:top w:color="000000" w:space="0" w:sz="0" w:val="nil"/>
              <w:left w:color="000000" w:space="0" w:sz="0" w:val="nil"/>
              <w:bottom w:color="cccccc"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Real-time behavioral graphs &amp; user order sequences.</w:t>
            </w:r>
          </w:p>
        </w:tc>
        <w:tc>
          <w:tcPr>
            <w:tcBorders>
              <w:top w:color="000000" w:space="0" w:sz="0" w:val="nil"/>
              <w:left w:color="000000" w:space="0" w:sz="0" w:val="nil"/>
              <w:bottom w:color="cccccc"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00" w:lineRule="auto"/>
              <w:rPr>
                <w:rFonts w:ascii="Times New Roman" w:cs="Times New Roman" w:eastAsia="Times New Roman" w:hAnsi="Times New Roman"/>
                <w:color w:val="1b365d"/>
                <w:sz w:val="18"/>
                <w:szCs w:val="18"/>
              </w:rPr>
            </w:pPr>
            <w:r w:rsidDel="00000000" w:rsidR="00000000" w:rsidRPr="00000000">
              <w:rPr>
                <w:rFonts w:ascii="Times New Roman" w:cs="Times New Roman" w:eastAsia="Times New Roman" w:hAnsi="Times New Roman"/>
                <w:color w:val="1b365d"/>
                <w:sz w:val="18"/>
                <w:szCs w:val="18"/>
                <w:rtl w:val="0"/>
              </w:rPr>
              <w:t xml:space="preserve">Multi-modal integration: Review text, categories, &amp; sequence data.</w:t>
            </w:r>
          </w:p>
        </w:tc>
      </w:tr>
      <w:tr>
        <w:trPr>
          <w:cantSplit w:val="0"/>
          <w:trHeight w:val="1785" w:hRule="atLeast"/>
          <w:tblHeader w:val="0"/>
        </w:trPr>
        <w:tc>
          <w:tcPr>
            <w:tcBorders>
              <w:top w:color="000000" w:space="0" w:sz="0" w:val="nil"/>
              <w:left w:color="000000" w:space="0" w:sz="0" w:val="nil"/>
              <w:bottom w:color="cccccc" w:space="0" w:sz="5" w:val="single"/>
              <w:right w:color="000000" w:space="0" w:sz="0" w:val="nil"/>
            </w:tcBorders>
            <w:shd w:fill="f4f6f8" w:val="clear"/>
            <w:tcMar>
              <w:top w:w="100.0" w:type="dxa"/>
              <w:left w:w="100.0" w:type="dxa"/>
              <w:bottom w:w="100.0" w:type="dxa"/>
              <w:right w:w="100.0" w:type="dxa"/>
            </w:tcMar>
            <w:vAlign w:val="top"/>
          </w:tcPr>
          <w:p w:rsidR="00000000" w:rsidDel="00000000" w:rsidP="00000000" w:rsidRDefault="00000000" w:rsidRPr="00000000" w14:paraId="00000035">
            <w:pPr>
              <w:spacing w:after="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Methodology &amp; Core Models</w:t>
            </w:r>
          </w:p>
        </w:tc>
        <w:tc>
          <w:tcPr>
            <w:tcBorders>
              <w:top w:color="000000" w:space="0" w:sz="0" w:val="nil"/>
              <w:left w:color="000000" w:space="0" w:sz="0" w:val="nil"/>
              <w:bottom w:color="cccccc" w:space="0" w:sz="5" w:val="single"/>
              <w:right w:color="000000" w:space="0" w:sz="0" w:val="nil"/>
            </w:tcBorders>
            <w:shd w:fill="f4f6f8" w:val="clear"/>
            <w:tcMar>
              <w:top w:w="100.0" w:type="dxa"/>
              <w:left w:w="100.0" w:type="dxa"/>
              <w:bottom w:w="100.0" w:type="dxa"/>
              <w:right w:w="100.0" w:type="dxa"/>
            </w:tcMar>
            <w:vAlign w:val="top"/>
          </w:tcPr>
          <w:p w:rsidR="00000000" w:rsidDel="00000000" w:rsidP="00000000" w:rsidRDefault="00000000" w:rsidRPr="00000000" w14:paraId="00000036">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Fine-tuned BERT for defect taxonomy classification.</w:t>
            </w:r>
          </w:p>
        </w:tc>
        <w:tc>
          <w:tcPr>
            <w:tcBorders>
              <w:top w:color="000000" w:space="0" w:sz="0" w:val="nil"/>
              <w:left w:color="000000" w:space="0" w:sz="0" w:val="nil"/>
              <w:bottom w:color="cccccc" w:space="0" w:sz="5" w:val="single"/>
              <w:right w:color="000000" w:space="0" w:sz="0" w:val="nil"/>
            </w:tcBorders>
            <w:shd w:fill="f4f6f8" w:val="clear"/>
            <w:tcMar>
              <w:top w:w="100.0" w:type="dxa"/>
              <w:left w:w="100.0" w:type="dxa"/>
              <w:bottom w:w="100.0" w:type="dxa"/>
              <w:right w:w="100.0" w:type="dxa"/>
            </w:tcMar>
            <w:vAlign w:val="top"/>
          </w:tcPr>
          <w:p w:rsidR="00000000" w:rsidDel="00000000" w:rsidP="00000000" w:rsidRDefault="00000000" w:rsidRPr="00000000" w14:paraId="00000037">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Statistical correlation &amp; descriptive layout analysis.</w:t>
            </w:r>
          </w:p>
        </w:tc>
        <w:tc>
          <w:tcPr>
            <w:tcBorders>
              <w:top w:color="000000" w:space="0" w:sz="0" w:val="nil"/>
              <w:left w:color="000000" w:space="0" w:sz="0" w:val="nil"/>
              <w:bottom w:color="cccccc" w:space="0" w:sz="5" w:val="single"/>
              <w:right w:color="000000" w:space="0" w:sz="0" w:val="nil"/>
            </w:tcBorders>
            <w:shd w:fill="f4f6f8" w:val="clear"/>
            <w:tcMar>
              <w:top w:w="100.0" w:type="dxa"/>
              <w:left w:w="100.0" w:type="dxa"/>
              <w:bottom w:w="100.0" w:type="dxa"/>
              <w:right w:w="100.0" w:type="dxa"/>
            </w:tcMar>
            <w:vAlign w:val="top"/>
          </w:tcPr>
          <w:p w:rsidR="00000000" w:rsidDel="00000000" w:rsidP="00000000" w:rsidRDefault="00000000" w:rsidRPr="00000000" w14:paraId="00000038">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Heterogeneous Graph Neural Networks (COP-HGNN).</w:t>
            </w:r>
          </w:p>
        </w:tc>
        <w:tc>
          <w:tcPr>
            <w:tcBorders>
              <w:top w:color="000000" w:space="0" w:sz="0" w:val="nil"/>
              <w:left w:color="000000" w:space="0" w:sz="0" w:val="nil"/>
              <w:bottom w:color="cccccc" w:space="0" w:sz="5" w:val="single"/>
              <w:right w:color="000000" w:space="0" w:sz="0" w:val="nil"/>
            </w:tcBorders>
            <w:shd w:fill="f4f6f8" w:val="clear"/>
            <w:tcMar>
              <w:top w:w="100.0" w:type="dxa"/>
              <w:left w:w="100.0" w:type="dxa"/>
              <w:bottom w:w="100.0" w:type="dxa"/>
              <w:right w:w="100.0" w:type="dxa"/>
            </w:tcMar>
            <w:vAlign w:val="top"/>
          </w:tcPr>
          <w:p w:rsidR="00000000" w:rsidDel="00000000" w:rsidP="00000000" w:rsidRDefault="00000000" w:rsidRPr="00000000" w14:paraId="00000039">
            <w:pPr>
              <w:spacing w:after="200" w:lineRule="auto"/>
              <w:rPr>
                <w:rFonts w:ascii="Times New Roman" w:cs="Times New Roman" w:eastAsia="Times New Roman" w:hAnsi="Times New Roman"/>
                <w:sz w:val="18"/>
                <w:szCs w:val="18"/>
                <w:highlight w:val="yellow"/>
              </w:rPr>
            </w:pPr>
            <w:r w:rsidDel="00000000" w:rsidR="00000000" w:rsidRPr="00000000">
              <w:rPr>
                <w:rFonts w:ascii="Times New Roman" w:cs="Times New Roman" w:eastAsia="Times New Roman" w:hAnsi="Times New Roman"/>
                <w:sz w:val="18"/>
                <w:szCs w:val="18"/>
                <w:highlight w:val="yellow"/>
                <w:rtl w:val="0"/>
              </w:rPr>
              <w:t xml:space="preserve">Update in future</w:t>
            </w:r>
          </w:p>
        </w:tc>
      </w:tr>
      <w:tr>
        <w:trPr>
          <w:cantSplit w:val="0"/>
          <w:trHeight w:val="1785" w:hRule="atLeast"/>
          <w:tblHeader w:val="0"/>
        </w:trPr>
        <w:tc>
          <w:tcPr>
            <w:tcBorders>
              <w:top w:color="000000" w:space="0" w:sz="0" w:val="nil"/>
              <w:left w:color="000000" w:space="0" w:sz="0" w:val="nil"/>
              <w:bottom w:color="cccccc"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Dataset Accessibility</w:t>
            </w:r>
          </w:p>
        </w:tc>
        <w:tc>
          <w:tcPr>
            <w:tcBorders>
              <w:top w:color="000000" w:space="0" w:sz="0" w:val="nil"/>
              <w:left w:color="000000" w:space="0" w:sz="0" w:val="nil"/>
              <w:bottom w:color="cccccc"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Proprietary Amazon internal dataset (Not publicly shared).</w:t>
            </w:r>
          </w:p>
        </w:tc>
        <w:tc>
          <w:tcPr>
            <w:tcBorders>
              <w:top w:color="000000" w:space="0" w:sz="0" w:val="nil"/>
              <w:left w:color="000000" w:space="0" w:sz="0" w:val="nil"/>
              <w:bottom w:color="cccccc"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Proprietary e-commerce catalog data (Restricted access).</w:t>
            </w:r>
          </w:p>
        </w:tc>
        <w:tc>
          <w:tcPr>
            <w:tcBorders>
              <w:top w:color="000000" w:space="0" w:sz="0" w:val="nil"/>
              <w:left w:color="000000" w:space="0" w:sz="0" w:val="nil"/>
              <w:bottom w:color="cccccc"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Proprietary transactional &amp; behavioral history data.</w:t>
            </w:r>
          </w:p>
        </w:tc>
        <w:tc>
          <w:tcPr>
            <w:tcBorders>
              <w:top w:color="000000" w:space="0" w:sz="0" w:val="nil"/>
              <w:left w:color="000000" w:space="0" w:sz="0" w:val="nil"/>
              <w:bottom w:color="cccccc"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00" w:lineRule="auto"/>
              <w:rPr>
                <w:rFonts w:ascii="Times New Roman" w:cs="Times New Roman" w:eastAsia="Times New Roman" w:hAnsi="Times New Roman"/>
                <w:color w:val="1b365d"/>
                <w:sz w:val="18"/>
                <w:szCs w:val="18"/>
              </w:rPr>
            </w:pPr>
            <w:r w:rsidDel="00000000" w:rsidR="00000000" w:rsidRPr="00000000">
              <w:rPr>
                <w:rFonts w:ascii="Times New Roman" w:cs="Times New Roman" w:eastAsia="Times New Roman" w:hAnsi="Times New Roman"/>
                <w:color w:val="1b365d"/>
                <w:sz w:val="18"/>
                <w:szCs w:val="18"/>
                <w:rtl w:val="0"/>
              </w:rPr>
              <w:t xml:space="preserve">Curated Amazon Fashion sample (3,000 records, highly reproducible).</w:t>
            </w:r>
          </w:p>
        </w:tc>
      </w:tr>
      <w:tr>
        <w:trPr>
          <w:cantSplit w:val="0"/>
          <w:trHeight w:val="1785" w:hRule="atLeast"/>
          <w:tblHeader w:val="0"/>
        </w:trPr>
        <w:tc>
          <w:tcPr>
            <w:tcBorders>
              <w:top w:color="000000" w:space="0" w:sz="0" w:val="nil"/>
              <w:left w:color="000000" w:space="0" w:sz="0" w:val="nil"/>
              <w:bottom w:color="cccccc" w:space="0" w:sz="5" w:val="single"/>
              <w:right w:color="000000" w:space="0" w:sz="0" w:val="nil"/>
            </w:tcBorders>
            <w:shd w:fill="f4f6f8" w:val="clear"/>
            <w:tcMar>
              <w:top w:w="100.0" w:type="dxa"/>
              <w:left w:w="100.0" w:type="dxa"/>
              <w:bottom w:w="100.0" w:type="dxa"/>
              <w:right w:w="100.0" w:type="dxa"/>
            </w:tcMar>
            <w:vAlign w:val="top"/>
          </w:tcPr>
          <w:p w:rsidR="00000000" w:rsidDel="00000000" w:rsidP="00000000" w:rsidRDefault="00000000" w:rsidRPr="00000000" w14:paraId="0000003F">
            <w:pPr>
              <w:spacing w:after="20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Recommendation System Coupling</w:t>
            </w:r>
          </w:p>
        </w:tc>
        <w:tc>
          <w:tcPr>
            <w:tcBorders>
              <w:top w:color="000000" w:space="0" w:sz="0" w:val="nil"/>
              <w:left w:color="000000" w:space="0" w:sz="0" w:val="nil"/>
              <w:bottom w:color="cccccc" w:space="0" w:sz="5" w:val="single"/>
              <w:right w:color="000000" w:space="0" w:sz="0" w:val="nil"/>
            </w:tcBorders>
            <w:shd w:fill="f4f6f8" w:val="clear"/>
            <w:tcMar>
              <w:top w:w="100.0" w:type="dxa"/>
              <w:left w:w="100.0" w:type="dxa"/>
              <w:bottom w:w="100.0" w:type="dxa"/>
              <w:right w:w="100.0" w:type="dxa"/>
            </w:tcMar>
            <w:vAlign w:val="top"/>
          </w:tcPr>
          <w:p w:rsidR="00000000" w:rsidDel="00000000" w:rsidP="00000000" w:rsidRDefault="00000000" w:rsidRPr="00000000" w14:paraId="00000040">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Restricted strictly to post-purchase defect classification.</w:t>
            </w:r>
          </w:p>
        </w:tc>
        <w:tc>
          <w:tcPr>
            <w:tcBorders>
              <w:top w:color="000000" w:space="0" w:sz="0" w:val="nil"/>
              <w:left w:color="000000" w:space="0" w:sz="0" w:val="nil"/>
              <w:bottom w:color="cccccc" w:space="0" w:sz="5" w:val="single"/>
              <w:right w:color="000000" w:space="0" w:sz="0" w:val="nil"/>
            </w:tcBorders>
            <w:shd w:fill="f4f6f8" w:val="clear"/>
            <w:tcMar>
              <w:top w:w="100.0" w:type="dxa"/>
              <w:left w:w="100.0" w:type="dxa"/>
              <w:bottom w:w="100.0" w:type="dxa"/>
              <w:right w:w="100.0" w:type="dxa"/>
            </w:tcMar>
            <w:vAlign w:val="top"/>
          </w:tcPr>
          <w:p w:rsidR="00000000" w:rsidDel="00000000" w:rsidP="00000000" w:rsidRDefault="00000000" w:rsidRPr="00000000" w14:paraId="00000041">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Limited to offline page optimization suggestions.</w:t>
            </w:r>
          </w:p>
        </w:tc>
        <w:tc>
          <w:tcPr>
            <w:tcBorders>
              <w:top w:color="000000" w:space="0" w:sz="0" w:val="nil"/>
              <w:left w:color="000000" w:space="0" w:sz="0" w:val="nil"/>
              <w:bottom w:color="cccccc" w:space="0" w:sz="5" w:val="single"/>
              <w:right w:color="000000" w:space="0" w:sz="0" w:val="nil"/>
            </w:tcBorders>
            <w:shd w:fill="f4f6f8" w:val="clear"/>
            <w:tcMar>
              <w:top w:w="100.0" w:type="dxa"/>
              <w:left w:w="100.0" w:type="dxa"/>
              <w:bottom w:w="100.0" w:type="dxa"/>
              <w:right w:w="100.0" w:type="dxa"/>
            </w:tcMar>
            <w:vAlign w:val="top"/>
          </w:tcPr>
          <w:p w:rsidR="00000000" w:rsidDel="00000000" w:rsidP="00000000" w:rsidRDefault="00000000" w:rsidRPr="00000000" w14:paraId="00000042">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Enables manual triggers (e.g., size guide alerts).</w:t>
            </w:r>
          </w:p>
        </w:tc>
        <w:tc>
          <w:tcPr>
            <w:tcBorders>
              <w:top w:color="000000" w:space="0" w:sz="0" w:val="nil"/>
              <w:left w:color="000000" w:space="0" w:sz="0" w:val="nil"/>
              <w:bottom w:color="cccccc" w:space="0" w:sz="5" w:val="single"/>
              <w:right w:color="000000" w:space="0" w:sz="0" w:val="nil"/>
            </w:tcBorders>
            <w:shd w:fill="f4f6f8" w:val="clear"/>
            <w:tcMar>
              <w:top w:w="100.0" w:type="dxa"/>
              <w:left w:w="100.0" w:type="dxa"/>
              <w:bottom w:w="100.0" w:type="dxa"/>
              <w:right w:w="100.0" w:type="dxa"/>
            </w:tcMar>
            <w:vAlign w:val="top"/>
          </w:tcPr>
          <w:p w:rsidR="00000000" w:rsidDel="00000000" w:rsidP="00000000" w:rsidRDefault="00000000" w:rsidRPr="00000000" w14:paraId="00000043">
            <w:pPr>
              <w:spacing w:after="200" w:lineRule="auto"/>
              <w:rPr>
                <w:rFonts w:ascii="Times New Roman" w:cs="Times New Roman" w:eastAsia="Times New Roman" w:hAnsi="Times New Roman"/>
                <w:color w:val="1b365d"/>
                <w:sz w:val="18"/>
                <w:szCs w:val="18"/>
              </w:rPr>
            </w:pPr>
            <w:r w:rsidDel="00000000" w:rsidR="00000000" w:rsidRPr="00000000">
              <w:rPr>
                <w:rFonts w:ascii="Times New Roman" w:cs="Times New Roman" w:eastAsia="Times New Roman" w:hAnsi="Times New Roman"/>
                <w:color w:val="1b365d"/>
                <w:sz w:val="18"/>
                <w:szCs w:val="18"/>
                <w:rtl w:val="0"/>
              </w:rPr>
              <w:t xml:space="preserve">Return risk integrated directly into recommendation scoring.</w:t>
            </w:r>
          </w:p>
        </w:tc>
      </w:tr>
    </w:tbl>
    <w:p w:rsidR="00000000" w:rsidDel="00000000" w:rsidP="00000000" w:rsidRDefault="00000000" w:rsidRPr="00000000" w14:paraId="00000044">
      <w:pPr>
        <w:spacing w:after="240" w:before="120" w:lineRule="auto"/>
        <w:jc w:val="center"/>
        <w:rPr>
          <w:rFonts w:ascii="Times New Roman" w:cs="Times New Roman" w:eastAsia="Times New Roman" w:hAnsi="Times New Roman"/>
          <w:i w:val="1"/>
          <w:iCs w:val="1"/>
          <w:sz w:val="19"/>
          <w:szCs w:val="19"/>
        </w:rPr>
      </w:pPr>
      <w:r w:rsidDel="00000000" w:rsidR="00000000" w:rsidRPr="00000000">
        <w:rPr>
          <w:rFonts w:ascii="Times New Roman" w:cs="Times New Roman" w:eastAsia="Times New Roman" w:hAnsi="Times New Roman"/>
          <w:i w:val="1"/>
          <w:iCs w:val="1"/>
          <w:sz w:val="19"/>
          <w:szCs w:val="19"/>
          <w:rtl w:val="0"/>
        </w:rPr>
        <w:t xml:space="preserve">Table 1: Comparative matrix illustrating gaps in literature and our framework's unified contribution.</w:t>
      </w:r>
    </w:p>
    <w:p w:rsidR="00000000" w:rsidDel="00000000" w:rsidP="00000000" w:rsidRDefault="00000000" w:rsidRPr="00000000" w14:paraId="0000004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identified gaps, this research introduces three primary contributions to the domain:</w:t>
      </w:r>
    </w:p>
    <w:p w:rsidR="00000000" w:rsidDel="00000000" w:rsidP="00000000" w:rsidRDefault="00000000" w:rsidRPr="00000000" w14:paraId="00000047">
      <w:pPr>
        <w:spacing w:after="60" w:line="360" w:lineRule="auto"/>
        <w:ind w:left="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Multi-Signal Fusion Architecture: </w:t>
      </w:r>
      <w:r w:rsidDel="00000000" w:rsidR="00000000" w:rsidRPr="00000000">
        <w:rPr>
          <w:rFonts w:ascii="Times New Roman" w:cs="Times New Roman" w:eastAsia="Times New Roman" w:hAnsi="Times New Roman"/>
          <w:sz w:val="24"/>
          <w:szCs w:val="24"/>
          <w:rtl w:val="0"/>
        </w:rPr>
        <w:t xml:space="preserve">We seamlessly combine unstructured review text analysis, structured product categories, and sequential behavioral patterns within a singular, unified prediction framework.</w:t>
      </w:r>
    </w:p>
    <w:p w:rsidR="00000000" w:rsidDel="00000000" w:rsidP="00000000" w:rsidRDefault="00000000" w:rsidRPr="00000000" w14:paraId="00000048">
      <w:pPr>
        <w:spacing w:after="60" w:line="360" w:lineRule="auto"/>
        <w:ind w:left="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Accessible and Standardized Benchmark: </w:t>
      </w:r>
      <w:r w:rsidDel="00000000" w:rsidR="00000000" w:rsidRPr="00000000">
        <w:rPr>
          <w:rFonts w:ascii="Times New Roman" w:cs="Times New Roman" w:eastAsia="Times New Roman" w:hAnsi="Times New Roman"/>
          <w:sz w:val="24"/>
          <w:szCs w:val="24"/>
          <w:rtl w:val="0"/>
        </w:rPr>
        <w:t xml:space="preserve">Our curated 3,000-record Amazon Fashion sample provides a reproducible, open-access dataset tailored for sequential return prediction research, delivering a baseline accuracy of nearly 90% via text-driven weak supervision.</w:t>
      </w:r>
    </w:p>
    <w:p w:rsidR="00000000" w:rsidDel="00000000" w:rsidP="00000000" w:rsidRDefault="00000000" w:rsidRPr="00000000" w14:paraId="00000049">
      <w:pPr>
        <w:spacing w:after="360" w:line="360" w:lineRule="auto"/>
        <w:ind w:left="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Return-Aware Scoring Integration: </w:t>
      </w:r>
      <w:r w:rsidDel="00000000" w:rsidR="00000000" w:rsidRPr="00000000">
        <w:rPr>
          <w:rFonts w:ascii="Times New Roman" w:cs="Times New Roman" w:eastAsia="Times New Roman" w:hAnsi="Times New Roman"/>
          <w:sz w:val="24"/>
          <w:szCs w:val="24"/>
          <w:rtl w:val="0"/>
        </w:rPr>
        <w:t xml:space="preserve">We embed predictive return risk coefficients directly inside active recommendation scoring formulas, enabling live item demotions and the promotion of sustainable, low-risk alternatives during basket assembly.</w:t>
      </w:r>
    </w:p>
    <w:p w:rsidR="00000000" w:rsidDel="00000000" w:rsidP="00000000" w:rsidRDefault="00000000" w:rsidRPr="00000000" w14:paraId="0000004A">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4B">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4C">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4D">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4E">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4F">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50">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51">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52">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53">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54">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55">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56">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57">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58">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59">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5A">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tl w:val="0"/>
        </w:rPr>
      </w:r>
    </w:p>
    <w:p w:rsidR="00000000" w:rsidDel="00000000" w:rsidP="00000000" w:rsidRDefault="00000000" w:rsidRPr="00000000" w14:paraId="0000005B">
      <w:pPr>
        <w:spacing w:after="120" w:before="360" w:lineRule="auto"/>
        <w:rPr>
          <w:rFonts w:ascii="Times New Roman" w:cs="Times New Roman" w:eastAsia="Times New Roman" w:hAnsi="Times New Roman"/>
          <w:b w:val="1"/>
          <w:bCs w:val="1"/>
          <w:color w:val="1b365d"/>
          <w:sz w:val="32"/>
          <w:szCs w:val="32"/>
        </w:rPr>
      </w:pPr>
      <w:r w:rsidDel="00000000" w:rsidR="00000000" w:rsidRPr="00000000">
        <w:rPr>
          <w:rFonts w:ascii="Times New Roman" w:cs="Times New Roman" w:eastAsia="Times New Roman" w:hAnsi="Times New Roman"/>
          <w:b w:val="1"/>
          <w:bCs w:val="1"/>
          <w:color w:val="1b365d"/>
          <w:sz w:val="32"/>
          <w:szCs w:val="32"/>
          <w:rtl w:val="0"/>
        </w:rPr>
        <w:t xml:space="preserve">References</w:t>
      </w:r>
    </w:p>
    <w:p w:rsidR="00000000" w:rsidDel="00000000" w:rsidP="00000000" w:rsidRDefault="00000000" w:rsidRPr="00000000" w14:paraId="0000005C">
      <w:pPr>
        <w:spacing w:after="8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tab/>
        <w:t xml:space="preserve">Cheng, H.F., Krikon, E., Murdock, V.: Why Do Customers Return Products? Using Customer Reviews to Predict Product Return Behaviors. In: Proceedings of the 18th ACM Conference on Recommender Systems. ACM, New York (2024).</w:t>
      </w:r>
    </w:p>
    <w:p w:rsidR="00000000" w:rsidDel="00000000" w:rsidP="00000000" w:rsidRDefault="00000000" w:rsidRPr="00000000" w14:paraId="0000005D">
      <w:pPr>
        <w:spacing w:after="80" w:line="360" w:lineRule="auto"/>
        <w:ind w:left="0" w:firstLine="0"/>
        <w:jc w:val="both"/>
        <w:rPr>
          <w:rFonts w:ascii="Times New Roman" w:cs="Times New Roman" w:eastAsia="Times New Roman" w:hAnsi="Times New Roman"/>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https://doi.org/10.1145/3640457.3688123</w:t>
        </w:r>
      </w:hyperlink>
      <w:r w:rsidDel="00000000" w:rsidR="00000000" w:rsidRPr="00000000">
        <w:rPr>
          <w:rtl w:val="0"/>
        </w:rPr>
      </w:r>
    </w:p>
    <w:p w:rsidR="00000000" w:rsidDel="00000000" w:rsidP="00000000" w:rsidRDefault="00000000" w:rsidRPr="00000000" w14:paraId="0000005E">
      <w:pPr>
        <w:spacing w:after="80"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after="8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tab/>
        <w:t xml:space="preserve">Farber, M., Novgorodov, S., Guy, I.: Learning Reasons for Product Returns on E-Commerce. In: Proceedings of the 2024 Conference on Empirical Methods in Natural Language Processing, pp. 1-12. Association for Computational Linguistics, Miami (2024).</w:t>
      </w:r>
    </w:p>
    <w:p w:rsidR="00000000" w:rsidDel="00000000" w:rsidP="00000000" w:rsidRDefault="00000000" w:rsidRPr="00000000" w14:paraId="00000060">
      <w:pPr>
        <w:spacing w:after="80" w:line="360" w:lineRule="auto"/>
        <w:ind w:left="0" w:firstLine="0"/>
        <w:jc w:val="both"/>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color w:val="1155cc"/>
            <w:sz w:val="20"/>
            <w:szCs w:val="20"/>
            <w:u w:val="single"/>
            <w:rtl w:val="0"/>
          </w:rPr>
          <w:t xml:space="preserve">https://aclanthology.org/2024.emnlp-main.1</w:t>
        </w:r>
      </w:hyperlink>
      <w:r w:rsidDel="00000000" w:rsidR="00000000" w:rsidRPr="00000000">
        <w:rPr>
          <w:rtl w:val="0"/>
        </w:rPr>
      </w:r>
    </w:p>
    <w:p w:rsidR="00000000" w:rsidDel="00000000" w:rsidP="00000000" w:rsidRDefault="00000000" w:rsidRPr="00000000" w14:paraId="00000061">
      <w:pPr>
        <w:spacing w:after="80"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spacing w:after="8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tab/>
        <w:t xml:space="preserve">Ma, S., Wang, W.: Proactive Return Prediction in Online Fashion Retail Using Heterogeneous Graph Neural Networks. In: Proceedings of the 30th ACM SIGKDD Conference on Knowledge Discovery and Data Mining. ACM, New York (2024).</w:t>
      </w:r>
    </w:p>
    <w:p w:rsidR="00000000" w:rsidDel="00000000" w:rsidP="00000000" w:rsidRDefault="00000000" w:rsidRPr="00000000" w14:paraId="00000063">
      <w:pPr>
        <w:spacing w:after="80" w:line="360" w:lineRule="auto"/>
        <w:ind w:left="0" w:firstLine="0"/>
        <w:jc w:val="both"/>
        <w:rPr>
          <w:rFonts w:ascii="Times New Roman" w:cs="Times New Roman" w:eastAsia="Times New Roman" w:hAnsi="Times New Roman"/>
          <w:sz w:val="20"/>
          <w:szCs w:val="20"/>
        </w:rPr>
      </w:pPr>
      <w:hyperlink r:id="rId8">
        <w:r w:rsidDel="00000000" w:rsidR="00000000" w:rsidRPr="00000000">
          <w:rPr>
            <w:rFonts w:ascii="Times New Roman" w:cs="Times New Roman" w:eastAsia="Times New Roman" w:hAnsi="Times New Roman"/>
            <w:color w:val="1155cc"/>
            <w:sz w:val="20"/>
            <w:szCs w:val="20"/>
            <w:u w:val="single"/>
            <w:rtl w:val="0"/>
          </w:rPr>
          <w:t xml:space="preserve">https://doi.org/10.1145/3637528.3671992</w:t>
        </w:r>
      </w:hyperlink>
      <w:r w:rsidDel="00000000" w:rsidR="00000000" w:rsidRPr="00000000">
        <w:rPr>
          <w:rtl w:val="0"/>
        </w:rPr>
      </w:r>
    </w:p>
    <w:p w:rsidR="00000000" w:rsidDel="00000000" w:rsidP="00000000" w:rsidRDefault="00000000" w:rsidRPr="00000000" w14:paraId="00000064">
      <w:pPr>
        <w:spacing w:after="80"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45/3640457.3688123" TargetMode="External"/><Relationship Id="rId7" Type="http://schemas.openxmlformats.org/officeDocument/2006/relationships/hyperlink" Target="https://aclanthology.org/2024.emnlp-main.1" TargetMode="External"/><Relationship Id="rId8" Type="http://schemas.openxmlformats.org/officeDocument/2006/relationships/hyperlink" Target="https://doi.org/10.1145/3637528.36719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