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Moniepoint Sales Network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Introducing Local Managers as an Intermediate Management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Paul Bamidele  | 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3a6b" w:space="1" w:sz="4" w:val="single"/>
        </w:pBdr>
        <w:spacing w:after="160" w:before="1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 Sheet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hyperlink r:id="rId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Sales_Network_Business_Case_Data_Analyst_Moniepoint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b3a6b" w:space="4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Moniepoint's Sales Network has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95 State Coordinators(SC)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7 Regional Managers(RM)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 overseeing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11,000 Business Relationship Managers(BRM)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 across Nigeria. This creates an unmanageable span of control each SC is indirectly responsible for over 100 BRMs, far exceeding the recognised management best practice of 8</w:t>
      </w:r>
      <w:r w:rsidDel="00000000" w:rsidR="00000000" w:rsidRPr="00000000">
        <w:rPr>
          <w:color w:val="333333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25. </w:t>
      </w:r>
      <w:r w:rsidDel="00000000" w:rsidR="00000000" w:rsidRPr="00000000">
        <w:rPr>
          <w:color w:val="333333"/>
          <w:rtl w:val="0"/>
        </w:rPr>
        <w:t xml:space="preserve">Noticeable effects of these includes: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 coordination bottlenecks, limited coaching, and a network that cannot effectively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b3a6b" w:space="4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The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Introduce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460 Local Managers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 as a new intermediate layer between State Coordinators and BRMs, funded entirely through a cost-neutral reallocation of the existing earnings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Each LM oversees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24 BRMs</w:t>
      </w:r>
      <w:r w:rsidDel="00000000" w:rsidR="00000000" w:rsidRPr="00000000">
        <w:rPr>
          <w:color w:val="333333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within the optimal 8</w:t>
      </w:r>
      <w:r w:rsidDel="00000000" w:rsidR="00000000" w:rsidRPr="00000000">
        <w:rPr>
          <w:color w:val="333333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25 span-of-control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LM compensation: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₦187,500/month</w:t>
      </w:r>
      <w:r w:rsidDel="00000000" w:rsidR="00000000" w:rsidRPr="00000000">
        <w:rPr>
          <w:color w:val="333333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25% above Nigeria's average salary of ₦150,000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Total monthly LM cost: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₦86.25M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, funded by reallocating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27.49%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of the current ₦313.8M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 incremental budget required</w:t>
      </w:r>
      <w:r w:rsidDel="00000000" w:rsidR="00000000" w:rsidRPr="00000000">
        <w:rPr>
          <w:color w:val="333333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fully cost-neutral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121400" cy="264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b3a6b" w:space="4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How Do We G</w:t>
      </w:r>
      <w:r w:rsidDel="00000000" w:rsidR="00000000" w:rsidRPr="00000000">
        <w:rPr>
          <w:b w:val="1"/>
          <w:bCs w:val="1"/>
          <w:color w:val="1b3a6b"/>
          <w:sz w:val="26"/>
          <w:szCs w:val="26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 There? 12-Month Phased Rollout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6640"/>
        <w:tblGridChange w:id="0">
          <w:tblGrid>
            <w:gridCol w:w="1200"/>
            <w:gridCol w:w="1800"/>
            <w:gridCol w:w="6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LMs Deployed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Deploy in high-density regions to reduce SC workload and validate the </w:t>
            </w: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Expand coverage; assess early results and refine role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Scale based on validated learnings; optimise regional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Complete national rollout; stabilise operations and embed reporting standards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791200" cy="3571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762625" cy="351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b3a6b" w:space="4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Financial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The earnings pool equals 2% of Moniepoint's global revenue and grows as the company grows. At a conservative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20% annual growth rate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Year 1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Pool grows to </w:t>
      </w:r>
      <w:r w:rsidDel="00000000" w:rsidR="00000000" w:rsidRPr="00000000">
        <w:rPr>
          <w:color w:val="333333"/>
          <w:rtl w:val="0"/>
        </w:rPr>
        <w:t xml:space="preserve">₦373.1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M; all roles benefit from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Year 2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Pool reaches ₦4</w:t>
      </w:r>
      <w:r w:rsidDel="00000000" w:rsidR="00000000" w:rsidRPr="00000000">
        <w:rPr>
          <w:color w:val="333333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.8M; Regional Managers exceed pre-LM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Year 3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Pool reaches ₦5</w:t>
      </w:r>
      <w:r w:rsidDel="00000000" w:rsidR="00000000" w:rsidRPr="00000000">
        <w:rPr>
          <w:color w:val="333333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color w:val="333333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M; State Coordinators exceed pre-LM earnings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full recovery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jc w:val="both"/>
        <w:rPr>
          <w:rFonts w:ascii="Arial" w:cs="Arial" w:eastAsia="Arial" w:hAnsi="Arial"/>
          <w:b w:val="0"/>
          <w:bCs w:val="0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At 15% growth, recovery takes 3</w:t>
      </w:r>
      <w:r w:rsidDel="00000000" w:rsidR="00000000" w:rsidRPr="00000000">
        <w:rPr>
          <w:color w:val="333333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4 years. The variable compensation model ensures all parties benefit directly from Moniepoint's revenue growth.</w:t>
      </w:r>
    </w:p>
    <w:p w:rsidR="00000000" w:rsidDel="00000000" w:rsidP="00000000" w:rsidRDefault="00000000" w:rsidRPr="00000000" w14:paraId="0000002D">
      <w:pPr>
        <w:spacing w:after="60" w:before="60" w:lineRule="auto"/>
        <w:jc w:val="both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6121400" cy="2006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b3a6b" w:space="4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Recommendation &amp; Way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Proceed with the deployment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460 Local Managers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0"/>
          <w:szCs w:val="20"/>
          <w:rtl w:val="0"/>
        </w:rPr>
        <w:t xml:space="preserve"> on a 12-month phased rollout. This initiative is cost-neutral, market-competitive in compensation, and directly solves a structural coordination gap that is limiting the network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Approve the 27.49% reallocation of the SC/RM earnings pool to fund 460 LMs at ₦187,500/month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Begin Q1 deployment of 115 LMs in the highest-density BRM regions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Establish a retention bonus framework for existing RMs and SCs to protect against short-term attrition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Define clear LM KPIs (BRM onboarding rate, engagement score, retention) before Q1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Create an internal LM promotion pathway open to high-performing BRMs to drive buy-in across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cccccc" w:space="6" w:sz="4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6"/>
          <w:szCs w:val="16"/>
          <w:rtl w:val="0"/>
        </w:rPr>
        <w:t xml:space="preserve">Prepared by Paul Bamidele  |  February 2026  |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qSd6Iw4elfX0IHQeG2pff38cbNQJnsUfA9pgiejqaBs/edit?usp=sharing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4lDLUrwtquFeLApYRWFsmIICVQ==">CgMxLjA4AHIhMU96Tkk3b1JOZXFFWHNQandUQzhCYUZwWW1VMjhWNzN2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2026-02-24T11:12:29.408Z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