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2026-04 至 2026-06 · 10ml×1﻿0﻿支﻿/﻿盒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本次采用模型辅助解释；因果归因仍待人工复核。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1﻿1﻿.﻿0﻿2﻿ ﻿元﻿/﻿盒，总成本 1﻿7﻿9﻿6﻿1﻿8﻿0﻿.﻿0﻿0﻿ ﻿元；较上期变动最大的要素为直接材料，每盒变动 0﻿.﻿3﻿4﻿ ﻿元。建议先核对该要素原始明细，再安排责任部门复核。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一、基本信息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二、总成本概览　·　第1页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三、要素明细　·　第2页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四、专项分析　·　第4页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五、对标分析　·　第5页</ns0:t>
      </ns0:r>
    </ns0:p>
    <ns0:p>
      <ns0:pPr>
        <ns0:keepNext/>
        <ns0:keepLines/>
        <ns0:pageBreakBefore ns0:val="0"/>
        <ns0:widowControl/>
        <ns0:spacing ns0:after="0" ns0:line="240" ns0:lineRule="auto" ns0:before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18"/>
        </ns0:rPr>
        <ns0:t xml:space="preserve">　六、总结与建议　·　第5页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季度成本分析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分析期间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2026-04 至 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10ml×1﻿0﻿支﻿/﻿盒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本季度产量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1﻿6﻿3﻿0﻿0﻿0﻿ ﻿盒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演示编制人（模拟数据）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本季度实际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上季度实际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去年同期季度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2﻿0﻿.﻿7﻿4﻿%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154900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5﻿.﻿2﻿3﻿%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8﻿.﻿6﻿7﻿%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10.68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3﻿.﻿1﻿6﻿%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3﻿.﻿7﻿9﻿%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3﻿.﻿9﻿6﻿%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1796180.00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1442120.00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2﻿4﻿.﻿5﻿5﻿%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1644580.00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9﻿.﻿2﻿2﻿%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1590000.00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1﻿2﻿.﻿9﻿7﻿%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6.83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5﻿.﻿0﻿0﻿%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6.81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5﻿.﻿3﻿2﻿%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5﻿.﻿4﻿9﻿%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-﻿0﻿.﻿1﻿6﻿%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1.49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1﻿.﻿3﻿4﻿%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0﻿.﻿7﻿1﻿%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-﻿0﻿.﻿0﻿8﻿%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0﻿.﻿8﻿6﻿%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1﻿.﻿5﻿3﻿%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6﻿5﻿.﻿1﻿0﻿%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1﻿0﻿1﻿.﻿2﻿6﻿%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1﻿3﻿.﻿7﻿1﻿%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-0.0024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-﻿0﻿.﻿7﻿0﻿%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2﻿1﻿.﻿1﻿9﻿%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-0.0019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-﻿0﻿.﻿5﻿6﻿%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1﻿0﻿0﻿%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1﻿0﻿0﻿.﻿0﻿0﻿%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3.35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184250.0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118250.0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25850.0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43000.0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3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7﻿.﻿1﻿7﻿ ﻿元，比上期变动 0﻿.﻿3﻿4﻿ ﻿元，占单位成本变动的 1﻿0﻿1﻿.﻿2﻿6﻿%。
金银花：3.21 → 3﻿.﻿4﻿2﻿ ﻿元﻿/﻿盒，变动 0﻿.﻿2﻿1﻿ ﻿元﻿/﻿盒，占材料增量 6﻿2﻿.﻿2﻿0﻿%；黄芩提取物：2.10 → 2﻿.﻿1﻿8﻿ ﻿元﻿/﻿盒，变动 0﻿.﻿0﻿8﻿ ﻿元﻿/﻿盒，占材料增量 2﻿3﻿.﻿1﻿6﻿%；包装材料(盒+说明书)：0.85 → 0﻿.﻿8﻿7﻿ ﻿元﻿/﻿盒，变动 0﻿.﻿0﻿2﻿ ﻿元﻿/﻿盒，占材料增量 6﻿.﻿3﻿1﻿%；蔗糖：0.45 → 0﻿.﻿4﻿7﻿ ﻿元﻿/﻿盒，变动 0﻿.﻿0﻿2﻿ ﻿元﻿/﻿盒，占材料增量 6﻿.﻿3﻿1﻿%。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
直接材料总成本口径：本期1﻿1﻿6﻿9﻿3﻿0﻿0﻿.﻿0﻿0﻿元，基期9﻿2﻿2﻿3﻿5﻿0﻿.﻿0﻿0﻿元，环比2﻿6﻿.﻿7﻿7﻿%。现有证据不足以确认原因；需补充并核查：中药一厂2026-04至2026-06金银花采购合同台账、中药一厂2026-04至2026-06黄芩提取物采购合同台账、中药一厂2026-04至2026-06银黄口服液批生产投料记录、中药一厂2026-04至2026-06包装材料采购单价明细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本季度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上季度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-﻿0﻿.﻿1﻿6﻿%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251.29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279.70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-﻿1﻿0﻿.﻿1﻿6﻿%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60.12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54.09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1﻿1﻿.﻿1﻿3﻿%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318.36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286.02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1﻿1﻿.﻿3﻿1﻿%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1﻿.﻿5﻿1﻿ ﻿元，比上期变动 -﻿0﻿.﻿0﻿0﻿2﻿4﻿ ﻿元，占单位成本环比变动 -﻿0﻿.﻿7﻿0﻿%。平均小时工资是题包折算口径。每盒人工费用受工时、人员组成及加班影响；需核对工时台账、工资组成与返工记录，不能认定基础薪率上涨。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总成本口径：本期2﻿4﻿6﻿2﻿4﻿0﻿.﻿0﻿0﻿元，基期2﻿0﻿4﻿2﻿6﻿0﻿.﻿0﻿0﻿元，环比2﻿0﻿.﻿5﻿5﻿%。现有证据不足以确认原因；需补充并核查：中药一厂2026-04至2026-06直接人工工时台账、中药一厂2026-04至2026-06工资分配明细表、中药一厂2026-04至2026-06银黄口服液生产批次工时记录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本季度(元/盒)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 xml:space="preserve">上季度(元/盒)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0.82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-﻿0﻿.﻿4﻿7﻿%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-﻿0﻿.﻿1﻿5﻿%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-﻿0﻿.﻿3﻿3﻿%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3﻿.﻿0﻿1﻿%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-﻿1﻿.﻿2﻿3﻿%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-﻿0﻿.﻿0﻿8﻿%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2﻿.﻿3﻿4﻿ ﻿元，比上期变动 -﻿0﻿.﻿0﻿0﻿1﻿9﻿ ﻿元，占单位成本环比变动 -﻿0﻿.﻿5﻿6﻿%。按费用台账和分配基数检查变化。维修事件只有在产品、期间及入账范围一致时才用于本期解释；不得将维修金额重复计入总成本。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总成本口径：本期3﻿8﻿0﻿6﻿4﻿0﻿.﻿0﻿0﻿元，基期3﻿1﻿5﻿5﻿1﻿0﻿.﻿0﻿0﻿元，环比2﻿0﻿.﻿6﻿4﻿%。现有证据不足以确认原因；需补充并核查：中药一厂2026-04至2026-06制造费用明细台账、中药一厂2026-04至2026-06制造费用分配凭证、中药一厂2026-04至2026-06银黄口服液生产批次制造费用归集记录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50000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546500.00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1﻿6﻿3﻿0﻿0﻿0﻿ ﻿盒，总成本 1﻿7﻿9﻿6﻿1﻿8﻿0﻿.﻿0﻿0﻿ ﻿元。 相对预算总成本差额 2﻿0﻿6﻿1﻿8﻿0﻿.﻿0﻿0﻿ ﻿元，其中产量影响 1﻿3﻿7﻿8﻿0﻿0﻿.﻿0﻿0﻿ ﻿元，单位成本影响 6﻿8﻿3﻿8﻿0﻿.﻿0﻿0﻿ ﻿元；不能全部归为效率恶化。
直接材料的总额环比变动 2﻿6﻿.﻿7﻿7﻿%；总额同时受产量影响。
直接人工的总额环比变动 2﻿0﻿.﻿5﻿5﻿%；总额同时受产量影响。
制造费用的总额环比变动 2﻿0﻿.﻿6﻿4﻿%；总额同时受产量影响。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五、对标分析（中药一厂−中药二厂，以中药二厂为分母）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2026-04 至 2026-06｜跨厂三要素（中药一厂−中药二厂，以中药二厂为分母）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中药二厂（元/盒）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11.0195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11.4131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-0.3936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-3.45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7.1736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7.1673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0.0063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1.5107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1.7107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-0.2000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-11.69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2.3352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2.5351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-0.1999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-7.89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中药一厂−中药二厂，以中药二厂为分母。直接材料差额 0﻿.﻿0﻿1﻿ ﻿元﻿/﻿盒，占跨厂单位成本总差额 -﻿1﻿.﻿6﻿0﻿%；直接人工差额 -﻿0﻿.﻿2﻿0﻿ ﻿元﻿/﻿盒，占跨厂单位成本总差额 5﻿0﻿.﻿8﻿1﻿%；制造费用差额 -﻿0﻿.﻿2﻿0﻿ ﻿元﻿/﻿盒，占跨厂单位成本总差额 5﻿0﻿.﻿7﻿9﻿%。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跨厂比较方向：中药一厂−中药二厂，以中药二厂为分母。比较限制：总成本对比受产量影响，不能作为单位效率结论；文档原因证据由报告检索流程补充；仅表内数值不能证明因果。现有证据不足以确认原因；需补充并核查：中药二厂2026-04至2026-06银黄口服液单位成本明细、中药二厂2026-04至2026-06银黄口服液产量记录、中药二厂2026-04至2026-06直接材料采购合同台账、中药二厂2026-04至2026-06直接人工工时台账、中药二厂2026-04至2026-06制造费用明细台账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1"/>
        <ns0:wordWrap ns0:val="0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 xml:space="preserve">6.1 本季度成本管理亮点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1﻿1﻿.﻿0﻿2﻿ ﻿元﻿/﻿盒，产量 1﻿6﻿3﻿0﻿0﻿0﻿ ﻿盒。管理重点是先核查贡献最大的要素，再区分产量变化和单位成本变化对总支出的影响。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6406"/>
        <ns0:gridCol ns0:w="3402"/>
      </ns0:tblGrid>
      <ns0:tr>
        <ns0:trPr>
          <ns0:cantSplit/>
          <ns0:tblHeader/>
        </ns0:trPr>
        <ns0:tc>
          <ns0:tcPr>
            <ns0:tcW ns0:type="dxa" ns0:w="6406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340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5．调取中药一厂2026-04至2026-06银黄口服液各物料采购合同台账与批生产投料记录，核对金银花、黄芩提取物等物料的采购单价与单盒耗用，量化直接材料单位成本环比上升的价差与量差。</ns0:t>
              <ns0:br/>
              <ns0:t>核查对象：直接材料单位成本环比上升的价差与量差构成</ns0:t>
              <ns0:br/>
              <ns0:t>行动：调取中药一厂2026-04至2026-06银黄口服液各物料采购合同台账与批生产投料记录，核对金银花、黄芩提取物等物料的采购单价与单盒耗用，量化直接材料单位成本环比上升的价差与量差。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中药一厂2026-04至2026-06金银花采购合同台账、中药一厂2026-04至2026-06黄芩提取物采购合同台账、中药一厂2026-04至2026-06银黄口服液批生产投料记录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6．调取中药一厂2026-04至2026-06直接人工工时台账与工资分配明细，核对银黄口服液生产工时与薪酬标准，量化直接人工总成本环比上升的工时与费率影响。</ns0:t>
              <ns0:br/>
              <ns0:t>核查对象：直接人工总成本环比上升的工时与费率构成</ns0:t>
              <ns0:br/>
              <ns0:t>行动：调取中药一厂2026-04至2026-06直接人工工时台账与工资分配明细，核对银黄口服液生产工时与薪酬标准，量化直接人工总成本环比上升的工时与费率影响。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中药一厂2026-04至2026-06直接人工工时台账、中药一厂2026-04至2026-06工资分配明细表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7．调取中药一厂2026-04至2026-06制造费用明细台账与分配凭证，核对各费用项目发生额与分配依据，量化制造费用总成本环比上升的费用项目构成。</ns0:t>
              <ns0:br/>
              <ns0:t>核查对象：制造费用总成本环比上升的费用项目构成</ns0:t>
              <ns0:br/>
              <ns0:t>行动：调取中药一厂2026-04至2026-06制造费用明细台账与分配凭证，核对各费用项目发生额与分配依据，量化制造费用总成本环比上升的费用项目构成。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中药一厂2026-04至2026-06制造费用明细台账、中药一厂2026-04至2026-06制造费用分配凭证</ns0:t>
            </ns0:r>
          </ns0:p>
        </ns0:tc>
      </ns0:tr>
      <ns0:tr>
        <ns0:trPr>
          <ns0:cantSplit/>
        </ns0:trPr>
        <ns0:tc>
          <ns0:tcPr>
            <ns0:tcW ns0:type="dxa" ns0:w="6406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．跨厂比较方向：中药一厂−中药二厂，以中药二厂为分母。比较限制：总成本对比受产量影响，不能作为单位效率结论；文档原因证据由报告检索流程补充；仅表内数值不能证明因果。调取中药二厂2026-04至2026-06银黄口服液单位成本明细、产量记录及直接材料、直接人工、制造费用明细，按同口径与中药一厂对比，量化两厂单位成本差异的要素构成。</ns0:t>
              <ns0:br/>
              <ns0:t>核查对象：中药一厂与中药二厂单位成本差异的要素构成</ns0:t>
              <ns0:br/>
              <ns0:t>行动：调取中药二厂2026-04至2026-06银黄口服液单位成本明细、产量记录及直接材料、直接人工、制造费用明细，按同口径与中药一厂对比，量化两厂单位成本差异的要素构成。</ns0:t>
            </ns0:r>
          </ns0:p>
        </ns0:tc>
        <ns0:tc>
          <ns0:tcPr>
            <ns0:tcW ns0:type="dxa" ns0:w="340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药二厂2026-04至2026-06银黄口服液单位成本明细、中药二厂2026-04至2026-06银黄口服液产量记录、中药二厂2026-04至2026-06直接材料采购合同台账、中药二厂2026-04至2026-06直接人工工时台账、中药二厂2026-04至2026-06制造费用明细台账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outlineLvl ns0:val="2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5．财务部／待分配（姓名待分配）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6．财务部／待分配（姓名待分配）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7．财务部／待分配（姓名待分配）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月度成本结账后5个工作日内；待确认发送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8．财务部／待分配（姓名待分配）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  <ns0:jc ns0:val="left"/>
              <ns0:wordWrap ns0:val="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月度成本分析完成后5个工作日内；待确认发送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jc ns0:val="left"/>
        <ns0:wordWrap ns0:val="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2026-04 至 2026-06。金额以元、单位成本以元/盒计；季度按产量加权。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  <ns0:jc ns0:val="left"/>
        <ns0:wordWrap ns0:val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1247" ns0:left="964" ns0:right="964" ns0:footer="567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>
    <ns0:pPr>
      <ns0:jc ns0:val="center"/>
    </ns0:pPr>
    <ns0:r>
      <ns0:rPr>
        <ns0:rFonts ns0:ascii="Noto Sans SC" ns0:hAnsi="Noto Sans SC"/>
        <ns0:sz ns0:val="18"/>
      </ns0:rPr>
      <ns0:t xml:space="preserve">第 </ns0:t>
    </ns0:r>
    <ns0:fldSimple ns0:instr="PAGE">
      <ns0:r>
        <ns0:t>1</ns0:t>
      </ns0:r>
    </ns0:fldSimple>
    <ns0:r>
      <ns0:rPr>
        <ns0:rFonts ns0:ascii="Noto Sans SC" ns0:hAnsi="Noto Sans SC"/>
        <ns0:sz ns0:val="18"/>
      </ns0:rPr>
      <ns0:t xml:space="preserve"> 页 / 共 </ns0:t>
    </ns0:r>
    <ns0:fldSimple ns0:instr="NUMPAGES">
      <ns0:r>
        <ns0:t>1</ns0:t>
      </ns0:r>
    </ns0:fldSimple>
    <ns0:r>
      <ns0:rPr>
        <ns0:rFonts ns0:ascii="Noto Sans SC" ns0:hAnsi="Noto Sans SC"/>
        <ns0:sz ns0:val="18"/>
      </ns0:rPr>
      <ns0:t xml:space="preserve"> 页</ns0: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