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· 10ml×1﻿0﻿支﻿/﻿盒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1﻿1﻿.﻿2﻿1﻿ ﻿元﻿/﻿盒，总成本 6﻿5﻿0﻿1﻿8﻿0﻿.﻿0﻿0﻿ ﻿元；较上期变动最大的要素为直接材料，每盒变动 0﻿.﻿2﻿2﻿ ﻿元。建议先核对该要素原始明细，再安排责任部门复核。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一、基本信息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二、总成本概览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三、要素明细　·　第2页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四、专项分析　·　第4页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五、对标分析　·　第5页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六、总结与建议　·　第5页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月度成本分析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10ml×1﻿0﻿支﻿/﻿盒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5﻿8﻿0﻿0﻿0﻿ ﻿盒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演示编制人（模拟数据）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5﻿.﻿4﻿5﻿%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55100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5﻿.﻿2﻿6﻿%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1﻿6﻿.﻿0﻿0﻿%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10.90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2﻿.﻿8﻿4﻿%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10.71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4﻿.﻿6﻿7﻿%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5﻿.﻿7﻿5﻿%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650180.00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599500.00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8﻿.﻿4﻿5﻿%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590121.00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1﻿0﻿.﻿1﻿8﻿%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2﻿2﻿.﻿6﻿8﻿%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7.08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3﻿.﻿1﻿1﻿%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6.84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6﻿.﻿7﻿3﻿%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7﻿.﻿3﻿5﻿%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2﻿.﻿0﻿0﻿%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1﻿.﻿3﻿2﻿%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2﻿.﻿0﻿0﻿%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2﻿.﻿5﻿9﻿%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2.36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0﻿.﻿8﻿5﻿%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3﻿.﻿4﻿8﻿%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7.30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6﻿5﻿.﻿1﻿2﻿%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0.22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7﻿0﻿.﻿9﻿7﻿%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1﻿3﻿.﻿6﻿5﻿%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9﻿.﻿6﻿8﻿%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2﻿1﻿.﻿2﻿3﻿%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0.06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1﻿9﻿.﻿3﻿5﻿%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11.21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1﻿0﻿0﻿%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0.31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1﻿0﻿0﻿.﻿0﻿0﻿%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7﻿.﻿3﻿0﻿ ﻿元，比上期变动 0﻿.﻿2﻿2﻿ ﻿元，占单位成本变动的 7﻿0﻿.﻿9﻿7﻿%。
金银花：3.35 → 3﻿.﻿5﻿0﻿ ﻿元﻿/﻿盒，变动 0﻿.﻿1﻿5﻿ ﻿元﻿/﻿盒，占材料增量 6﻿8﻿.﻿1﻿8﻿%；黄芩提取物：2.15 → 2﻿.﻿2﻿0﻿ ﻿元﻿/﻿盒，变动 0﻿.﻿0﻿5﻿ ﻿元﻿/﻿盒，占材料增量 2﻿2﻿.﻿7﻿3﻿%；包装材料(盒+说明书)：0.87 → 0﻿.﻿8﻿8﻿ ﻿元﻿/﻿盒，变动 0﻿.﻿0﻿1﻿ ﻿元﻿/﻿盒，占材料增量 4﻿.﻿5﻿5﻿%；蔗糖：0.47 → 0﻿.﻿4﻿8﻿ ﻿元﻿/﻿盒，变动 0﻿.﻿0﻿1﻿ ﻿元﻿/﻿盒，占材料增量 4﻿.﻿5﻿5﻿%。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
现有证据不足以确认原因；需补充并核查：对应月份金银花采购合同台账与入库单价记录、对应月份黄芩提取物采购合同台账与入库单价记录、对应月份蔗糖采购合同台账与入库单价记录、对应月份苯甲酸钠采购合同台账与入库单价记录、对应月份包装材料采购合同台账与入库单价记录、对应月份车间批生产记录与投料记录、对应月份原料领用与耗用明细台账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2﻿.﻿0﻿0﻿%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231.72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256.00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-﻿9﻿.﻿4﻿8﻿%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66.03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58.59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1﻿2﻿.﻿6﻿9﻿%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345.24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312.50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1﻿0﻿.﻿4﻿8﻿%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1﻿.﻿5﻿3﻿ ﻿元，比上期变动 0﻿.﻿0﻿3﻿ ﻿元，占单位成本环比变动 9﻿.﻿6﻿8﻿%。平均小时工资是题包折算口径。每盒人工费用受工时、人员组成及加班影响；需核对工时台账、工资组成与返工记录，不能认定基础薪率上涨。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0.83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2﻿.﻿4﻿7﻿%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0.56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3﻿.﻿7﻿0﻿%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2﻿.﻿1﻿3﻿%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0.26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4﻿.﻿0﻿0﻿%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0﻿.﻿0﻿0﻿%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2.38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2﻿.﻿5﻿9﻿%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2﻿.﻿3﻿8﻿ ﻿元，比上期变动 0﻿.﻿0﻿6﻿ ﻿元，占单位成本环比变动 1﻿9﻿.﻿3﻿5﻿%。按费用台账和分配基数检查变化。维修事件只有在产品、期间及入账范围一致时才用于本期解释；不得将维修金额重复计入总成本。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5﻿8﻿0﻿0﻿0﻿ ﻿盒，总成本 6﻿5﻿0﻿1﻿8﻿0﻿.﻿0﻿0﻿ ﻿元。 相对预算总成本差额 1﻿2﻿0﻿1﻿8﻿0﻿.﻿0﻿0﻿ ﻿元，其中产量影响 8﻿4﻿8﻿0﻿0﻿.﻿0﻿0﻿ ﻿元，单位成本影响 3﻿5﻿3﻿8﻿0﻿.﻿0﻿0﻿ ﻿元；不能全部归为效率恶化。
本期三要素没有超过既定阈值的告警；仍应核对主要变动项。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138.0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五、对标分析（中药一厂−中药二厂，以中药二厂为分母）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2026-05｜跨厂三要素（中药一厂−中药二厂，以中药二厂为分母）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11.60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-3.36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7.30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-11.56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2.58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-7.75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中药一厂−中药二厂，以中药二厂为分母。直接材料差额 0﻿.﻿0﻿1﻿ ﻿元﻿/﻿盒，占跨厂单位成本总差额 -﻿2﻿.﻿5﻿6﻿%；直接人工差额 -﻿0﻿.﻿2﻿0﻿ ﻿元﻿/﻿盒，占跨厂单位成本总差额 5﻿1﻿.﻿2﻿8﻿%；制造费用差额 -﻿0﻿.﻿2﻿0﻿ ﻿元﻿/﻿盒，占跨厂单位成本总差额 5﻿1﻿.﻿2﻿8﻿%。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比较方向：中药一厂−中药二厂，以中药二厂为分母。比较限制：总成本对比受产量影响，不能作为单位效率结论；文档原因证据由报告检索流程补充；仅表内数值不能证明因果。现有证据不足以确认原因；需补充并核查：中药二厂对应月份直接人工工时与工资明细台账、中药二厂对应月份制造费用归集与分配明细表、中药二厂对应月份银黄口服液批生产记录与产量记录、中药一厂与中药二厂同口径单位成本对比明细表、两厂对应月份直接材料耗用与采购单价对比明细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1﻿1﻿.﻿2﻿1﻿ ﻿元﻿/﻿盒，产量 5﻿8﻿0﻿0﻿0﻿ ﻿盒。管理重点是先核查贡献最大的要素，再区分产量变化和单位成本变化对总支出的影响。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406"/>
        <ns0:gridCol ns0:w="3402"/>
      </ns0:tblGrid>
      <ns0:tr>
        <ns0:trPr>
          <ns0:cantSplit/>
          <ns0:tblHeader/>
        </ns0:trPr>
        <ns0:tc>
          <ns0:tcPr>
            <ns0:tcW ns0:type="dxa" ns0:w="6406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340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5．调取对应月份原料采购合同台账、入库计量记录与车间批生产投料记录，核对金银花等主要原料单价与单盒耗用是否发生变动，由人工复核后确认材料成本变动原因。</ns0:t>
              <ns0:br/>
              <ns0:t>核查对象：直接材料单位成本环比变动原因</ns0:t>
              <ns0:br/>
              <ns0:t>行动：调取对应月份原料采购合同台账、入库计量记录与车间批生产投料记录，核对金银花等主要原料单价与单盒耗用是否发生变动，由人工复核后确认材料成本变动原因。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对应月份金银花采购合同台账与入库单价记录、对应月份车间批生产记录与投料记录、对应月份原料领用与耗用明细台账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跨厂比较方向：中药一厂−中药二厂，以中药二厂为分母。比较限制：总成本对比受产量影响，不能作为单位效率结论；文档原因证据由报告检索流程补充；仅表内数值不能证明因果。向中药二厂调取同期间银黄口服液直接人工工时台账、制造费用归集分配明细及批生产记录，按统一成本口径编制两厂单位成本对比明细，由人工复核后确认跨厂差异原因。</ns0:t>
              <ns0:br/>
              <ns0:t>核查对象：中药一厂与中药二厂银黄口服液单位成本差异原因</ns0:t>
              <ns0:br/>
              <ns0:t>行动：向中药二厂调取同期间银黄口服液直接人工工时台账、制造费用归集分配明细及批生产记录，按统一成本口径编制两厂单位成本对比明细，由人工复核后确认跨厂差异原因。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中药二厂对应月份直接人工工时与工资明细台账、中药二厂对应月份制造费用归集与分配明细表、中药二厂对应月份银黄口服液批生产记录与产量记录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5．财务部／成本会计（姓名待分配）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6．财务部／成本会计（姓名待分配）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月度成本分析完成后10个工作日内；待确认发送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2026-05。金额以元、单位成本以元/盒计；季度按产量加权。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1247" ns0:left="964" ns0:right="964" ns0:footer="567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>
    <ns0:pPr>
      <ns0:jc ns0:val="center"/>
    </ns0:pPr>
    <ns0:r>
      <ns0:rPr>
        <ns0:rFonts ns0:ascii="Noto Sans SC" ns0:hAnsi="Noto Sans SC"/>
        <ns0:sz ns0:val="18"/>
      </ns0:rPr>
      <ns0:t xml:space="preserve">第 </ns0:t>
    </ns0:r>
    <ns0:fldSimple ns0:instr="PAGE">
      <ns0:r>
        <ns0:t>1</ns0:t>
      </ns0:r>
    </ns0:fldSimple>
    <ns0:r>
      <ns0:rPr>
        <ns0:rFonts ns0:ascii="Noto Sans SC" ns0:hAnsi="Noto Sans SC"/>
        <ns0:sz ns0:val="18"/>
      </ns0:rPr>
      <ns0:t xml:space="preserve"> 页 / 共 </ns0:t>
    </ns0:r>
    <ns0:fldSimple ns0:instr="NUMPAGES">
      <ns0:r>
        <ns0:t>1</ns0:t>
      </ns0:r>
    </ns0:fldSimple>
    <ns0:r>
      <ns0:rPr>
        <ns0:rFonts ns0:ascii="Noto Sans SC" ns0:hAnsi="Noto Sans SC"/>
        <ns0:sz ns0:val="18"/>
      </ns0:rPr>
      <ns0:t xml:space="preserve"> 页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