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40"/>
        </w:rPr>
        <w:t>化工流程参考包 · DEMO-01成本分析报告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合成演示：全部企业、工单/批次、数字和知识均独立编制；不是赛题原件或行业基准。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一、基本信息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 · 2026-06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规格：合格成品净重kg；币种：CNY；口径：完工产出。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二、总成本概览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指标</w:t>
            </w:r>
          </w:p>
        </w:tc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确定性结果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总成本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2﻿4﻿0﻿0﻿.﻿0﻿0﻿ ﻿元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合格产出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2﻿0﻿0﻿.﻿0﻿0﻿ ﻿k﻿g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单位成本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1﻿2﻿.﻿0﻿0﻿ ﻿元﻿/﻿k﻿g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环比：2﻿0﻿.﻿0﻿0﻿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同比：N/A（无可用基期或明细）；缺少完整基期或分母为零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预算差异：1﻿1﻿.﻿1﻿1﻿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季度采用期间成本总和除以独立产量总和；缺失基期或零分母保持无定义。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三、成本要素结构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总成本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单位环比（%）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1200.00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1.50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1.50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独立核算能源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20.00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 · 单位成本环比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 · 总成本环比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 · 单位成本环比 5﻿0﻿.﻿0﻿0﻿%，超过合成演示阈值。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 · 总成本环比 5﻿0﻿.﻿0﻿0﻿%，超过合成演示阈值。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独立核算能源 · 单位成本环比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独立核算能源 · 总成本环比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drawing>
          <wp:inline xmlns:a="http://schemas.openxmlformats.org/drawingml/2006/main" xmlns:pic="http://schemas.openxmlformats.org/drawingml/2006/picture">
            <wp:extent cx="6120000" cy="2010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四、批次能耗分析与核查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单位合格产出能耗：3﻿.﻿0﻿0﻿ ﻿k﻿W﻿h﻿/﻿k﻿g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专用指标以明确驱动事实计算，数值和阈值均为合成假定，不是行业基准。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本期单位成本为1﻿2﻿.﻿0﻿0﻿元﻿/﻿k﻿g，总成本为2﻿4﻿0﻿0﻿.﻿0﻿0﻿元，产量为2﻿0﻿0﻿.﻿0﻿0﻿k﻿g。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独立核算能源存在期间差异；合成演示数据仅支持成本比较，尚不足以确认原因。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单位成本口径：本期6﻿.﻿0﻿0﻿元﻿/﻿k﻿g，基期5﻿.﻿0﻿0﻿元﻿/﻿k﻿g，环比2﻿0﻿.﻿0﻿0﻿%。材料总成本口径：本期1﻿2﻿0﻿0﻿.﻿0﻿0﻿元，基期1﻿0﻿0﻿0﻿.﻿0﻿0﻿元，环比2﻿0﻿.﻿0﻿0﻿%。现有证据不足以确认原因；需补充并核查：对应月份材料采购合同台账、对应月份批次投料记录、对应月份材料领用明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调取对应月份材料采购合同台账与批次投料记录，核对采购价与单耗变动。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单位成本口径：本期1﻿.﻿5﻿0﻿元﻿/﻿k﻿g，基期1﻿.﻿0﻿0﻿元﻿/﻿k﻿g，环比5﻿0﻿.﻿0﻿0﻿%。制造费用总成本口径：本期3﻿0﻿0﻿.﻿0﻿0﻿元，基期2﻿0﻿0﻿.﻿0﻿0﻿元，环比5﻿0﻿.﻿0﻿0﻿%。现有证据不足以确认原因；需补充并核查：对应月份制造费用明细台账、对应月份工时记录、对应月份费用分摊凭证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调取对应月份制造费用明细台账与工时记录，核对费用归集与分摊基础变动。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独立核算能源单位成本口径：本期3﻿.﻿0﻿0﻿元﻿/﻿k﻿g，基期2﻿.﻿5﻿0﻿元﻿/﻿k﻿g，环比2﻿0﻿.﻿0﻿0﻿%。独立核算能源总成本口径：本期6﻿0﻿0﻿.﻿0﻿0﻿元，基期5﻿0﻿0﻿.﻿0﻿0﻿元，环比2﻿0﻿.﻿0﻿0﻿%。现有证据不足以确认原因；需补充并核查：对应月份电表计量记录、对应月份批次产出记录、对应月份能源采购单价凭证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调取对应月份电表计量记录与批次产出记录，核对单位能耗与产出匹配情况。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现有证据不足以确认原因；需补充并核查：示范工厂B对应月份材料采购合同台账、示范工厂B对应月份批次投料记录、示范工厂B对应月份工时记录、示范工厂B对应月份制造费用明细台账、示范工厂B对应月份电表计量记录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调取示范工厂B同期间材料采购合同台账、批次投料记录、工时记录、制造费用明细台账与电表计量记录，按同产品同规格同期间同政策口径对比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五、行业与工厂对标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示范工厂A−示范工厂B，以示范工厂B为分母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示范工厂A（元/kg）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示范工厂B（元/kg）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差异（元/kg）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-6.00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1.50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-1.50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1.50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-1.50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独立核算能源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-3.00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仅合成已归集成本与专用驱动事实；不推算采购/BOM明细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六、改进建议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核查对象：材料成本归集与生产记录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核查对象：制造费用成本归集与生产记录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核查对象：独立核算能源成本归集与生产记录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核查对象：材料单位成本环比变动原因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核查行动：调取对应月份材料采购合同台账与批次投料记录，核对采购价与单耗变动。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预期证据：对应月份材料采购合同台账、对应月份批次投料记录、对应月份材料领用明细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核查对象：制造费用单位成本环比变动原因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核查行动：调取对应月份制造费用明细台账与工时记录，核对费用归集与分摊基础变动。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预期证据：对应月份制造费用明细台账、对应月份工时记录、对应月份费用分摊凭证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核查对象：独立核算能源单位成本环比变动原因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核查行动：调取对应月份电表计量记录与批次产出记录，核对单位能耗与产出匹配情况。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预期证据：对应月份电表计量记录、对应月份批次产出记录、对应月份能源采购单价凭证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核查对象：跨厂单位成本差异原因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核查行动：调取示范工厂B同期间材料采购合同台账、批次投料记录、工时记录、制造费用明细台账与电表计量记录，按同产品同规格同期间同政策口径对比。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期限依据：月度成本分析完成后10个工作日内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预期证据：示范工厂B对应月份材料采购合同台账、示范工厂B对应月份批次投料记录、示范工厂B对应月份工时记录、示范工厂B对应月份制造费用明细台账、示范工厂B对应月份电表计量记录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任务须确认后才可模拟送达；送达不等于整改完成。人工归因0—5分、可读性及版式均待真人评审。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大模型解释：已配置应用凭据；本轮真实模型调用待验证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模拟送达：缺少：模拟RPA在线验证（连接配置不等于已送达）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在制品计价：缺少在制品计价与完工分配策略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联副产品分配：缺少联副产品分配政策和产出事实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严格价量分解：缺少实际采购价格及实物耗用量</w:t>
      </w:r>
    </w:p>
    <w:p>
      <w:pPr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3"/>
        </w:rPr>
        <w:t>证据来源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成本核查规程（合成演示） · 记录1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术语与限制（合成演示） · 记录2</w:t>
      </w:r>
    </w:p>
    <w:sectPr w:rsidR="00FC693F" w:rsidRPr="0006063C" w:rsidSect="00034616">
      <w:footerReference w:type="default" r:id="rId10"/>
      <w:pgSz w:w="11906" w:h="16838"/>
      <w:pgMar w:top="964" w:right="964" w:bottom="1247" w:left="96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SC" w:hAnsi="Noto Sans SC"/>
        <w:sz w:val="18"/>
      </w:rPr>
      <w:t xml:space="preserve">第 </w:t>
    </w:r>
    <w:fldSimple w:instr="PAGE">
      <w:r>
        <w:t>1</w:t>
      </w:r>
    </w:fldSimple>
    <w:r>
      <w:rPr>
        <w:rFonts w:ascii="Noto Sans SC" w:hAnsi="Noto Sans SC"/>
        <w:sz w:val="18"/>
      </w:rPr>
      <w:t xml:space="preserve"> 页 / 共 </w:t>
    </w:r>
    <w:fldSimple w:instr="NUMPAGES">
      <w:r>
        <w:t>1</w:t>
      </w:r>
    </w:fldSimple>
    <w:r>
      <w:rPr>
        <w:rFonts w:ascii="Noto Sans SC" w:hAnsi="Noto Sans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Noto Sans SC" w:hAnsi="Noto Sans SC" w:eastAsia="Noto Sans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