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银黄口服液成本分析报告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2026-04 至 2026-06 · 10ml×1﻿0﻿支﻿/﻿盒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本次采用模型辅助解释；因果归因仍待人工复核。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 1﻿1﻿.﻿0﻿2﻿ ﻿元﻿/﻿盒，总成本 1﻿7﻿9﻿6﻿1﻿8﻿0﻿.﻿0﻿0﻿ ﻿元；较上期变动最大的要素为直接材料，每盒变动 0﻿.﻿3﻿4﻿ ﻿元。建议先核对该要素原始明细，再安排责任部门复核。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一、基本信息　·　第1页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二、总成本概览　·　第1页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三、要素明细　·　第2页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四、专项分析　·　第4页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五、对标分析　·　第5页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六、总结与建议　·　第5页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季度成本分析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分析期间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2026-04 至 2026-06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银黄口服液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10ml×1﻿0﻿支﻿/﻿盒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本季度产量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1﻿6﻿3﻿0﻿0﻿0﻿ ﻿盒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演示编制人（模拟数据）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 xml:space="preserve">本季度实际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 xml:space="preserve">上季度实际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 xml:space="preserve">去年同期季度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163000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135000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2﻿0﻿.﻿7﻿4﻿%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154900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5﻿.﻿2﻿3﻿%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150000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8﻿.﻿6﻿7﻿%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11.0195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10.68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3﻿.﻿1﻿6﻿%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10.62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3﻿.﻿7﻿9﻿%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3﻿.﻿9﻿6﻿%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1796180.00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1442120.00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2﻿4﻿.﻿5﻿5﻿%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1644580.00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9﻿.﻿2﻿2﻿%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1590000.00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1﻿2﻿.﻿9﻿7﻿%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7.17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6.83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5﻿.﻿0﻿0﻿%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6.81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5﻿.﻿3﻿2﻿%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6.80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5﻿.﻿4﻿9﻿%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-﻿0﻿.﻿1﻿6﻿%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1.49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1﻿.﻿3﻿4﻿%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0﻿.﻿7﻿1﻿%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-﻿0﻿.﻿0﻿8﻿%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2.32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0﻿.﻿8﻿6﻿%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2.30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1﻿.﻿5﻿3﻿%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2026-04 至 2026-06｜上期至本期单位成本变动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50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0598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2026-04 至 2026-06｜三要素单位成本与占比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7.17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6﻿5﻿.﻿1﻿0﻿%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1﻿0﻿1﻿.﻿2﻿6﻿%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1﻿3﻿.﻿7﻿1﻿%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-0.0024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-﻿0﻿.﻿7﻿0﻿%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2﻿1﻿.﻿1﻿9﻿%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-0.0019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-﻿0﻿.﻿5﻿6﻿%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11.0195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1﻿0﻿0﻿%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1﻿0﻿0﻿.﻿0﻿0﻿%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3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3.35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184250.0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2.15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118250.0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25850.0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8800.0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4400.0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47850.0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203000.0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127600.0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27840.0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9280.0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4640.0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51040.0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170000.0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2.18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109000.0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23000.0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7500.0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43000.0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3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 7﻿.﻿1﻿7﻿ ﻿元，比上期变动 0﻿.﻿3﻿4﻿ ﻿元，占单位成本变动的 1﻿0﻿1﻿.﻿2﻿6﻿%。
金银花：3.21 → 3﻿.﻿4﻿2﻿ ﻿元﻿/﻿盒，变动 0﻿.﻿2﻿1﻿ ﻿元﻿/﻿盒，占材料增量 6﻿2﻿.﻿2﻿0﻿%；黄芩提取物：2.10 → 2﻿.﻿1﻿8﻿ ﻿元﻿/﻿盒，变动 0﻿.﻿0﻿8﻿ ﻿元﻿/﻿盒，占材料增量 2﻿3﻿.﻿1﻿6﻿%；包装材料(盒+说明书)：0.85 → 0﻿.﻿8﻿7﻿ ﻿元﻿/﻿盒，变动 0﻿.﻿0﻿2﻿ ﻿元﻿/﻿盒，占材料增量 6﻿.﻿3﻿1﻿%；蔗糖：0.45 → 0﻿.﻿4﻿7﻿ ﻿元﻿/﻿盒，变动 0﻿.﻿0﻿2﻿ ﻿元﻿/﻿盒，占材料增量 6﻿.﻿3﻿1﻿%。 单位消耗成本同时受价格和实耗影响；需采购入库单、批次领退料及合格产出记录，才能分别核验价格与耗量。
提取收率变化可能影响每盒材料耗用；现有工艺文档给出控制要求，尚不能证明本期实际收率下降。需将批次投料和合格产出与上期对照核查。
直接材料总成本口径：本期1﻿1﻿6﻿9﻿3﻿0﻿0﻿.﻿0﻿0﻿元，基期9﻿2﻿2﻿3﻿5﻿0﻿.﻿0﻿0﻿元，环比2﻿6﻿.﻿7﻿7﻿%。现有证据不足以确认原因；需补充并核查：中药一厂本期材料采购价格记录、中药一厂本期材料领用与消耗记录、中药一厂本期产量记录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 xml:space="preserve">本季度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 xml:space="preserve">上季度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-﻿0﻿.﻿1﻿6﻿%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251.29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279.70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-﻿1﻿0﻿.﻿1﻿6﻿%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60.12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54.09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1﻿1﻿.﻿1﻿3﻿%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318.36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286.02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1﻿1﻿.﻿3﻿1﻿%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 1﻿.﻿5﻿1﻿ ﻿元，比上期变动 -﻿0﻿.﻿0﻿0﻿2﻿4﻿ ﻿元，占单位成本环比变动 -﻿0﻿.﻿7﻿0﻿%。平均小时工资是题包折算口径。每盒人工费用受工时、人员组成及加班影响；需核对工时台账、工资组成与返工记录，不能认定基础薪率上涨。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总成本口径：本期2﻿4﻿6﻿2﻿4﻿0﻿.﻿0﻿0﻿元，基期2﻿0﻿4﻿2﻿6﻿0﻿.﻿0﻿0﻿元，环比2﻿0﻿.﻿5﻿5﻿%。现有证据不足以确认原因；需补充并核查：直接人工工时记录、生产人员工资率明细、产量记录、直接人工成本明细账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 xml:space="preserve">本季度(元/盒)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 xml:space="preserve">上季度(元/盒)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0.81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0.82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-﻿0﻿.﻿4﻿7﻿%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0.55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0.55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-﻿0﻿.﻿1﻿5﻿%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0.47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0.48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-﻿0﻿.﻿3﻿3﻿%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3﻿.﻿0﻿1﻿%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-﻿1﻿.﻿2﻿3﻿%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-﻿0﻿.﻿0﻿8﻿%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 2﻿.﻿3﻿4﻿ ﻿元，比上期变动 -﻿0﻿.﻿0﻿0﻿1﻿9﻿ ﻿元，占单位成本环比变动 -﻿0﻿.﻿5﻿6﻿%。按费用台账和分配基数检查变化。维修事件只有在产品、期间及入账范围一致时才用于本期解释；不得将维修金额重复计入总成本。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总成本口径：本期3﻿8﻿0﻿6﻿4﻿0﻿.﻿0﻿0﻿元，基期3﻿1﻿5﻿5﻿1﻿0﻿.﻿0﻿0﻿元，环比2﻿0﻿.﻿6﻿4﻿%。现有证据不足以确认原因；需补充并核查：制造费用明细账、产量记录、制造费用分配标准、能源消耗记录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银黄口服液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2026-06，共 6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2026-01 至 2026-06｜单位成本趋势（纵轴范围见刻度）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7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214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10.70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481500.00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10.87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413060.00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10.53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547560.00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10.90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599500.00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650180.00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10.93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50000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546500.00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 1﻿6﻿3﻿0﻿0﻿0﻿ ﻿盒，总成本 1﻿7﻿9﻿6﻿1﻿8﻿0﻿.﻿0﻿0﻿ ﻿元。 相对预算总成本差额 2﻿0﻿6﻿1﻿8﻿0﻿.﻿0﻿0﻿ ﻿元，其中产量影响 1﻿3﻿7﻿8﻿0﻿0﻿.﻿0﻿0﻿ ﻿元，单位成本影响 6﻿8﻿3﻿8﻿0﻿.﻿0﻿0﻿ ﻿元；不能全部归为效率恶化。
直接材料的总额环比变动 2﻿6﻿.﻿7﻿7﻿%；总额同时受产量影响。
直接人工的总额环比变动 2﻿0﻿.﻿5﻿5﻿%；总额同时受产量影响。
制造费用的总额环比变动 2﻿0﻿.﻿6﻿4﻿%；总额同时受产量影响。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133.5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46.5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6.88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22.5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五、对标分析（中药一厂−中药二厂，以中药二厂为分母）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2026-04 至 2026-06｜跨厂三要素（中药一厂−中药二厂，以中药二厂为分母）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中药一厂（元/盒）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中药二厂（元/盒）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11.0195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11.4131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-0.3936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-3.45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7.1736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7.1673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0.0063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0.09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1.5107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1.7107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-0.2000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-11.69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2.3352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2.5351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-0.1999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-7.89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中药一厂−中药二厂，以中药二厂为分母。直接材料差额 0﻿.﻿0﻿1﻿ ﻿元﻿/﻿盒，占跨厂单位成本总差额 -﻿1﻿.﻿6﻿0﻿%；直接人工差额 -﻿0﻿.﻿2﻿0﻿ ﻿元﻿/﻿盒，占跨厂单位成本总差额 5﻿0﻿.﻿8﻿1﻿%；制造费用差额 -﻿0﻿.﻿2﻿0﻿ ﻿元﻿/﻿盒，占跨厂单位成本总差额 5﻿0﻿.﻿7﻿9﻿%。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跨厂比较方向：中药一厂−中药二厂，以中药二厂为分母。比较限制：总成本对比受产量影响，不能作为单位效率结论；文档原因证据由报告检索流程补充；仅表内数值不能证明因果。现有证据不足以确认原因；需补充并核查：中药二厂单位成本明细、中药二厂产量记录、两厂同口径成本明细、两厂人工工时记录、两厂制造费用明细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 xml:space="preserve">6.1 本季度成本管理亮点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1﻿1﻿.﻿0﻿2﻿ ﻿元﻿/﻿盒，产量 1﻿6﻿3﻿0﻿0﻿0﻿ ﻿盒。管理重点是先核查贡献最大的要素，再区分产量变化和单位成本变化对总支出的影响。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406"/>
        <ns0:gridCol ns0:w="3402"/>
      </ns0:tblGrid>
      <ns0:tr>
        <ns0:trPr>
          <ns0:cantSplit/>
          <ns0:tblHeader/>
        </ns0:trPr>
        <ns0:tc>
          <ns0:tcPr>
            <ns0:tcW ns0:type="dxa" ns0:w="6406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340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核查对象：金银花本期与上期采购和批次耗用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5．核查金银花等主要原料的采购价格变动及领用数量，与单位成本变动进行匹配分析。</ns0:t>
              <ns0:br/>
              <ns0:t>核查对象：直接材料单位成本环比上升的驱动因素</ns0:t>
              <ns0:br/>
              <ns0:t>行动：核查金银花等主要原料的采购价格变动及领用数量，与单位成本变动进行匹配分析。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金银花采购价格记录、金银花领用数量明细、直接材料成本明细账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6．核查直接人工工时和工资率变动，与产量变动进行匹配分析。</ns0:t>
              <ns0:br/>
              <ns0:t>核查对象：直接人工总成本环比上升的驱动因素</ns0:t>
              <ns0:br/>
              <ns0:t>行动：核查直接人工工时和工资率变动，与产量变动进行匹配分析。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直接人工工时记录、生产人员工资率明细、直接人工成本明细账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7．核查制造费用明细项目变动，与产量变动进行匹配分析。</ns0:t>
              <ns0:br/>
              <ns0:t>核查对象：制造费用总成本环比上升的驱动因素</ns0:t>
              <ns0:br/>
              <ns0:t>行动：核查制造费用明细项目变动，与产量变动进行匹配分析。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制造费用明细账、产量记录、能源消耗记录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．跨厂比较方向：中药一厂−中药二厂，以中药二厂为分母。比较限制：总成本对比受产量影响，不能作为单位效率结论；文档原因证据由报告检索流程补充；仅表内数值不能证明因果。获取中药二厂同口径单位成本明细和产量数据，与中药一厂进行对比分析。</ns0:t>
              <ns0:br/>
              <ns0:t>核查对象：中药一厂与中药二厂单位成本差异的驱动因素</ns0:t>
              <ns0:br/>
              <ns0:t>行动：获取中药二厂同口径单位成本明细和产量数据，与中药一厂进行对比分析。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中药二厂单位成本明细、中药二厂产量记录、两厂同口径成本明细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5．采购部、财务部／待分配（姓名待分配）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月度成本分析完成后5个工作日内；待确认发送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6．生产部、人力资源部／待分配（姓名待分配）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月度成本分析完成后5个工作日内；待确认发送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7．生产部、财务部／待分配（姓名待分配）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月度成本分析完成后5个工作日内；待确认发送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8．财务部、生产部／待分配（姓名待分配）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月度成本分析完成后5个工作日内；待确认发送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银黄口服液 · 中药一厂 · 2026-04 至 2026-06。金额以元、单位成本以元/盒计；季度按产量加权。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生产工艺文档_中药一厂.pdf · 二、银黄口服液 生产工艺路线 · 第2页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1247" ns0:left="964" ns0:right="964" ns0:footer="567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>
    <ns0:pPr>
      <ns0:jc ns0:val="center"/>
    </ns0:pPr>
    <ns0:r>
      <ns0:rPr>
        <ns0:rFonts ns0:ascii="Noto Sans SC" ns0:hAnsi="Noto Sans SC"/>
        <ns0:sz ns0:val="18"/>
      </ns0:rPr>
      <ns0:t xml:space="preserve">第 </ns0:t>
    </ns0:r>
    <ns0:fldSimple ns0:instr="PAGE">
      <ns0:r>
        <ns0:t>1</ns0:t>
      </ns0:r>
    </ns0:fldSimple>
    <ns0:r>
      <ns0:rPr>
        <ns0:rFonts ns0:ascii="Noto Sans SC" ns0:hAnsi="Noto Sans SC"/>
        <ns0:sz ns0:val="18"/>
      </ns0:rPr>
      <ns0:t xml:space="preserve"> 页 / 共 </ns0:t>
    </ns0:r>
    <ns0:fldSimple ns0:instr="NUMPAGES">
      <ns0:r>
        <ns0:t>1</ns0:t>
      </ns0:r>
    </ns0:fldSimple>
    <ns0:r>
      <ns0:rPr>
        <ns0:rFonts ns0:ascii="Noto Sans SC" ns0:hAnsi="Noto Sans SC"/>
        <ns0:sz ns0:val="18"/>
      </ns0:rPr>
      <ns0:t xml:space="preserve"> 页</ns0: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药衡智析演示团队</dc:creator>
  <cp:lastModifiedBy>药衡智析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