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40"/>
        </w:rPr>
        <w:t>化工流程参考包 · DEMO-01成本分析报告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合成演示：全部企业、工单/批次、数字和知识均独立编制；不是赛题原件或行业基准。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一、基本信息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 · 2026-06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规格：合格成品净重kg；币种：CNY；口径：完工产出。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二、总成本概览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cantSplit/>
          <w:tblHeader/>
        </w:trPr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指标</w:t>
            </w:r>
          </w:p>
        </w:tc>
        <w:tc>
          <w:tcPr>
            <w:tcW w:type="dxa" w:w="4904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确定性结果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总成本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2﻿4﻿0﻿0﻿.﻿0﻿0﻿ ﻿元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合格产出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2﻿0﻿0﻿.﻿0﻿0﻿ ﻿k﻿g</w:t>
            </w:r>
          </w:p>
        </w:tc>
      </w:tr>
      <w:tr>
        <w:trPr>
          <w:cantSplit/>
        </w:trPr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单位成本</w:t>
            </w:r>
          </w:p>
        </w:tc>
        <w:tc>
          <w:tcPr>
            <w:tcW w:type="dxa" w:w="4904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1﻿2﻿.﻿0﻿0﻿ ﻿元﻿/﻿k﻿g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环比：2﻿0﻿.﻿0﻿0﻿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同比：N/A（无可用基期或明细）；缺少完整基期或分母为零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预算差异：1﻿1﻿.﻿1﻿1﻿ ﻿%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季度采用期间成本总和除以独立产量总和；缺失基期或零分母保持无定义。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三、成本要素结构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总成本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单位成本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单位环比（%）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50.00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独立核算能源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600.00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20.00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单位成本环比 5﻿0﻿.﻿0﻿0﻿%，超过合成演示阈值。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 · 总成本环比 5﻿0﻿.﻿0﻿0﻿%，超过合成演示阈值。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 · 单位成本环比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 · 总成本环比 2﻿0﻿.﻿0﻿0﻿%，超过合成演示阈值。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drawing>
          <wp:inline xmlns:a="http://schemas.openxmlformats.org/drawingml/2006/main" xmlns:pic="http://schemas.openxmlformats.org/drawingml/2006/picture">
            <wp:extent cx="6120000" cy="20108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10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四、批次能耗分析与核查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单位合格产出能耗：3﻿.﻿0﻿0﻿ ﻿k﻿W﻿h﻿/﻿k﻿g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专用指标以明确驱动事实计算，数值和阈值均为合成假定，不是行业基准。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本期单位成本为1﻿2﻿.﻿0﻿0﻿元﻿/﻿k﻿g，总成本为2﻿4﻿0﻿0﻿.﻿0﻿0﻿元，产量为2﻿0﻿0﻿.﻿0﻿0﻿k﻿g。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独立核算能源存在期间差异；合成演示数据仅支持成本比较，尚不足以确认原因。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材料单位成本口径：本期6﻿.﻿0﻿0﻿元﻿/﻿k﻿g，基期5﻿.﻿0﻿0﻿元﻿/﻿k﻿g，环比2﻿0﻿.﻿0﻿0﻿%。材料总成本口径：本期1﻿2﻿0﻿0﻿.﻿0﻿0﻿元，基期1﻿0﻿0﻿0﻿.﻿0﻿0﻿元，环比2﻿0﻿.﻿0﻿0﻿%。现有证据不足以确认原因；需补充并核查：材料采购价格记录、材料领用与批次实耗记录、BOM标准用量与实际用量对比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核查材料采购价格与批次实耗记录，验证材料成本变化是否由价格或用量驱动。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制造费用单位成本口径：本期1﻿.﻿5﻿0﻿元﻿/﻿k﻿g，基期1﻿.﻿0﻿0﻿元﻿/﻿k﻿g，环比5﻿0﻿.﻿0﻿0﻿%。制造费用总成本口径：本期3﻿0﻿0﻿.﻿0﻿0﻿元，基期2﻿0﻿0﻿.﻿0﻿0﻿元，环比5﻿0﻿.﻿0﻿0﻿%。现有证据不足以确认原因；需补充并核查：制造费用明细账、制造费用分摊基础与分摊率记录、产量与工时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核查制造费用明细账与分摊基础，验证制造费用变化是否由费用归集或分摊方式驱动。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独立核算能源单位成本口径：本期3﻿.﻿0﻿0﻿元﻿/﻿k﻿g，基期2﻿.﻿5﻿0﻿元﻿/﻿k﻿g，环比2﻿0﻿.﻿0﻿0﻿%。独立核算能源总成本口径：本期6﻿0﻿0﻿.﻿0﻿0﻿元，基期5﻿0﻿0﻿.﻿0﻿0﻿元，环比2﻿0﻿.﻿0﻿0﻿%。现有证据不足以确认原因；需补充并核查：电表kWh总量记录、批次产出记录、返工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核查电表记录与批次产出记录，验证能源成本变化是否由单位能耗或产出变化驱动。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现有证据不足以确认原因；需补充并核查：示范工厂B材料采购价格与批次实耗记录、示范工厂B人工工时与工资率记录、示范工厂B制造费用明细账与分摊基础、示范工厂B电表kWh总量与批次产出记录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跨厂比较方向：示范工厂A−示范工厂B，以示范工厂B为分母。比较限制：合成演示工厂；只比较同产品、规格、期间与政策的归集结果；缺采购/BOM/批次实耗不推算成本净原因。按同产品、同规格、同期间、同政策口径，收集两厂材料、人工、制造费用与能源明细，逐项对比验证跨厂差异来源。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五、行业与工厂对标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示范工厂A−示范工厂B，以示范工厂B为分母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cantSplit/>
          <w:tblHeader/>
        </w:trPr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要素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示范工厂A（元/kg）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示范工厂B（元/kg）</w:t>
            </w:r>
          </w:p>
        </w:tc>
        <w:tc>
          <w:tcPr>
            <w:tcW w:type="dxa" w:w="2452"/>
            <w:shd w:fill="EAF2F5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/>
                <w:color w:val="202D33"/>
                <w:sz w:val="18"/>
              </w:rPr>
              <w:t>差异（元/kg）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材料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12.00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-6.00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人工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-1.50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制造费用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1.50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-1.50</w:t>
            </w:r>
          </w:p>
        </w:tc>
      </w:tr>
      <w:tr>
        <w:trPr>
          <w:cantSplit/>
        </w:trPr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独立核算能源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3.00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6.00</w:t>
            </w:r>
          </w:p>
        </w:tc>
        <w:tc>
          <w:tcPr>
            <w:tcW w:type="dxa" w:w="2452"/>
          </w:tcPr>
          <w:p>
            <w:pPr>
              <w:keepNext w:val="0"/>
              <w:keepLines/>
              <w:pageBreakBefore w:val="0"/>
              <w:widowControl/>
              <w:spacing w:line="259" w:lineRule="auto" w:before="0" w:after="60"/>
              <w:jc w:val="left"/>
              <w:wordWrap w:val="0"/>
            </w:pPr>
            <w:r>
              <w:rPr>
                <w:rFonts w:ascii="Noto Sans SC" w:hAnsi="Noto Sans SC" w:eastAsia="Noto Sans SC"/>
                <w:b w:val="0"/>
                <w:color w:val="202D33"/>
                <w:sz w:val="18"/>
              </w:rPr>
              <w:t>-3.00</w:t>
            </w:r>
          </w:p>
        </w:tc>
      </w:tr>
    </w:tbl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仅合成已归集成本与专用驱动事实；不推算采购/BOM明细</w:t>
      </w:r>
    </w:p>
    <w:p>
      <w:pPr>
        <w:pStyle w:val="Heading1"/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8"/>
        </w:rPr>
        <w:t>六、改进建议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核查对象：独立核算能源成本归集与生产记录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核查行动：核对成本归集和生产计量记录，确认口径一致后分析差异；缺少明细时保留待核查状态。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期限依据：提交本期成本复核结论前完成资料核对；由责任部门确认具体日期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预期证据：对应成本归集明细、对应生产计量记录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核查对象：材料单位成本环比变化原因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核查行动：核查材料采购价格与批次实耗记录，验证材料成本变化是否由价格或用量驱动。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预期证据：材料采购价格记录、材料领用与批次实耗记录、BOM标准用量与实际用量对比记录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核查对象：制造费用单位成本环比变化原因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核查行动：核查制造费用明细账与分摊基础，验证制造费用变化是否由费用归集或分摊方式驱动。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预期证据：制造费用明细账、制造费用分摊基础与分摊率记录、产量与工时记录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核查对象：独立核算能源单位成本环比变化原因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核查行动：核查电表记录与批次产出记录，验证能源成本变化是否由单位能耗或产出变化驱动。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期限依据：月度成本分析完成后5个工作日内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预期证据：电表kWh总量记录、批次产出记录、返工记录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核查对象：示范工厂A与示范工厂B单位成本差异原因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核查行动：按同产品、同规格、同期间、同政策口径，收集两厂材料、人工、制造费用与能源明细，逐项对比验证跨厂差异来源。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责任岗位：待分配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期限依据：月度成本分析完成后10个工作日内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预期证据：示范工厂B材料采购价格与批次实耗记录、示范工厂B人工工时与工资率记录、示范工厂B制造费用明细账与分摊基础、示范工厂B电表kWh总量与批次产出记录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任务须确认后才可模拟送达；送达不等于整改完成。人工归因0—5分、可读性及版式均待真人评审。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大模型解释：已配置应用凭据；本轮真实模型调用待验证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模拟送达：缺少：模拟RPA在线验证（连接配置不等于已送达）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在制品计价：缺少在制品计价与完工分配策略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联副产品分配：缺少联副产品分配政策和产出事实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严格价量分解：缺少实际采购价格及实物耗用量</w:t>
      </w:r>
    </w:p>
    <w:p>
      <w:pPr>
        <w:keepNext/>
        <w:keepLines/>
        <w:pageBreakBefore w:val="0"/>
        <w:widowControl/>
        <w:spacing w:line="276" w:lineRule="auto" w:before="200" w:after="100"/>
        <w:jc w:val="left"/>
        <w:wordWrap w:val="0"/>
      </w:pPr>
      <w:r>
        <w:rPr>
          <w:rFonts w:ascii="Noto Sans SC" w:hAnsi="Noto Sans SC" w:eastAsia="Noto Sans SC"/>
          <w:b/>
          <w:color w:val="143D50"/>
          <w:sz w:val="23"/>
        </w:rPr>
        <w:t>证据来源</w:t>
      </w:r>
    </w:p>
    <w:p>
      <w:pPr>
        <w:keepNext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成本核查规程（合成演示） · 记录1</w:t>
      </w:r>
    </w:p>
    <w:p>
      <w:pPr>
        <w:keepNext w:val="0"/>
        <w:keepLines/>
        <w:pageBreakBefore w:val="0"/>
        <w:widowControl/>
        <w:spacing w:line="276" w:lineRule="auto" w:before="0" w:after="100"/>
        <w:jc w:val="left"/>
        <w:wordWrap w:val="0"/>
      </w:pPr>
      <w:r>
        <w:rPr>
          <w:rFonts w:ascii="Noto Sans SC" w:hAnsi="Noto Sans SC" w:eastAsia="Noto Sans SC"/>
          <w:b w:val="0"/>
          <w:color w:val="202D33"/>
          <w:sz w:val="21"/>
        </w:rPr>
        <w:t>术语与限制（合成演示） · 记录2</w:t>
      </w:r>
    </w:p>
    <w:sectPr w:rsidR="00FC693F" w:rsidRPr="0006063C" w:rsidSect="00034616">
      <w:footerReference w:type="default" r:id="rId10"/>
      <w:pgSz w:w="11906" w:h="16838"/>
      <w:pgMar w:top="964" w:right="964" w:bottom="1247" w:left="964" w:header="72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Noto Sans SC" w:hAnsi="Noto Sans SC"/>
        <w:sz w:val="18"/>
      </w:rPr>
      <w:t xml:space="preserve">第 </w:t>
    </w:r>
    <w:fldSimple w:instr="PAGE">
      <w:r>
        <w:t>1</w:t>
      </w:r>
    </w:fldSimple>
    <w:r>
      <w:rPr>
        <w:rFonts w:ascii="Noto Sans SC" w:hAnsi="Noto Sans SC"/>
        <w:sz w:val="18"/>
      </w:rPr>
      <w:t xml:space="preserve"> 页 / 共 </w:t>
    </w:r>
    <w:fldSimple w:instr="NUMPAGES">
      <w:r>
        <w:t>1</w:t>
      </w:r>
    </w:fldSimple>
    <w:r>
      <w:rPr>
        <w:rFonts w:ascii="Noto Sans SC" w:hAnsi="Noto Sans SC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83" w:lineRule="auto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83" w:lineRule="auto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83" w:lineRule="auto"/>
      <w:outlineLvl w:val="2"/>
    </w:pPr>
    <w:rPr>
      <w:rFonts w:asciiTheme="majorHAnsi" w:eastAsiaTheme="majorEastAsia" w:hAnsiTheme="majorHAnsi" w:cstheme="majorBidi" w:ascii="Noto Sans SC" w:hAnsi="Noto Sans SC" w:eastAsia="Noto Sans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83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17365D" w:themeColor="text2" w:themeShade="BF"/>
      <w:spacing w:val="5"/>
      <w:kern w:val="28"/>
      <w:sz w:val="21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83" w:lineRule="auto"/>
    </w:pPr>
    <w:rPr>
      <w:rFonts w:ascii="Noto Sans SC" w:hAnsi="Noto Sans SC" w:eastAsia="Noto Sans SC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